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39" w:after="439"/>
        <w:rPr>
          <w:rFonts w:hint="eastAsia"/>
        </w:rPr>
      </w:pPr>
      <w:bookmarkStart w:id="5" w:name="_GoBack"/>
      <w:bookmarkStart w:id="0" w:name="_Toc4580"/>
      <w:bookmarkStart w:id="1" w:name="_Toc438906892"/>
      <w:r>
        <w:rPr>
          <w:rFonts w:hint="eastAsia"/>
        </w:rPr>
        <w:t>十、全力聚焦新机场，加快打造国门印象名片</w:t>
      </w:r>
      <w:bookmarkEnd w:id="0"/>
    </w:p>
    <w:bookmarkEnd w:id="5"/>
    <w:p>
      <w:pPr>
        <w:rPr>
          <w:rFonts w:hint="eastAsia"/>
        </w:rPr>
      </w:pPr>
      <w:r>
        <w:rPr>
          <w:rFonts w:hint="eastAsia"/>
        </w:rPr>
        <w:t>积极落实北京大兴国际机场周边综合发展行动计划，以基础设施、民生保障、生态环境、产业发展为重点，谋划重点项目建设，推动南部地区崛起，树立良好“国门”形象，全面促进北京大兴国际机场周边快速可持续发展。</w:t>
      </w:r>
    </w:p>
    <w:bookmarkEnd w:id="1"/>
    <w:p>
      <w:pPr>
        <w:pStyle w:val="3"/>
        <w:spacing w:before="219" w:after="219"/>
        <w:rPr>
          <w:rFonts w:hint="eastAsia"/>
        </w:rPr>
      </w:pPr>
      <w:bookmarkStart w:id="2" w:name="_Toc22653"/>
      <w:r>
        <w:rPr>
          <w:rFonts w:hint="eastAsia"/>
        </w:rPr>
        <w:t>（一）着力加强基础设施建设</w:t>
      </w:r>
    </w:p>
    <w:p>
      <w:pPr>
        <w:widowControl/>
        <w:shd w:val="clear" w:color="auto" w:fill="FFFFFF"/>
        <w:spacing w:before="219" w:beforeLines="50"/>
        <w:ind w:firstLine="643"/>
        <w:rPr>
          <w:rFonts w:hint="eastAsia"/>
          <w:color w:val="0000FF"/>
        </w:rPr>
      </w:pPr>
      <w:r>
        <w:rPr>
          <w:rFonts w:hint="eastAsia" w:hAnsi="宋体" w:cs="宋体"/>
          <w:b/>
          <w:kern w:val="0"/>
        </w:rPr>
        <w:t>推进村庄基础设施建设,</w:t>
      </w:r>
      <w:r>
        <w:rPr>
          <w:rFonts w:hint="eastAsia" w:hAnsi="宋体" w:cs="宋体"/>
          <w:kern w:val="0"/>
        </w:rPr>
        <w:t>完成礼贤镇、榆垡镇农村街坊路、节能灯、公厕、桥梁等建设工程,综合整治村庄道路，优化各村之间“微循环”支路,加快推进新型农村社区建设。</w:t>
      </w:r>
      <w:r>
        <w:rPr>
          <w:rFonts w:hint="eastAsia" w:hAnsi="宋体" w:cs="宋体"/>
          <w:b/>
          <w:kern w:val="0"/>
        </w:rPr>
        <w:t>保障水电气热基础设施建设</w:t>
      </w:r>
      <w:r>
        <w:rPr>
          <w:rFonts w:hint="eastAsia" w:hAnsi="宋体" w:cs="宋体"/>
          <w:kern w:val="0"/>
        </w:rPr>
        <w:t>,改扩建</w:t>
      </w:r>
      <w:r>
        <w:rPr>
          <w:rFonts w:hint="eastAsia" w:hAnsi="宋体" w:cs="宋体"/>
        </w:rPr>
        <w:t>供水厂，</w:t>
      </w:r>
      <w:r>
        <w:rPr>
          <w:rFonts w:hint="eastAsia" w:hAnsi="宋体" w:cs="宋体"/>
          <w:kern w:val="0"/>
        </w:rPr>
        <w:t>加快</w:t>
      </w:r>
      <w:r>
        <w:rPr>
          <w:rFonts w:hint="eastAsia" w:hAnsi="宋体" w:cs="宋体"/>
        </w:rPr>
        <w:t>农村改水工程，逐步实现</w:t>
      </w:r>
      <w:r>
        <w:rPr>
          <w:rFonts w:hAnsi="宋体" w:cs="宋体"/>
        </w:rPr>
        <w:t>24</w:t>
      </w:r>
      <w:r>
        <w:rPr>
          <w:rFonts w:hint="eastAsia" w:hAnsi="宋体" w:cs="宋体"/>
        </w:rPr>
        <w:t>小时供水；改扩建污水处理厂，提高污水处理能力；推进中水利用设施建设，促进再生水利用</w:t>
      </w:r>
      <w:r>
        <w:rPr>
          <w:rFonts w:hint="eastAsia" w:hAnsi="宋体" w:cs="宋体"/>
          <w:kern w:val="0"/>
        </w:rPr>
        <w:t>;建设变电站，提高电力供应能力；加强节能改造，大力推广地热、天然气等清洁能源。</w:t>
      </w:r>
    </w:p>
    <w:p>
      <w:pPr>
        <w:pStyle w:val="3"/>
        <w:spacing w:before="219" w:after="219"/>
        <w:rPr>
          <w:rFonts w:hint="eastAsia"/>
        </w:rPr>
      </w:pPr>
      <w:r>
        <w:rPr>
          <w:rFonts w:hint="eastAsia"/>
        </w:rPr>
        <w:t>（二）努力提升民生保障水平</w:t>
      </w:r>
      <w:bookmarkEnd w:id="2"/>
    </w:p>
    <w:p>
      <w:pPr>
        <w:spacing w:before="219" w:beforeLines="50"/>
        <w:ind w:firstLine="643"/>
        <w:rPr>
          <w:rFonts w:hint="eastAsia"/>
        </w:rPr>
      </w:pPr>
      <w:r>
        <w:rPr>
          <w:rFonts w:hint="eastAsia"/>
          <w:b/>
        </w:rPr>
        <w:t>提高就业水平</w:t>
      </w:r>
      <w:r>
        <w:rPr>
          <w:rFonts w:hint="eastAsia"/>
          <w:color w:val="000000"/>
        </w:rPr>
        <w:t>,引导农民积极参与新机场、新航城的建设、开发、运营;发挥农民首创精神，提高农民利用机场优势就业、创业的能力;</w:t>
      </w:r>
      <w:r>
        <w:rPr>
          <w:rFonts w:hint="eastAsia"/>
        </w:rPr>
        <w:t>加大面向农村劳动力的公益性岗位开发力度，扩大绿色就业规模。</w:t>
      </w:r>
      <w:r>
        <w:rPr>
          <w:rFonts w:hint="eastAsia"/>
          <w:b/>
        </w:rPr>
        <w:t>促进农民转移</w:t>
      </w:r>
      <w:r>
        <w:rPr>
          <w:rFonts w:hint="eastAsia"/>
        </w:rPr>
        <w:t>，大力引导机场周边土地流转，着力做好农村土地流转后农民转非工作，推进农民转非安置政策的落实；完善建立机场拆迁村农民长远利益保障机制，拓宽农村集体资产经营渠道。</w:t>
      </w:r>
    </w:p>
    <w:p>
      <w:pPr>
        <w:pStyle w:val="3"/>
        <w:spacing w:before="219" w:after="219"/>
        <w:rPr>
          <w:rFonts w:hint="eastAsia"/>
        </w:rPr>
      </w:pPr>
      <w:bookmarkStart w:id="3" w:name="_Toc2836"/>
      <w:r>
        <w:rPr>
          <w:rFonts w:hint="eastAsia"/>
        </w:rPr>
        <w:t>（三）大力提高生态文明程度</w:t>
      </w:r>
      <w:bookmarkEnd w:id="3"/>
    </w:p>
    <w:p>
      <w:pPr>
        <w:widowControl/>
        <w:shd w:val="clear" w:color="auto" w:fill="FFFFFF"/>
        <w:spacing w:before="219" w:beforeLines="50"/>
        <w:ind w:firstLine="643"/>
        <w:rPr>
          <w:rFonts w:hint="eastAsia"/>
        </w:rPr>
      </w:pPr>
      <w:r>
        <w:rPr>
          <w:rFonts w:hint="eastAsia"/>
          <w:b/>
        </w:rPr>
        <w:t>推进绿化美化提升工程</w:t>
      </w:r>
      <w:r>
        <w:rPr>
          <w:rFonts w:hint="eastAsia"/>
        </w:rPr>
        <w:t>，加强机场周边整体景观造型设计，在机场可视区周边，注重空中俯瞰效果，形成大色块、大景观，提升空中进京第一印象；突出绿化特色，实施生态林建设、永定河绿道建设、村庄绿化美化等项目，加快推进机场高速路、中轴路、京开路等主干道两侧镇域美化绿化工程。推进古桑郊野森林公园建设。</w:t>
      </w:r>
      <w:r>
        <w:rPr>
          <w:rFonts w:hint="eastAsia"/>
          <w:b/>
        </w:rPr>
        <w:t>推进治水节水提升工程</w:t>
      </w:r>
      <w:r>
        <w:rPr>
          <w:rFonts w:hint="eastAsia"/>
        </w:rPr>
        <w:t>，加强永兴河等河道综合治理，改善河道两侧环境；推进农业高效节水项目建设，新建、改造一批节水灌溉地块；利用机场形成的大量中水资源，结合永定河、永兴河生态景观打造，建设滞洪湿地公园、中央森林景观轴和湿地景观水网等，打造京南大绿大美的湿地景观。</w:t>
      </w:r>
      <w:bookmarkStart w:id="4" w:name="_Toc4509"/>
    </w:p>
    <w:p>
      <w:pPr>
        <w:pStyle w:val="3"/>
        <w:spacing w:before="219" w:after="219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eastAsia="zh-CN"/>
        </w:rPr>
        <w:t>四</w:t>
      </w:r>
      <w:r>
        <w:rPr>
          <w:rFonts w:hint="eastAsia"/>
        </w:rPr>
        <w:t>）全力加快产业发展升级</w:t>
      </w:r>
      <w:bookmarkEnd w:id="4"/>
    </w:p>
    <w:p>
      <w:pPr>
        <w:spacing w:before="219" w:beforeLines="50"/>
        <w:ind w:firstLine="643"/>
        <w:rPr>
          <w:rFonts w:hint="eastAsia" w:hAnsi="仿宋_GB2312" w:cs="仿宋_GB2312"/>
          <w:color w:val="000000"/>
        </w:rPr>
      </w:pPr>
      <w:r>
        <w:rPr>
          <w:rFonts w:hint="eastAsia" w:hAnsi="仿宋_GB2312" w:cs="仿宋_GB2312"/>
          <w:b/>
          <w:color w:val="000000"/>
        </w:rPr>
        <w:t>发展临空经济产业</w:t>
      </w:r>
      <w:r>
        <w:rPr>
          <w:rFonts w:hint="eastAsia" w:hAnsi="仿宋_GB2312" w:cs="仿宋_GB2312"/>
          <w:color w:val="000000"/>
        </w:rPr>
        <w:t>，以服务机场建设和运营为中心，发展航空农产品生产基地，为机场营养配餐做好基础工作；引进、推广适合生产航空食品原料的高端设施新品种和轻简化、机械化栽培配套技术，不断延伸临空经济产业链。</w:t>
      </w:r>
      <w:r>
        <w:rPr>
          <w:rFonts w:hint="eastAsia" w:hAnsi="仿宋_GB2312" w:cs="仿宋_GB2312"/>
          <w:b/>
          <w:color w:val="000000"/>
        </w:rPr>
        <w:t>发展都市型现代农业</w:t>
      </w:r>
      <w:r>
        <w:rPr>
          <w:rFonts w:hint="eastAsia" w:hAnsi="仿宋_GB2312" w:cs="仿宋_GB2312"/>
          <w:color w:val="000000"/>
        </w:rPr>
        <w:t>，加快提升庞采路、东赵路、芦求路、刘田路等都市型现代农业产业带，推进北京庞各庄高科技农业示范园、高效密植梨基地等一批现代农业园区建设，促进产业升级。</w:t>
      </w:r>
      <w:r>
        <w:rPr>
          <w:rFonts w:hint="eastAsia" w:hAnsi="仿宋_GB2312" w:cs="仿宋_GB2312"/>
          <w:b/>
          <w:color w:val="000000"/>
        </w:rPr>
        <w:t>发展农业文化旅游产业</w:t>
      </w:r>
      <w:r>
        <w:rPr>
          <w:rFonts w:hint="eastAsia" w:hAnsi="仿宋_GB2312" w:cs="仿宋_GB2312"/>
          <w:color w:val="000000"/>
        </w:rPr>
        <w:t>，加强旅游圈、带、线的培育发展，大力推进梨文化主题公园、中国西瓜文化创意博览园、月季博物馆、恭勤夫人墓等文化旅游项目，努力打造京南文化旅游新亮点。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946CED"/>
    <w:multiLevelType w:val="multilevel"/>
    <w:tmpl w:val="76946CED"/>
    <w:lvl w:ilvl="0" w:tentative="0">
      <w:start w:val="1"/>
      <w:numFmt w:val="decimal"/>
      <w:suff w:val="nothing"/>
      <w:lvlText w:val="第%1章    "/>
      <w:lvlJc w:val="left"/>
      <w:pPr>
        <w:ind w:left="4803" w:hanging="3403"/>
      </w:pPr>
      <w:rPr>
        <w:rFonts w:hint="eastAsia"/>
        <w:lang w:val="en-US"/>
      </w:rPr>
    </w:lvl>
    <w:lvl w:ilvl="1" w:tentative="0">
      <w:start w:val="1"/>
      <w:numFmt w:val="decimal"/>
      <w:suff w:val="nothing"/>
      <w:lvlText w:val="%1.%2 "/>
      <w:lvlJc w:val="left"/>
      <w:pPr>
        <w:ind w:left="9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1.%2.%3  "/>
      <w:lvlJc w:val="left"/>
      <w:pPr>
        <w:ind w:left="-2570" w:firstLine="0"/>
      </w:pPr>
      <w:rPr>
        <w:rFonts w:hint="default"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lang w:val="en-US"/>
      </w:rPr>
    </w:lvl>
    <w:lvl w:ilvl="3" w:tentative="0">
      <w:start w:val="1"/>
      <w:numFmt w:val="decimal"/>
      <w:suff w:val="nothing"/>
      <w:lvlText w:val="%1.%2.%3.%4  "/>
      <w:lvlJc w:val="left"/>
      <w:pPr>
        <w:ind w:left="-2570" w:firstLine="0"/>
      </w:pPr>
      <w:rPr>
        <w:rFonts w:hint="eastAsia"/>
      </w:rPr>
    </w:lvl>
    <w:lvl w:ilvl="4" w:tentative="0">
      <w:start w:val="1"/>
      <w:numFmt w:val="decimal"/>
      <w:lvlRestart w:val="1"/>
      <w:suff w:val="nothing"/>
      <w:lvlText w:val="表%1-%5    "/>
      <w:lvlJc w:val="left"/>
      <w:pPr>
        <w:ind w:left="-1010" w:firstLine="0"/>
      </w:pPr>
      <w:rPr>
        <w:rFonts w:hint="eastAsia"/>
        <w:lang w:val="en-US"/>
      </w:rPr>
    </w:lvl>
    <w:lvl w:ilvl="5" w:tentative="0">
      <w:start w:val="1"/>
      <w:numFmt w:val="decimal"/>
      <w:lvlRestart w:val="1"/>
      <w:suff w:val="nothing"/>
      <w:lvlText w:val="图%1-%6    "/>
      <w:lvlJc w:val="left"/>
      <w:pPr>
        <w:ind w:left="-159" w:firstLine="0"/>
      </w:pPr>
      <w:rPr>
        <w:rFonts w:hint="eastAsia"/>
      </w:rPr>
    </w:lvl>
    <w:lvl w:ilvl="6" w:tentative="0">
      <w:start w:val="1"/>
      <w:numFmt w:val="decimal"/>
      <w:lvlRestart w:val="4"/>
      <w:suff w:val="nothing"/>
      <w:lvlText w:val="（%7）"/>
      <w:lvlJc w:val="left"/>
      <w:pPr>
        <w:ind w:left="-257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lang w:val="en-US"/>
      </w:rPr>
    </w:lvl>
    <w:lvl w:ilvl="7" w:tentative="0">
      <w:start w:val="1"/>
      <w:numFmt w:val="decimal"/>
      <w:suff w:val="nothing"/>
      <w:lvlText w:val="%8）"/>
      <w:lvlJc w:val="left"/>
      <w:pPr>
        <w:ind w:left="-2570" w:firstLine="0"/>
      </w:pPr>
      <w:rPr>
        <w:rFonts w:hint="eastAsia"/>
      </w:rPr>
    </w:lvl>
    <w:lvl w:ilvl="8" w:tentative="0">
      <w:start w:val="1"/>
      <w:numFmt w:val="decimal"/>
      <w:suff w:val="nothing"/>
      <w:lvlText w:val="[%9] "/>
      <w:lvlJc w:val="left"/>
      <w:pPr>
        <w:ind w:left="-257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26290"/>
    <w:rsid w:val="3512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before="120" w:line="560" w:lineRule="exact"/>
      <w:ind w:firstLine="640" w:firstLineChars="20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3"/>
    <w:qFormat/>
    <w:uiPriority w:val="9"/>
    <w:pPr>
      <w:spacing w:before="381" w:beforeLines="100" w:after="381" w:afterLines="100"/>
      <w:ind w:firstLine="0" w:firstLineChars="0"/>
      <w:jc w:val="center"/>
      <w:outlineLvl w:val="0"/>
    </w:pPr>
    <w:rPr>
      <w:rFonts w:ascii="黑体" w:eastAsia="黑体"/>
      <w:b/>
    </w:rPr>
  </w:style>
  <w:style w:type="paragraph" w:styleId="3">
    <w:name w:val="heading 2"/>
    <w:basedOn w:val="1"/>
    <w:next w:val="4"/>
    <w:qFormat/>
    <w:uiPriority w:val="0"/>
    <w:pPr>
      <w:spacing w:before="190" w:beforeLines="50" w:after="190" w:afterLines="50"/>
      <w:ind w:firstLine="643"/>
      <w:outlineLvl w:val="1"/>
    </w:pPr>
    <w:rPr>
      <w:rFonts w:ascii="楷体_GB2312" w:eastAsia="楷体_GB2312"/>
      <w:b/>
    </w:rPr>
  </w:style>
  <w:style w:type="paragraph" w:styleId="4">
    <w:name w:val="heading 3"/>
    <w:basedOn w:val="1"/>
    <w:next w:val="1"/>
    <w:qFormat/>
    <w:uiPriority w:val="9"/>
    <w:pPr>
      <w:numPr>
        <w:ilvl w:val="2"/>
        <w:numId w:val="1"/>
      </w:numPr>
      <w:spacing w:before="156" w:beforeLines="50" w:after="0" w:line="360" w:lineRule="auto"/>
      <w:outlineLvl w:val="2"/>
    </w:pPr>
    <w:rPr>
      <w:rFonts w:ascii="Times New Roman" w:eastAsia="宋体"/>
      <w:b/>
      <w:bCs/>
      <w:kern w:val="44"/>
      <w:sz w:val="3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2021-12-20T03:05:00Z</dcterms:created>
  <dc:creator>อยู่ชายเล็ก</dc:creator>
  <cp:lastModifiedBy>อยู่ชายเล็ก</cp:lastModifiedBy>
  <dcterms:modified xsi:type="dcterms:W3CDTF">2021-12-20T03:06:10Z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163EB9C92A7C4487B59ADD3183307C01</vt:lpwstr>
  </property>
</Properties>
</file>