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39" w:after="439"/>
        <w:rPr>
          <w:rFonts w:hint="eastAsia"/>
        </w:rPr>
      </w:pPr>
      <w:bookmarkStart w:id="0" w:name="_Toc1927"/>
      <w:r>
        <w:rPr>
          <w:rFonts w:hint="eastAsia"/>
        </w:rPr>
        <w:t>十一、主动融入京津冀，加快探索协同合作模式</w:t>
      </w:r>
      <w:bookmarkEnd w:id="0"/>
    </w:p>
    <w:p>
      <w:pPr>
        <w:spacing w:before="219" w:beforeLines="50"/>
        <w:rPr>
          <w:rFonts w:hint="eastAsia" w:ascii="宋体" w:hAnsi="宋体" w:eastAsia="宋体" w:cs="宋体"/>
        </w:rPr>
      </w:pPr>
      <w:r>
        <w:rPr>
          <w:rFonts w:hint="eastAsia"/>
        </w:rPr>
        <w:t>按照差别化定位、协同化发展、全域性提升的理念，从区域跨度、科技深度、带动幅度上，通过主动合作，探索经验、探索模式、探索机制，建立区域协同示范样板，促进现代农业跨跃发展。</w:t>
      </w:r>
    </w:p>
    <w:p>
      <w:pPr>
        <w:pStyle w:val="3"/>
        <w:spacing w:before="219" w:after="219"/>
        <w:rPr>
          <w:rFonts w:hint="eastAsia"/>
        </w:rPr>
      </w:pPr>
      <w:bookmarkStart w:id="1" w:name="_Toc7146"/>
      <w:r>
        <w:rPr>
          <w:rFonts w:hint="eastAsia"/>
        </w:rPr>
        <w:t>（一）构建产业协同发展机制</w:t>
      </w:r>
      <w:bookmarkEnd w:id="1"/>
    </w:p>
    <w:p>
      <w:pPr>
        <w:spacing w:before="219" w:beforeLines="50"/>
        <w:ind w:firstLine="643"/>
        <w:rPr>
          <w:rFonts w:hint="eastAsia"/>
        </w:rPr>
      </w:pPr>
      <w:r>
        <w:rPr>
          <w:rFonts w:hint="eastAsia"/>
          <w:b/>
        </w:rPr>
        <w:t>推进生产基地建设</w:t>
      </w:r>
      <w:r>
        <w:rPr>
          <w:rFonts w:hint="eastAsia"/>
        </w:rPr>
        <w:t>，发挥本区农业先进技术、特色产品优势，引导、鼓励本区种植、养殖企业与津冀开展有效对接，建立直接或紧密型“菜篮子”外埠生产基地。</w:t>
      </w:r>
      <w:r>
        <w:rPr>
          <w:rFonts w:hint="eastAsia"/>
          <w:b/>
        </w:rPr>
        <w:t>推进京津冀农产品安全生产合作</w:t>
      </w:r>
      <w:r>
        <w:rPr>
          <w:rFonts w:hint="eastAsia"/>
        </w:rPr>
        <w:t>，努力推进统一标准化体系和检测结果互认，探索区域农产品质量安全监管体系，建立农产品质量安全信息共享平台，逐步实现京津冀动植物防疫一体化。</w:t>
      </w:r>
      <w:r>
        <w:rPr>
          <w:rFonts w:hint="eastAsia"/>
          <w:b/>
        </w:rPr>
        <w:t>推进观光休闲农业发展</w:t>
      </w:r>
      <w:r>
        <w:rPr>
          <w:rFonts w:hint="eastAsia"/>
        </w:rPr>
        <w:t>，整合京津冀观光休闲农业资源，联手打造一批乡村旅游景观、基地和线路；扩大“大兴西瓜节”、“春华秋实”等节庆旅游活动的影响力和辐射带动力，建设京津冀地区市民旅游休闲基地。</w:t>
      </w:r>
    </w:p>
    <w:p>
      <w:pPr>
        <w:pStyle w:val="3"/>
        <w:spacing w:before="219" w:after="219"/>
        <w:rPr>
          <w:rFonts w:hint="eastAsia"/>
        </w:rPr>
      </w:pPr>
      <w:bookmarkStart w:id="2" w:name="_Toc1102"/>
      <w:r>
        <w:rPr>
          <w:rFonts w:hint="eastAsia"/>
        </w:rPr>
        <w:t>（二）共建生态改善合作机制</w:t>
      </w:r>
      <w:bookmarkEnd w:id="2"/>
    </w:p>
    <w:p>
      <w:pPr>
        <w:spacing w:before="219" w:beforeLines="50"/>
        <w:ind w:firstLine="643"/>
        <w:rPr>
          <w:rFonts w:hint="eastAsia"/>
        </w:rPr>
      </w:pPr>
      <w:r>
        <w:rPr>
          <w:rFonts w:hint="eastAsia"/>
          <w:b/>
        </w:rPr>
        <w:t>突破跨域水系治理</w:t>
      </w:r>
      <w:r>
        <w:rPr>
          <w:rFonts w:hint="eastAsia"/>
        </w:rPr>
        <w:t>，推动永定河生态供水和水环境建设，探索永定河、永兴河、凤河以及凤港减河跨域河流的共治共管，联合实施生态修复、景观绿化、防污减排和水质净化，探索水系治理联合执法机制，共同改善和维护水系生态环境。</w:t>
      </w:r>
      <w:r>
        <w:rPr>
          <w:rFonts w:hint="eastAsia"/>
          <w:b/>
        </w:rPr>
        <w:t>推进绿色廊道建设</w:t>
      </w:r>
      <w:r>
        <w:rPr>
          <w:rFonts w:hint="eastAsia"/>
        </w:rPr>
        <w:t>，沿机场周边、京冀交界处建设大尺度、景观化森林，沿永定河建设游憩森林公园群，沿京台高速、新机场高速、京开高速、京霸铁路等重要通道建设生态绿带，打造连接京冀的绿色生态廊道。</w:t>
      </w:r>
      <w:r>
        <w:rPr>
          <w:rFonts w:hint="eastAsia"/>
          <w:b/>
        </w:rPr>
        <w:t>探索生态协同管理机制</w:t>
      </w:r>
      <w:r>
        <w:rPr>
          <w:rFonts w:hint="eastAsia"/>
        </w:rPr>
        <w:t>，在秸秆</w:t>
      </w:r>
      <w:bookmarkStart w:id="4" w:name="_GoBack"/>
      <w:bookmarkEnd w:id="4"/>
      <w:r>
        <w:rPr>
          <w:rFonts w:hint="eastAsia"/>
        </w:rPr>
        <w:t>综合利用等领域开展技术交流与合作，开展生态农业领域联合执法。</w:t>
      </w:r>
    </w:p>
    <w:p>
      <w:pPr>
        <w:pStyle w:val="3"/>
        <w:spacing w:before="219" w:after="219"/>
        <w:rPr>
          <w:rFonts w:hint="eastAsia"/>
        </w:rPr>
      </w:pPr>
      <w:bookmarkStart w:id="3" w:name="_Toc683"/>
      <w:r>
        <w:rPr>
          <w:rFonts w:hint="eastAsia"/>
        </w:rPr>
        <w:t>（三）创建服务支撑长效机制</w:t>
      </w:r>
      <w:bookmarkEnd w:id="3"/>
    </w:p>
    <w:p>
      <w:r>
        <w:rPr>
          <w:rFonts w:hint="eastAsia"/>
          <w:b/>
        </w:rPr>
        <w:t>探索金融协同支持政策</w:t>
      </w:r>
      <w:r>
        <w:rPr>
          <w:rFonts w:hint="eastAsia"/>
        </w:rPr>
        <w:t>，发挥大兴区农村金融改革试验区的作用，充分利用金融机构大力服务京津冀协同发展的契机，建立、健全产业转移、转型升级的金融扶持政策。</w:t>
      </w:r>
      <w:r>
        <w:rPr>
          <w:rFonts w:hint="eastAsia"/>
          <w:b/>
        </w:rPr>
        <w:t>加强科技协作</w:t>
      </w:r>
      <w:r>
        <w:rPr>
          <w:rFonts w:hint="eastAsia"/>
        </w:rPr>
        <w:t>，借势“院区合作”的力量，以保障北京市“菜篮子”供应为重点，组织农业科技人员加强农业科技领域的研究和探讨，共同推进农业科技成果落地转化。</w:t>
      </w:r>
      <w:r>
        <w:rPr>
          <w:rFonts w:hint="eastAsia"/>
          <w:b/>
        </w:rPr>
        <w:t>加强农产品流通合作</w:t>
      </w:r>
      <w:r>
        <w:rPr>
          <w:rFonts w:hint="eastAsia"/>
        </w:rPr>
        <w:t>，探索建立农业资源和交易信息网络合作平台，发挥全区新型农业经营主体流通渠道作用，建立京津冀一体流通合作模式。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946CED"/>
    <w:multiLevelType w:val="multilevel"/>
    <w:tmpl w:val="76946CED"/>
    <w:lvl w:ilvl="0" w:tentative="0">
      <w:start w:val="1"/>
      <w:numFmt w:val="decimal"/>
      <w:suff w:val="nothing"/>
      <w:lvlText w:val="第%1章    "/>
      <w:lvlJc w:val="left"/>
      <w:pPr>
        <w:ind w:left="4803" w:hanging="3403"/>
      </w:pPr>
      <w:rPr>
        <w:rFonts w:hint="eastAsia"/>
        <w:lang w:val="en-US"/>
      </w:rPr>
    </w:lvl>
    <w:lvl w:ilvl="1" w:tentative="0">
      <w:start w:val="1"/>
      <w:numFmt w:val="decimal"/>
      <w:suff w:val="nothing"/>
      <w:lvlText w:val="%1.%2 "/>
      <w:lvlJc w:val="left"/>
      <w:pPr>
        <w:ind w:left="9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1.%2.%3  "/>
      <w:lvlJc w:val="left"/>
      <w:pPr>
        <w:ind w:left="-2570" w:firstLine="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val="en-US"/>
      </w:rPr>
    </w:lvl>
    <w:lvl w:ilvl="3" w:tentative="0">
      <w:start w:val="1"/>
      <w:numFmt w:val="decimal"/>
      <w:suff w:val="nothing"/>
      <w:lvlText w:val="%1.%2.%3.%4  "/>
      <w:lvlJc w:val="left"/>
      <w:pPr>
        <w:ind w:left="-2570" w:firstLine="0"/>
      </w:pPr>
      <w:rPr>
        <w:rFonts w:hint="eastAsia"/>
      </w:rPr>
    </w:lvl>
    <w:lvl w:ilvl="4" w:tentative="0">
      <w:start w:val="1"/>
      <w:numFmt w:val="decimal"/>
      <w:lvlRestart w:val="1"/>
      <w:suff w:val="nothing"/>
      <w:lvlText w:val="表%1-%5    "/>
      <w:lvlJc w:val="left"/>
      <w:pPr>
        <w:ind w:left="-1010" w:firstLine="0"/>
      </w:pPr>
      <w:rPr>
        <w:rFonts w:hint="eastAsia"/>
        <w:lang w:val="en-US"/>
      </w:rPr>
    </w:lvl>
    <w:lvl w:ilvl="5" w:tentative="0">
      <w:start w:val="1"/>
      <w:numFmt w:val="decimal"/>
      <w:lvlRestart w:val="1"/>
      <w:suff w:val="nothing"/>
      <w:lvlText w:val="图%1-%6    "/>
      <w:lvlJc w:val="left"/>
      <w:pPr>
        <w:ind w:left="-159" w:firstLine="0"/>
      </w:pPr>
      <w:rPr>
        <w:rFonts w:hint="eastAsia"/>
      </w:rPr>
    </w:lvl>
    <w:lvl w:ilvl="6" w:tentative="0">
      <w:start w:val="1"/>
      <w:numFmt w:val="decimal"/>
      <w:lvlRestart w:val="4"/>
      <w:suff w:val="nothing"/>
      <w:lvlText w:val="（%7）"/>
      <w:lvlJc w:val="left"/>
      <w:pPr>
        <w:ind w:left="-25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val="en-US"/>
      </w:rPr>
    </w:lvl>
    <w:lvl w:ilvl="7" w:tentative="0">
      <w:start w:val="1"/>
      <w:numFmt w:val="decimal"/>
      <w:suff w:val="nothing"/>
      <w:lvlText w:val="%8）"/>
      <w:lvlJc w:val="left"/>
      <w:pPr>
        <w:ind w:left="-2570" w:firstLine="0"/>
      </w:pPr>
      <w:rPr>
        <w:rFonts w:hint="eastAsia"/>
      </w:rPr>
    </w:lvl>
    <w:lvl w:ilvl="8" w:tentative="0">
      <w:start w:val="1"/>
      <w:numFmt w:val="decimal"/>
      <w:suff w:val="nothing"/>
      <w:lvlText w:val="[%9] "/>
      <w:lvlJc w:val="left"/>
      <w:pPr>
        <w:ind w:left="-257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C0A01"/>
    <w:rsid w:val="0F203824"/>
    <w:rsid w:val="1EEC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120" w:line="560" w:lineRule="exact"/>
      <w:ind w:firstLine="640" w:firstLineChars="20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3"/>
    <w:qFormat/>
    <w:uiPriority w:val="9"/>
    <w:pPr>
      <w:spacing w:before="381" w:beforeLines="100" w:after="381" w:afterLines="100"/>
      <w:ind w:firstLine="0" w:firstLineChars="0"/>
      <w:jc w:val="center"/>
      <w:outlineLvl w:val="0"/>
    </w:pPr>
    <w:rPr>
      <w:rFonts w:ascii="黑体" w:eastAsia="黑体"/>
      <w:b/>
    </w:rPr>
  </w:style>
  <w:style w:type="paragraph" w:styleId="3">
    <w:name w:val="heading 2"/>
    <w:basedOn w:val="1"/>
    <w:next w:val="4"/>
    <w:qFormat/>
    <w:uiPriority w:val="0"/>
    <w:pPr>
      <w:spacing w:before="190" w:beforeLines="50" w:after="190" w:afterLines="50"/>
      <w:ind w:firstLine="643"/>
      <w:outlineLvl w:val="1"/>
    </w:pPr>
    <w:rPr>
      <w:rFonts w:ascii="楷体_GB2312" w:eastAsia="楷体_GB2312"/>
      <w:b/>
    </w:rPr>
  </w:style>
  <w:style w:type="paragraph" w:styleId="4">
    <w:name w:val="heading 3"/>
    <w:basedOn w:val="1"/>
    <w:next w:val="1"/>
    <w:qFormat/>
    <w:uiPriority w:val="9"/>
    <w:pPr>
      <w:numPr>
        <w:ilvl w:val="2"/>
        <w:numId w:val="1"/>
      </w:numPr>
      <w:spacing w:before="156" w:beforeLines="50" w:after="0" w:line="360" w:lineRule="auto"/>
      <w:outlineLvl w:val="2"/>
    </w:pPr>
    <w:rPr>
      <w:rFonts w:ascii="Times New Roman" w:eastAsia="宋体"/>
      <w:b/>
      <w:bCs/>
      <w:kern w:val="44"/>
      <w:sz w:val="3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2021-12-20T03:06:00Z</dcterms:created>
  <dc:creator>อยู่ชายเล็ก</dc:creator>
  <cp:lastModifiedBy>米露露</cp:lastModifiedBy>
  <dcterms:modified xsi:type="dcterms:W3CDTF">2022-03-11T12:34:14Z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1E16161F995648C8A8A30514248817CC</vt:lpwstr>
  </property>
</Properties>
</file>