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360" w:lineRule="auto"/>
        <w:ind w:firstLine="0" w:firstLineChars="0"/>
        <w:jc w:val="left"/>
        <w:rPr>
          <w:rFonts w:ascii="宋体" w:hAnsi="宋体"/>
          <w:color w:val="000000" w:themeColor="text1"/>
          <w:sz w:val="32"/>
          <w:szCs w:val="32"/>
          <w:highlight w:val="none"/>
          <w14:textFill>
            <w14:solidFill>
              <w14:schemeClr w14:val="tx1"/>
            </w14:solidFill>
          </w14:textFill>
        </w:rPr>
      </w:pPr>
      <w:r>
        <w:rPr>
          <w:rFonts w:hint="eastAsia" w:ascii="宋体" w:hAnsi="宋体" w:eastAsia="宋体" w:cs="Times New Roman"/>
          <w:snapToGrid/>
          <w:color w:val="000000" w:themeColor="text1"/>
          <w:kern w:val="2"/>
          <w:sz w:val="32"/>
          <w:szCs w:val="32"/>
          <w:highlight w:val="none"/>
          <w:lang w:eastAsia="zh-CN"/>
          <w14:textFill>
            <w14:solidFill>
              <w14:schemeClr w14:val="tx1"/>
            </w14:solidFill>
          </w14:textFill>
        </w:rPr>
        <w:t>DXTJ——2024——0101</w:t>
      </w:r>
      <w:r>
        <w:rPr>
          <w:rFonts w:hint="eastAsia" w:ascii="宋体" w:hAnsi="宋体"/>
          <w:color w:val="000000" w:themeColor="text1"/>
          <w:sz w:val="32"/>
          <w:szCs w:val="32"/>
          <w:highlight w:val="none"/>
          <w14:textFill>
            <w14:solidFill>
              <w14:schemeClr w14:val="tx1"/>
            </w14:solidFill>
          </w14:textFill>
        </w:rPr>
        <w:t xml:space="preserve"> </w:t>
      </w:r>
      <w:r>
        <w:rPr>
          <w:rFonts w:hint="eastAsia" w:ascii="宋体" w:hAnsi="宋体"/>
          <w:color w:val="000000" w:themeColor="text1"/>
          <w:sz w:val="32"/>
          <w:szCs w:val="32"/>
          <w:highlight w:val="none"/>
          <w:lang w:val="en-US" w:eastAsia="zh-CN"/>
          <w14:textFill>
            <w14:solidFill>
              <w14:schemeClr w14:val="tx1"/>
            </w14:solidFill>
          </w14:textFill>
        </w:rPr>
        <w:t xml:space="preserve">             </w:t>
      </w:r>
      <w:r>
        <w:rPr>
          <w:rFonts w:ascii="宋体" w:hAnsi="宋体"/>
          <w:color w:val="000000" w:themeColor="text1"/>
          <w:sz w:val="32"/>
          <w:szCs w:val="32"/>
          <w:highlight w:val="none"/>
          <w14:textFill>
            <w14:solidFill>
              <w14:schemeClr w14:val="tx1"/>
            </w14:solidFill>
          </w14:textFill>
        </w:rPr>
        <w:t>合同编号：</w:t>
      </w:r>
    </w:p>
    <w:p>
      <w:pPr>
        <w:spacing w:line="360" w:lineRule="auto"/>
        <w:rPr>
          <w:color w:val="000000" w:themeColor="text1"/>
          <w:highlight w:val="none"/>
          <w14:textFill>
            <w14:solidFill>
              <w14:schemeClr w14:val="tx1"/>
            </w14:solidFill>
          </w14:textFill>
        </w:rPr>
      </w:pPr>
    </w:p>
    <w:p>
      <w:pPr>
        <w:spacing w:line="360" w:lineRule="auto"/>
        <w:rPr>
          <w:rFonts w:hint="eastAsia"/>
          <w:color w:val="000000" w:themeColor="text1"/>
          <w:highlight w:val="none"/>
          <w14:textFill>
            <w14:solidFill>
              <w14:schemeClr w14:val="tx1"/>
            </w14:solidFill>
          </w14:textFill>
        </w:rPr>
      </w:pPr>
    </w:p>
    <w:p>
      <w:pPr>
        <w:spacing w:line="360" w:lineRule="auto"/>
        <w:rPr>
          <w:rFonts w:hint="eastAsia"/>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北京市</w:t>
      </w:r>
      <w:r>
        <w:rPr>
          <w:rFonts w:hint="eastAsia" w:ascii="宋体" w:hAnsi="宋体" w:eastAsia="宋体" w:cs="宋体"/>
          <w:b/>
          <w:color w:val="000000" w:themeColor="text1"/>
          <w:sz w:val="72"/>
          <w:szCs w:val="72"/>
          <w:highlight w:val="none"/>
          <w:lang w:val="en-US" w:eastAsia="zh-CN"/>
          <w14:textFill>
            <w14:solidFill>
              <w14:schemeClr w14:val="tx1"/>
            </w14:solidFill>
          </w14:textFill>
        </w:rPr>
        <w:t>大兴区集体经营性建设用地上</w:t>
      </w:r>
      <w:r>
        <w:rPr>
          <w:rFonts w:hint="eastAsia" w:ascii="宋体" w:hAnsi="宋体" w:eastAsia="宋体" w:cs="宋体"/>
          <w:b/>
          <w:color w:val="000000" w:themeColor="text1"/>
          <w:sz w:val="72"/>
          <w:szCs w:val="72"/>
          <w:highlight w:val="none"/>
          <w14:textFill>
            <w14:solidFill>
              <w14:schemeClr w14:val="tx1"/>
            </w14:solidFill>
          </w14:textFill>
        </w:rPr>
        <w:t>共有产权住房</w:t>
      </w: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现房买卖合同</w:t>
      </w:r>
    </w:p>
    <w:p>
      <w:pPr>
        <w:spacing w:line="360" w:lineRule="auto"/>
        <w:rPr>
          <w:b/>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ind w:firstLine="643"/>
        <w:jc w:val="left"/>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甲方（开发企业）</w:t>
      </w:r>
      <w:r>
        <w:rPr>
          <w:b/>
          <w:color w:val="000000" w:themeColor="text1"/>
          <w:sz w:val="32"/>
          <w:highlight w:val="none"/>
          <w14:textFill>
            <w14:solidFill>
              <w14:schemeClr w14:val="tx1"/>
            </w14:solidFill>
          </w14:textFill>
        </w:rPr>
        <w:t>：</w:t>
      </w:r>
      <w:r>
        <w:rPr>
          <w:rFonts w:ascii="宋体" w:hAnsi="宋体"/>
          <w:b/>
          <w:color w:val="000000" w:themeColor="text1"/>
          <w:sz w:val="32"/>
          <w:highlight w:val="none"/>
          <w14:textFill>
            <w14:solidFill>
              <w14:schemeClr w14:val="tx1"/>
            </w14:solidFill>
          </w14:textFill>
        </w:rPr>
        <w:t>__________________________________</w:t>
      </w:r>
      <w:r>
        <w:rPr>
          <w:b/>
          <w:color w:val="000000" w:themeColor="text1"/>
          <w:sz w:val="32"/>
          <w:highlight w:val="none"/>
          <w14:textFill>
            <w14:solidFill>
              <w14:schemeClr w14:val="tx1"/>
            </w14:solidFill>
          </w14:textFill>
        </w:rPr>
        <w:t xml:space="preserve">                        </w:t>
      </w:r>
    </w:p>
    <w:p>
      <w:pPr>
        <w:spacing w:line="360" w:lineRule="auto"/>
        <w:ind w:firstLine="643"/>
        <w:jc w:val="left"/>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乙方（购 房 人）</w:t>
      </w:r>
      <w:r>
        <w:rPr>
          <w:b/>
          <w:color w:val="000000" w:themeColor="text1"/>
          <w:sz w:val="32"/>
          <w:highlight w:val="none"/>
          <w14:textFill>
            <w14:solidFill>
              <w14:schemeClr w14:val="tx1"/>
            </w14:solidFill>
          </w14:textFill>
        </w:rPr>
        <w:t>：</w:t>
      </w:r>
      <w:r>
        <w:rPr>
          <w:rFonts w:ascii="宋体" w:hAnsi="宋体"/>
          <w:b/>
          <w:color w:val="000000" w:themeColor="text1"/>
          <w:sz w:val="32"/>
          <w:highlight w:val="none"/>
          <w14:textFill>
            <w14:solidFill>
              <w14:schemeClr w14:val="tx1"/>
            </w14:solidFill>
          </w14:textFill>
        </w:rPr>
        <w:t>__________________________________</w:t>
      </w:r>
      <w:r>
        <w:rPr>
          <w:b/>
          <w:color w:val="000000" w:themeColor="text1"/>
          <w:sz w:val="32"/>
          <w:highlight w:val="none"/>
          <w14:textFill>
            <w14:solidFill>
              <w14:schemeClr w14:val="tx1"/>
            </w14:solidFill>
          </w14:textFill>
        </w:rPr>
        <w:t xml:space="preserve">                       </w:t>
      </w:r>
    </w:p>
    <w:p>
      <w:pPr>
        <w:spacing w:line="360" w:lineRule="auto"/>
        <w:rPr>
          <w:rFonts w:hint="eastAsia"/>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 xml:space="preserve">    丙方（代持机构）：</w:t>
      </w:r>
      <w:r>
        <w:rPr>
          <w:rFonts w:ascii="宋体" w:hAnsi="宋体"/>
          <w:b/>
          <w:color w:val="000000" w:themeColor="text1"/>
          <w:sz w:val="32"/>
          <w:highlight w:val="none"/>
          <w14:textFill>
            <w14:solidFill>
              <w14:schemeClr w14:val="tx1"/>
            </w14:solidFill>
          </w14:textFill>
        </w:rPr>
        <w:t>__________________________________</w:t>
      </w:r>
    </w:p>
    <w:p>
      <w:pPr>
        <w:spacing w:line="360" w:lineRule="auto"/>
        <w:ind w:firstLine="645"/>
        <w:rPr>
          <w:rFonts w:hint="eastAsia" w:ascii="宋体" w:hAnsi="宋体"/>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项目名称：__________________________________________</w:t>
      </w:r>
      <w:r>
        <w:rPr>
          <w:rFonts w:hint="eastAsia" w:ascii="宋体" w:hAnsi="宋体"/>
          <w:b/>
          <w:color w:val="000000" w:themeColor="text1"/>
          <w:sz w:val="32"/>
          <w:highlight w:val="none"/>
          <w14:textFill>
            <w14:solidFill>
              <w14:schemeClr w14:val="tx1"/>
            </w14:solidFill>
          </w14:textFill>
        </w:rPr>
        <w:t xml:space="preserve">   </w:t>
      </w:r>
    </w:p>
    <w:p>
      <w:pPr>
        <w:spacing w:line="360" w:lineRule="auto"/>
        <w:ind w:firstLine="645"/>
        <w:rPr>
          <w:rFonts w:hint="eastAsia"/>
          <w:b/>
          <w:color w:val="000000" w:themeColor="text1"/>
          <w:sz w:val="32"/>
          <w:highlight w:val="non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t xml:space="preserve">房屋坐落：_________________________________________  </w:t>
      </w:r>
    </w:p>
    <w:p>
      <w:pPr>
        <w:spacing w:line="360" w:lineRule="auto"/>
        <w:rPr>
          <w:rFonts w:hint="eastAsia"/>
          <w:b/>
          <w:color w:val="000000" w:themeColor="text1"/>
          <w:sz w:val="32"/>
          <w:highlight w:val="none"/>
          <w14:textFill>
            <w14:solidFill>
              <w14:schemeClr w14:val="tx1"/>
            </w14:solidFill>
          </w14:textFill>
        </w:rPr>
      </w:pPr>
    </w:p>
    <w:p>
      <w:pPr>
        <w:spacing w:line="360" w:lineRule="auto"/>
        <w:rPr>
          <w:b/>
          <w:color w:val="000000" w:themeColor="text1"/>
          <w:sz w:val="32"/>
          <w:highlight w:val="none"/>
          <w14:textFill>
            <w14:solidFill>
              <w14:schemeClr w14:val="tx1"/>
            </w14:solidFill>
          </w14:textFill>
        </w:rPr>
      </w:pPr>
    </w:p>
    <w:p>
      <w:pPr>
        <w:spacing w:line="360" w:lineRule="auto"/>
        <w:ind w:left="2339" w:right="2171" w:hanging="2339"/>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北京市</w:t>
      </w:r>
      <w:r>
        <w:rPr>
          <w:rFonts w:hint="eastAsia"/>
          <w:b/>
          <w:color w:val="000000" w:themeColor="text1"/>
          <w:sz w:val="32"/>
          <w:szCs w:val="32"/>
          <w:highlight w:val="none"/>
          <w:lang w:val="en-US" w:eastAsia="zh-CN"/>
          <w14:textFill>
            <w14:solidFill>
              <w14:schemeClr w14:val="tx1"/>
            </w14:solidFill>
          </w14:textFill>
        </w:rPr>
        <w:t>大兴区</w:t>
      </w:r>
      <w:r>
        <w:rPr>
          <w:rFonts w:hint="eastAsia"/>
          <w:b/>
          <w:color w:val="000000" w:themeColor="text1"/>
          <w:sz w:val="32"/>
          <w:szCs w:val="32"/>
          <w:highlight w:val="none"/>
          <w14:textFill>
            <w14:solidFill>
              <w14:schemeClr w14:val="tx1"/>
            </w14:solidFill>
          </w14:textFill>
        </w:rPr>
        <w:t>住房和城乡</w:t>
      </w:r>
      <w:r>
        <w:rPr>
          <w:b/>
          <w:color w:val="000000" w:themeColor="text1"/>
          <w:sz w:val="32"/>
          <w:szCs w:val="32"/>
          <w:highlight w:val="none"/>
          <w14:textFill>
            <w14:solidFill>
              <w14:schemeClr w14:val="tx1"/>
            </w14:solidFill>
          </w14:textFill>
        </w:rPr>
        <w:t>建设委员会</w:t>
      </w:r>
    </w:p>
    <w:p>
      <w:pPr>
        <w:tabs>
          <w:tab w:val="left" w:pos="1440"/>
          <w:tab w:val="left" w:pos="1620"/>
          <w:tab w:val="left" w:pos="2340"/>
        </w:tabs>
        <w:spacing w:line="360" w:lineRule="auto"/>
        <w:ind w:right="2090"/>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北京市</w:t>
      </w:r>
      <w:r>
        <w:rPr>
          <w:rFonts w:hint="eastAsia"/>
          <w:b/>
          <w:color w:val="000000" w:themeColor="text1"/>
          <w:sz w:val="32"/>
          <w:szCs w:val="32"/>
          <w:highlight w:val="none"/>
          <w:lang w:val="en-US" w:eastAsia="zh-CN"/>
          <w14:textFill>
            <w14:solidFill>
              <w14:schemeClr w14:val="tx1"/>
            </w14:solidFill>
          </w14:textFill>
        </w:rPr>
        <w:t>大兴区</w:t>
      </w:r>
      <w:r>
        <w:rPr>
          <w:rFonts w:hint="eastAsia"/>
          <w:b/>
          <w:color w:val="000000" w:themeColor="text1"/>
          <w:sz w:val="32"/>
          <w:szCs w:val="32"/>
          <w:highlight w:val="none"/>
          <w14:textFill>
            <w14:solidFill>
              <w14:schemeClr w14:val="tx1"/>
            </w14:solidFill>
          </w14:textFill>
        </w:rPr>
        <w:t>市场监督管理局</w:t>
      </w:r>
    </w:p>
    <w:p>
      <w:pPr>
        <w:tabs>
          <w:tab w:val="left" w:pos="1440"/>
          <w:tab w:val="left" w:pos="1620"/>
          <w:tab w:val="left" w:pos="2340"/>
        </w:tabs>
        <w:spacing w:line="360" w:lineRule="auto"/>
        <w:ind w:right="2090"/>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2024</w:t>
      </w:r>
      <w:r>
        <w:rPr>
          <w:rFonts w:hint="eastAsia"/>
          <w:b/>
          <w:color w:val="000000" w:themeColor="text1"/>
          <w:sz w:val="32"/>
          <w:szCs w:val="32"/>
          <w:highlight w:val="none"/>
          <w14:textFill>
            <w14:solidFill>
              <w14:schemeClr w14:val="tx1"/>
            </w14:solidFill>
          </w14:textFill>
        </w:rPr>
        <w:t>年</w:t>
      </w:r>
      <w:r>
        <w:rPr>
          <w:rFonts w:hint="eastAsia"/>
          <w:b/>
          <w:color w:val="000000" w:themeColor="text1"/>
          <w:sz w:val="32"/>
          <w:szCs w:val="32"/>
          <w:highlight w:val="none"/>
          <w:lang w:val="en-US" w:eastAsia="zh-CN"/>
          <w14:textFill>
            <w14:solidFill>
              <w14:schemeClr w14:val="tx1"/>
            </w14:solidFill>
          </w14:textFill>
        </w:rPr>
        <w:t>11</w:t>
      </w:r>
      <w:r>
        <w:rPr>
          <w:rFonts w:hint="eastAsia"/>
          <w:b/>
          <w:color w:val="000000" w:themeColor="text1"/>
          <w:sz w:val="32"/>
          <w:szCs w:val="32"/>
          <w:highlight w:val="none"/>
          <w14:textFill>
            <w14:solidFill>
              <w14:schemeClr w14:val="tx1"/>
            </w14:solidFill>
          </w14:textFill>
        </w:rPr>
        <w:t>月</w:t>
      </w:r>
    </w:p>
    <w:p>
      <w:pPr>
        <w:spacing w:line="360" w:lineRule="auto"/>
        <w:jc w:val="center"/>
        <w:rPr>
          <w:rFonts w:hint="eastAsia"/>
          <w:b/>
          <w:color w:val="000000" w:themeColor="text1"/>
          <w:sz w:val="36"/>
          <w:szCs w:val="36"/>
          <w:highlight w:val="none"/>
          <w14:textFill>
            <w14:solidFill>
              <w14:schemeClr w14:val="tx1"/>
            </w14:solidFill>
          </w14:textFill>
        </w:rPr>
      </w:pPr>
    </w:p>
    <w:p>
      <w:pPr>
        <w:pStyle w:val="10"/>
        <w:ind w:firstLine="390" w:firstLineChars="108"/>
        <w:jc w:val="center"/>
        <w:rPr>
          <w:rFonts w:hint="eastAsia" w:ascii="黑体" w:hAnsi="黑体" w:eastAsia="黑体"/>
          <w:b/>
          <w:color w:val="000000" w:themeColor="text1"/>
          <w:sz w:val="36"/>
          <w:szCs w:val="36"/>
          <w:highlight w:val="none"/>
          <w14:textFill>
            <w14:solidFill>
              <w14:schemeClr w14:val="tx1"/>
            </w14:solidFill>
          </w14:textFill>
        </w:rPr>
        <w:sectPr>
          <w:footerReference r:id="rId5" w:type="first"/>
          <w:headerReference r:id="rId3" w:type="default"/>
          <w:footerReference r:id="rId4" w:type="even"/>
          <w:pgSz w:w="11905" w:h="16837"/>
          <w:pgMar w:top="1440" w:right="1415" w:bottom="1440" w:left="1560" w:header="720" w:footer="721" w:gutter="0"/>
          <w:pgNumType w:fmt="decimal" w:start="1"/>
          <w:cols w:space="720" w:num="1"/>
          <w:docGrid w:type="lines" w:linePitch="312" w:charSpace="0"/>
        </w:sectPr>
      </w:pPr>
    </w:p>
    <w:p>
      <w:pPr>
        <w:pStyle w:val="10"/>
        <w:ind w:firstLine="0" w:firstLineChars="0"/>
        <w:jc w:val="both"/>
        <w:rPr>
          <w:rFonts w:hint="eastAsia" w:ascii="黑体" w:hAnsi="黑体" w:eastAsia="黑体"/>
          <w:b/>
          <w:color w:val="000000" w:themeColor="text1"/>
          <w:sz w:val="36"/>
          <w:szCs w:val="36"/>
          <w:highlight w:val="none"/>
          <w14:textFill>
            <w14:solidFill>
              <w14:schemeClr w14:val="tx1"/>
            </w14:solidFill>
          </w14:textFill>
        </w:rPr>
      </w:pPr>
    </w:p>
    <w:p>
      <w:pPr>
        <w:pStyle w:val="10"/>
        <w:ind w:firstLine="388" w:firstLineChars="108"/>
        <w:jc w:val="center"/>
        <w:rPr>
          <w:rFonts w:hint="eastAsia" w:ascii="黑体" w:hAnsi="黑体" w:eastAsia="黑体"/>
          <w:b w:val="0"/>
          <w:bCs/>
          <w:color w:val="000000" w:themeColor="text1"/>
          <w:sz w:val="36"/>
          <w:szCs w:val="36"/>
          <w:highlight w:val="none"/>
          <w14:textFill>
            <w14:solidFill>
              <w14:schemeClr w14:val="tx1"/>
            </w14:solidFill>
          </w14:textFill>
        </w:rPr>
      </w:pPr>
      <w:r>
        <w:rPr>
          <w:rFonts w:hint="eastAsia" w:ascii="黑体" w:hAnsi="黑体" w:eastAsia="黑体"/>
          <w:b w:val="0"/>
          <w:bCs/>
          <w:color w:val="000000" w:themeColor="text1"/>
          <w:sz w:val="36"/>
          <w:szCs w:val="36"/>
          <w:highlight w:val="none"/>
          <w14:textFill>
            <w14:solidFill>
              <w14:schemeClr w14:val="tx1"/>
            </w14:solidFill>
          </w14:textFill>
        </w:rPr>
        <w:t>目   录</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说明</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特别提示</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术语解释</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第一章 合同当事人</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第二章 共有产权住房基本状况</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第三章 共有产权住房价款</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第四章 共有产权住房交付条件和交付手续</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第五章 共有产权住房质量和保修责任</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第六章 不动产登记</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 xml:space="preserve">第七章 </w:t>
      </w:r>
      <w:r>
        <w:rPr>
          <w:rFonts w:hint="eastAsia"/>
          <w:b w:val="0"/>
          <w:bCs/>
          <w:color w:val="000000" w:themeColor="text1"/>
          <w:sz w:val="30"/>
          <w:highlight w:val="none"/>
          <w:lang w:eastAsia="zh-CN"/>
          <w14:textFill>
            <w14:solidFill>
              <w14:schemeClr w14:val="tx1"/>
            </w14:solidFill>
          </w14:textFill>
        </w:rPr>
        <w:t>前期</w:t>
      </w:r>
      <w:r>
        <w:rPr>
          <w:rFonts w:hint="eastAsia"/>
          <w:b w:val="0"/>
          <w:bCs/>
          <w:color w:val="000000" w:themeColor="text1"/>
          <w:sz w:val="30"/>
          <w:highlight w:val="none"/>
          <w14:textFill>
            <w14:solidFill>
              <w14:schemeClr w14:val="tx1"/>
            </w14:solidFill>
          </w14:textFill>
        </w:rPr>
        <w:t>物业管理</w:t>
      </w:r>
    </w:p>
    <w:p>
      <w:pPr>
        <w:pStyle w:val="10"/>
        <w:rPr>
          <w:rFonts w:hint="eastAsia"/>
          <w:b w:val="0"/>
          <w:bCs/>
          <w:color w:val="000000" w:themeColor="text1"/>
          <w:sz w:val="30"/>
          <w:highlight w:val="none"/>
          <w14:textFill>
            <w14:solidFill>
              <w14:schemeClr w14:val="tx1"/>
            </w14:solidFill>
          </w14:textFill>
        </w:rPr>
      </w:pPr>
      <w:r>
        <w:rPr>
          <w:rFonts w:hint="eastAsia"/>
          <w:b w:val="0"/>
          <w:bCs/>
          <w:color w:val="000000" w:themeColor="text1"/>
          <w:sz w:val="30"/>
          <w:highlight w:val="none"/>
          <w14:textFill>
            <w14:solidFill>
              <w14:schemeClr w14:val="tx1"/>
            </w14:solidFill>
          </w14:textFill>
        </w:rPr>
        <w:t>第八章 其他事项</w:t>
      </w:r>
    </w:p>
    <w:p>
      <w:pPr>
        <w:spacing w:line="360" w:lineRule="auto"/>
        <w:jc w:val="center"/>
        <w:rPr>
          <w:rFonts w:hint="eastAsia"/>
          <w:b/>
          <w:color w:val="000000" w:themeColor="text1"/>
          <w:sz w:val="36"/>
          <w:szCs w:val="36"/>
          <w:highlight w:val="none"/>
          <w14:textFill>
            <w14:solidFill>
              <w14:schemeClr w14:val="tx1"/>
            </w14:solidFill>
          </w14:textFill>
        </w:rPr>
      </w:pPr>
    </w:p>
    <w:p>
      <w:pPr>
        <w:spacing w:line="360" w:lineRule="auto"/>
        <w:jc w:val="both"/>
        <w:rPr>
          <w:rFonts w:hint="eastAsia"/>
          <w:b/>
          <w:color w:val="000000" w:themeColor="text1"/>
          <w:sz w:val="36"/>
          <w:szCs w:val="36"/>
          <w:highlight w:val="none"/>
          <w14:textFill>
            <w14:solidFill>
              <w14:schemeClr w14:val="tx1"/>
            </w14:solidFill>
          </w14:textFill>
        </w:rPr>
      </w:pPr>
    </w:p>
    <w:p>
      <w:pPr>
        <w:spacing w:line="360" w:lineRule="auto"/>
        <w:jc w:val="center"/>
        <w:rPr>
          <w:rFonts w:ascii="黑体" w:hAnsi="黑体" w:eastAsia="黑体"/>
          <w:b/>
          <w:color w:val="000000" w:themeColor="text1"/>
          <w:sz w:val="36"/>
          <w:szCs w:val="36"/>
          <w:highlight w:val="none"/>
          <w14:textFill>
            <w14:solidFill>
              <w14:schemeClr w14:val="tx1"/>
            </w14:solidFill>
          </w14:textFill>
        </w:rPr>
        <w:sectPr>
          <w:footerReference r:id="rId7" w:type="first"/>
          <w:footerReference r:id="rId6" w:type="default"/>
          <w:pgSz w:w="11905" w:h="16837"/>
          <w:pgMar w:top="1440" w:right="1415" w:bottom="1440" w:left="1560" w:header="720" w:footer="721" w:gutter="0"/>
          <w:pgNumType w:fmt="decimal"/>
          <w:cols w:space="720" w:num="1"/>
          <w:docGrid w:type="lines" w:linePitch="312" w:charSpace="0"/>
        </w:sectPr>
      </w:pPr>
    </w:p>
    <w:p>
      <w:pPr>
        <w:spacing w:line="560" w:lineRule="exact"/>
        <w:jc w:val="center"/>
        <w:rPr>
          <w:rFonts w:hint="eastAsia" w:ascii="黑体" w:hAnsi="黑体" w:eastAsia="黑体"/>
          <w:b w:val="0"/>
          <w:bCs/>
          <w:color w:val="000000" w:themeColor="text1"/>
          <w:sz w:val="36"/>
          <w:szCs w:val="36"/>
          <w:highlight w:val="none"/>
          <w14:textFill>
            <w14:solidFill>
              <w14:schemeClr w14:val="tx1"/>
            </w14:solidFill>
          </w14:textFill>
        </w:rPr>
      </w:pPr>
      <w:r>
        <w:rPr>
          <w:rFonts w:ascii="黑体" w:hAnsi="黑体" w:eastAsia="黑体"/>
          <w:b w:val="0"/>
          <w:bCs/>
          <w:color w:val="000000" w:themeColor="text1"/>
          <w:sz w:val="36"/>
          <w:szCs w:val="36"/>
          <w:highlight w:val="none"/>
          <w14:textFill>
            <w14:solidFill>
              <w14:schemeClr w14:val="tx1"/>
            </w14:solidFill>
          </w14:textFill>
        </w:rPr>
        <w:t>说    明</w:t>
      </w:r>
    </w:p>
    <w:p>
      <w:pPr>
        <w:spacing w:line="560" w:lineRule="exact"/>
        <w:ind w:firstLine="482"/>
        <w:textAlignment w:val="baseline"/>
        <w:rPr>
          <w:rFonts w:hint="eastAsia" w:ascii="宋体" w:hAnsi="宋体" w:eastAsia="宋体" w:cs="Times New Roman"/>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本合同文本为</w:t>
      </w:r>
      <w:r>
        <w:rPr>
          <w:rFonts w:hint="eastAsia" w:ascii="宋体" w:hAnsi="宋体"/>
          <w:color w:val="000000" w:themeColor="text1"/>
          <w:sz w:val="24"/>
          <w:highlight w:val="none"/>
          <w:lang w:val="en-US" w:eastAsia="zh-CN"/>
          <w14:textFill>
            <w14:solidFill>
              <w14:schemeClr w14:val="tx1"/>
            </w14:solidFill>
          </w14:textFill>
        </w:rPr>
        <w:t>区域性推荐</w:t>
      </w:r>
      <w:r>
        <w:rPr>
          <w:rFonts w:hint="eastAsia" w:ascii="宋体" w:hAnsi="宋体"/>
          <w:color w:val="000000" w:themeColor="text1"/>
          <w:sz w:val="24"/>
          <w:highlight w:val="none"/>
          <w14:textFill>
            <w14:solidFill>
              <w14:schemeClr w14:val="tx1"/>
            </w14:solidFill>
          </w14:textFill>
        </w:rPr>
        <w:t>共有产权住房现房买卖合同</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由北京市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大兴区</w:t>
      </w:r>
      <w:r>
        <w:rPr>
          <w:rFonts w:hint="eastAsia" w:ascii="宋体" w:hAnsi="宋体" w:eastAsia="宋体" w:cs="Times New Roman"/>
          <w:color w:val="000000" w:themeColor="text1"/>
          <w:sz w:val="24"/>
          <w:szCs w:val="24"/>
          <w:highlight w:val="none"/>
          <w14:textFill>
            <w14:solidFill>
              <w14:schemeClr w14:val="tx1"/>
            </w14:solidFill>
          </w14:textFill>
        </w:rPr>
        <w:t>住房和城乡建设委员会、北京市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大兴区</w:t>
      </w:r>
      <w:r>
        <w:rPr>
          <w:rFonts w:hint="eastAsia" w:ascii="宋体" w:hAnsi="宋体" w:eastAsia="宋体" w:cs="Times New Roman"/>
          <w:color w:val="000000" w:themeColor="text1"/>
          <w:sz w:val="24"/>
          <w:szCs w:val="24"/>
          <w:highlight w:val="none"/>
          <w14:textFill>
            <w14:solidFill>
              <w14:schemeClr w14:val="tx1"/>
            </w14:solidFill>
          </w14:textFill>
        </w:rPr>
        <w:t>市场监督管理局共同制定，适用于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北京市大兴区集体经营性建设用地上</w:t>
      </w:r>
      <w:r>
        <w:rPr>
          <w:rFonts w:hint="eastAsia" w:ascii="宋体" w:hAnsi="宋体" w:eastAsia="宋体" w:cs="Times New Roman"/>
          <w:color w:val="000000" w:themeColor="text1"/>
          <w:sz w:val="24"/>
          <w:szCs w:val="24"/>
          <w:highlight w:val="none"/>
          <w14:textFill>
            <w14:solidFill>
              <w14:schemeClr w14:val="tx1"/>
            </w14:solidFill>
          </w14:textFill>
        </w:rPr>
        <w:t>共有产权住房</w:t>
      </w:r>
      <w:r>
        <w:rPr>
          <w:rFonts w:hint="eastAsia" w:ascii="宋体" w:hAnsi="宋体" w:eastAsia="宋体" w:cs="Times New Roman"/>
          <w:color w:val="000000" w:themeColor="text1"/>
          <w:sz w:val="24"/>
          <w:szCs w:val="24"/>
          <w:highlight w:val="none"/>
          <w:lang w:eastAsia="zh-CN"/>
          <w14:textFill>
            <w14:solidFill>
              <w14:schemeClr w14:val="tx1"/>
            </w14:solidFill>
          </w14:textFill>
        </w:rPr>
        <w:t>现售</w:t>
      </w:r>
      <w:r>
        <w:rPr>
          <w:rFonts w:hint="eastAsia" w:ascii="宋体" w:hAnsi="宋体" w:eastAsia="宋体" w:cs="Times New Roman"/>
          <w:color w:val="000000" w:themeColor="text1"/>
          <w:sz w:val="24"/>
          <w:szCs w:val="24"/>
          <w:highlight w:val="none"/>
          <w14:textFill>
            <w14:solidFill>
              <w14:schemeClr w14:val="tx1"/>
            </w14:solidFill>
          </w14:textFill>
        </w:rPr>
        <w:t>。</w:t>
      </w:r>
    </w:p>
    <w:p>
      <w:pPr>
        <w:spacing w:line="560" w:lineRule="exact"/>
        <w:ind w:firstLine="482"/>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签订</w:t>
      </w:r>
      <w:r>
        <w:rPr>
          <w:rFonts w:hint="eastAsia" w:ascii="宋体" w:hAnsi="宋体"/>
          <w:color w:val="000000" w:themeColor="text1"/>
          <w:sz w:val="24"/>
          <w:highlight w:val="none"/>
          <w14:textFill>
            <w14:solidFill>
              <w14:schemeClr w14:val="tx1"/>
            </w14:solidFill>
          </w14:textFill>
        </w:rPr>
        <w:t>本合同文本</w:t>
      </w:r>
      <w:r>
        <w:rPr>
          <w:rFonts w:ascii="宋体" w:hAnsi="宋体"/>
          <w:color w:val="000000" w:themeColor="text1"/>
          <w:sz w:val="24"/>
          <w:highlight w:val="none"/>
          <w14:textFill>
            <w14:solidFill>
              <w14:schemeClr w14:val="tx1"/>
            </w14:solidFill>
          </w14:textFill>
        </w:rPr>
        <w:t>前，</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应当向</w:t>
      </w: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丙方</w:t>
      </w:r>
      <w:r>
        <w:rPr>
          <w:rFonts w:ascii="宋体" w:hAnsi="宋体"/>
          <w:color w:val="000000" w:themeColor="text1"/>
          <w:sz w:val="24"/>
          <w:highlight w:val="none"/>
          <w14:textFill>
            <w14:solidFill>
              <w14:schemeClr w14:val="tx1"/>
            </w14:solidFill>
          </w14:textFill>
        </w:rPr>
        <w:t>出示</w:t>
      </w:r>
      <w:r>
        <w:rPr>
          <w:rFonts w:hint="eastAsia" w:ascii="宋体" w:hAnsi="宋体"/>
          <w:color w:val="000000" w:themeColor="text1"/>
          <w:sz w:val="24"/>
          <w:highlight w:val="none"/>
          <w:lang w:val="en-US" w:eastAsia="zh-CN"/>
          <w14:textFill>
            <w14:solidFill>
              <w14:schemeClr w14:val="tx1"/>
            </w14:solidFill>
          </w14:textFill>
        </w:rPr>
        <w:t>集体经营性建设用地</w:t>
      </w:r>
      <w:r>
        <w:rPr>
          <w:rFonts w:hint="eastAsia" w:ascii="宋体" w:hAnsi="宋体"/>
          <w:color w:val="000000" w:themeColor="text1"/>
          <w:sz w:val="24"/>
          <w:highlight w:val="none"/>
          <w14:textFill>
            <w14:solidFill>
              <w14:schemeClr w14:val="tx1"/>
            </w14:solidFill>
          </w14:textFill>
        </w:rPr>
        <w:t>使用权、不动产所有权等</w:t>
      </w:r>
      <w:r>
        <w:rPr>
          <w:rFonts w:ascii="宋体" w:hAnsi="宋体"/>
          <w:color w:val="000000" w:themeColor="text1"/>
          <w:sz w:val="24"/>
          <w:highlight w:val="none"/>
          <w14:textFill>
            <w14:solidFill>
              <w14:schemeClr w14:val="tx1"/>
            </w14:solidFill>
          </w14:textFill>
        </w:rPr>
        <w:t>有关证书和证明文件。</w:t>
      </w:r>
    </w:p>
    <w:p>
      <w:pPr>
        <w:spacing w:line="560" w:lineRule="exact"/>
        <w:ind w:firstLine="482"/>
        <w:textAlignment w:val="baseline"/>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3.甲方应当就合同重大事项对乙方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丙方尽到提示义务。乙方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丙方应当审慎签订合同，并在签订本合同前仔细阅读合同条款，特别是其中具有选择性、补充性、修改性的内容，注意防范潜在的市场交易风险。</w:t>
      </w:r>
    </w:p>
    <w:p>
      <w:pPr>
        <w:spacing w:line="560" w:lineRule="exact"/>
        <w:ind w:firstLine="482"/>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当事人应当按</w:t>
      </w:r>
      <w:r>
        <w:rPr>
          <w:rFonts w:hint="eastAsia" w:ascii="宋体" w:hAnsi="宋体"/>
          <w:color w:val="000000" w:themeColor="text1"/>
          <w:sz w:val="24"/>
          <w:highlight w:val="none"/>
          <w14:textFill>
            <w14:solidFill>
              <w14:schemeClr w14:val="tx1"/>
            </w14:solidFill>
          </w14:textFill>
        </w:rPr>
        <w:t>照</w:t>
      </w:r>
      <w:r>
        <w:rPr>
          <w:rFonts w:ascii="宋体" w:hAnsi="宋体"/>
          <w:color w:val="000000" w:themeColor="text1"/>
          <w:sz w:val="24"/>
          <w:highlight w:val="none"/>
          <w14:textFill>
            <w14:solidFill>
              <w14:schemeClr w14:val="tx1"/>
            </w14:solidFill>
          </w14:textFill>
        </w:rPr>
        <w:t>自愿、</w:t>
      </w:r>
      <w:r>
        <w:rPr>
          <w:rFonts w:hint="eastAsia" w:ascii="宋体" w:hAnsi="宋体"/>
          <w:color w:val="000000" w:themeColor="text1"/>
          <w:sz w:val="24"/>
          <w:highlight w:val="none"/>
          <w14:textFill>
            <w14:solidFill>
              <w14:schemeClr w14:val="tx1"/>
            </w14:solidFill>
          </w14:textFill>
        </w:rPr>
        <w:t>平等、</w:t>
      </w:r>
      <w:r>
        <w:rPr>
          <w:rFonts w:ascii="宋体" w:hAnsi="宋体"/>
          <w:color w:val="000000" w:themeColor="text1"/>
          <w:sz w:val="24"/>
          <w:highlight w:val="none"/>
          <w14:textFill>
            <w14:solidFill>
              <w14:schemeClr w14:val="tx1"/>
            </w14:solidFill>
          </w14:textFill>
        </w:rPr>
        <w:t>公平及诚实信用的原则订立合同，任何一方不得将自己的意志强加给另一方。</w:t>
      </w:r>
      <w:r>
        <w:rPr>
          <w:rFonts w:hint="eastAsia" w:ascii="宋体" w:hAnsi="宋体"/>
          <w:color w:val="000000" w:themeColor="text1"/>
          <w:sz w:val="24"/>
          <w:highlight w:val="none"/>
          <w14:textFill>
            <w14:solidFill>
              <w14:schemeClr w14:val="tx1"/>
            </w14:solidFill>
          </w14:textFill>
        </w:rPr>
        <w:t>三</w:t>
      </w:r>
      <w:r>
        <w:rPr>
          <w:rFonts w:ascii="宋体" w:hAnsi="宋体"/>
          <w:color w:val="000000" w:themeColor="text1"/>
          <w:sz w:val="24"/>
          <w:highlight w:val="none"/>
          <w14:textFill>
            <w14:solidFill>
              <w14:schemeClr w14:val="tx1"/>
            </w14:solidFill>
          </w14:textFill>
        </w:rPr>
        <w:t>方当事人可以</w:t>
      </w:r>
      <w:r>
        <w:rPr>
          <w:rFonts w:hint="eastAsia" w:ascii="宋体" w:hAnsi="宋体"/>
          <w:color w:val="000000" w:themeColor="text1"/>
          <w:sz w:val="24"/>
          <w:highlight w:val="none"/>
          <w14:textFill>
            <w14:solidFill>
              <w14:schemeClr w14:val="tx1"/>
            </w14:solidFill>
          </w14:textFill>
        </w:rPr>
        <w:t>在协商一致的基础上</w:t>
      </w:r>
      <w:r>
        <w:rPr>
          <w:rFonts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14:textFill>
            <w14:solidFill>
              <w14:schemeClr w14:val="tx1"/>
            </w14:solidFill>
          </w14:textFill>
        </w:rPr>
        <w:t>本合同</w:t>
      </w:r>
      <w:r>
        <w:rPr>
          <w:rFonts w:ascii="宋体" w:hAnsi="宋体"/>
          <w:color w:val="000000" w:themeColor="text1"/>
          <w:sz w:val="24"/>
          <w:highlight w:val="none"/>
          <w14:textFill>
            <w14:solidFill>
              <w14:schemeClr w14:val="tx1"/>
            </w14:solidFill>
          </w14:textFill>
        </w:rPr>
        <w:t>文本的内容进行修改、增补或删减。合同生效后，未被修改的文本打印文字视为</w:t>
      </w:r>
      <w:r>
        <w:rPr>
          <w:rFonts w:hint="eastAsia" w:ascii="宋体" w:hAnsi="宋体"/>
          <w:color w:val="000000" w:themeColor="text1"/>
          <w:sz w:val="24"/>
          <w:highlight w:val="none"/>
          <w14:textFill>
            <w14:solidFill>
              <w14:schemeClr w14:val="tx1"/>
            </w14:solidFill>
          </w14:textFill>
        </w:rPr>
        <w:t>三方</w:t>
      </w:r>
      <w:r>
        <w:rPr>
          <w:rFonts w:ascii="宋体" w:hAnsi="宋体"/>
          <w:color w:val="000000" w:themeColor="text1"/>
          <w:sz w:val="24"/>
          <w:highlight w:val="none"/>
          <w14:textFill>
            <w14:solidFill>
              <w14:schemeClr w14:val="tx1"/>
            </w14:solidFill>
          </w14:textFill>
        </w:rPr>
        <w:t>当事人同意内容。</w:t>
      </w:r>
    </w:p>
    <w:p>
      <w:pPr>
        <w:pStyle w:val="10"/>
        <w:spacing w:before="0" w:beforeAutospacing="0" w:after="0" w:afterAutospacing="0" w:line="560" w:lineRule="exact"/>
        <w:ind w:firstLine="480" w:firstLineChars="200"/>
        <w:rPr>
          <w:rFonts w:hint="eastAsia"/>
          <w:color w:val="000000" w:themeColor="text1"/>
          <w:szCs w:val="18"/>
          <w:highlight w:val="none"/>
          <w14:textFill>
            <w14:solidFill>
              <w14:schemeClr w14:val="tx1"/>
            </w14:solidFill>
          </w14:textFill>
        </w:rPr>
      </w:pPr>
      <w:r>
        <w:rPr>
          <w:rFonts w:eastAsia="宋体" w:cs="Times New Roman"/>
          <w:color w:val="000000" w:themeColor="text1"/>
          <w:szCs w:val="18"/>
          <w:highlight w:val="none"/>
          <w14:textFill>
            <w14:solidFill>
              <w14:schemeClr w14:val="tx1"/>
            </w14:solidFill>
          </w14:textFill>
        </w:rPr>
        <w:t>5</w:t>
      </w:r>
      <w:r>
        <w:rPr>
          <w:rFonts w:hint="default" w:eastAsia="宋体" w:cs="Times New Roman"/>
          <w:color w:val="000000" w:themeColor="text1"/>
          <w:szCs w:val="18"/>
          <w:highlight w:val="none"/>
          <w14:textFill>
            <w14:solidFill>
              <w14:schemeClr w14:val="tx1"/>
            </w14:solidFill>
          </w14:textFill>
        </w:rPr>
        <w:t>.三方当事人</w:t>
      </w:r>
      <w:r>
        <w:rPr>
          <w:rFonts w:eastAsia="宋体" w:cs="Times New Roman"/>
          <w:color w:val="000000" w:themeColor="text1"/>
          <w:szCs w:val="18"/>
          <w:highlight w:val="none"/>
          <w14:textFill>
            <w14:solidFill>
              <w14:schemeClr w14:val="tx1"/>
            </w14:solidFill>
          </w14:textFill>
        </w:rPr>
        <w:t>可以针对合同中未约定或约定不详的内容，根据所售</w:t>
      </w:r>
      <w:r>
        <w:rPr>
          <w:rFonts w:hint="default" w:eastAsia="宋体" w:cs="Times New Roman"/>
          <w:color w:val="000000" w:themeColor="text1"/>
          <w:szCs w:val="18"/>
          <w:highlight w:val="none"/>
          <w14:textFill>
            <w14:solidFill>
              <w14:schemeClr w14:val="tx1"/>
            </w14:solidFill>
          </w14:textFill>
        </w:rPr>
        <w:t>房屋及所在</w:t>
      </w:r>
      <w:r>
        <w:rPr>
          <w:rFonts w:eastAsia="宋体" w:cs="Times New Roman"/>
          <w:color w:val="000000" w:themeColor="text1"/>
          <w:szCs w:val="18"/>
          <w:highlight w:val="none"/>
          <w14:textFill>
            <w14:solidFill>
              <w14:schemeClr w14:val="tx1"/>
            </w14:solidFill>
          </w14:textFill>
        </w:rPr>
        <w:t>项目的具体情况</w:t>
      </w:r>
      <w:r>
        <w:rPr>
          <w:rFonts w:hint="default" w:eastAsia="宋体" w:cs="Times New Roman"/>
          <w:color w:val="000000" w:themeColor="text1"/>
          <w:szCs w:val="18"/>
          <w:highlight w:val="none"/>
          <w14:textFill>
            <w14:solidFill>
              <w14:schemeClr w14:val="tx1"/>
            </w14:solidFill>
          </w14:textFill>
        </w:rPr>
        <w:t>在相关条款后的空白行中进行补充约定，也可以另行签订补充协议</w:t>
      </w:r>
      <w:r>
        <w:rPr>
          <w:rFonts w:hint="default" w:eastAsia="宋体" w:cs="Times New Roman"/>
          <w:color w:val="000000" w:themeColor="text1"/>
          <w:szCs w:val="18"/>
          <w:highlight w:val="none"/>
          <w:lang w:eastAsia="zh-CN"/>
          <w14:textFill>
            <w14:solidFill>
              <w14:schemeClr w14:val="tx1"/>
            </w14:solidFill>
          </w14:textFill>
        </w:rPr>
        <w:t>，</w:t>
      </w:r>
      <w:r>
        <w:rPr>
          <w:rFonts w:ascii="宋体" w:hAnsi="宋体" w:eastAsia="宋体" w:cs="Times New Roman"/>
          <w:color w:val="000000" w:themeColor="text1"/>
          <w:kern w:val="0"/>
          <w:sz w:val="24"/>
          <w:szCs w:val="18"/>
          <w:highlight w:val="none"/>
          <w:lang w:val="en-US" w:eastAsia="zh-CN" w:bidi="ar"/>
          <w14:textFill>
            <w14:solidFill>
              <w14:schemeClr w14:val="tx1"/>
            </w14:solidFill>
          </w14:textFill>
        </w:rPr>
        <w:t>补充协议内容不得与主合同条款冲突。</w:t>
      </w:r>
      <w:r>
        <w:rPr>
          <w:rFonts w:hint="default" w:eastAsia="宋体" w:cs="Times New Roman"/>
          <w:color w:val="000000" w:themeColor="text1"/>
          <w:szCs w:val="18"/>
          <w:highlight w:val="none"/>
          <w14:textFill>
            <w14:solidFill>
              <w14:schemeClr w14:val="tx1"/>
            </w14:solidFill>
          </w14:textFill>
        </w:rPr>
        <w:t>合同当事人不得擅自添加、修改附件内容</w:t>
      </w:r>
      <w:r>
        <w:rPr>
          <w:rFonts w:hint="default" w:eastAsia="宋体" w:cs="Times New Roman"/>
          <w:color w:val="000000" w:themeColor="text1"/>
          <w:szCs w:val="18"/>
          <w:highlight w:val="none"/>
          <w:lang w:eastAsia="zh-CN"/>
          <w14:textFill>
            <w14:solidFill>
              <w14:schemeClr w14:val="tx1"/>
            </w14:solidFill>
          </w14:textFill>
        </w:rPr>
        <w:t>，</w:t>
      </w:r>
      <w:r>
        <w:rPr>
          <w:rFonts w:ascii="宋体" w:hAnsi="宋体" w:eastAsia="宋体" w:cs="Times New Roman"/>
          <w:color w:val="000000" w:themeColor="text1"/>
          <w:kern w:val="0"/>
          <w:sz w:val="24"/>
          <w:szCs w:val="18"/>
          <w:highlight w:val="none"/>
          <w:lang w:val="en-US" w:eastAsia="zh-CN" w:bidi="ar"/>
          <w14:textFill>
            <w14:solidFill>
              <w14:schemeClr w14:val="tx1"/>
            </w14:solidFill>
          </w14:textFill>
        </w:rPr>
        <w:t>且附件内容不得与主合同条款冲突。</w:t>
      </w:r>
    </w:p>
    <w:p>
      <w:pPr>
        <w:pStyle w:val="10"/>
        <w:spacing w:before="0" w:beforeAutospacing="0" w:after="0" w:afterAutospacing="0" w:line="5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本合同文本【 】中选择内容、空格部位填写</w:t>
      </w:r>
      <w:r>
        <w:rPr>
          <w:rFonts w:hint="eastAsia"/>
          <w:color w:val="000000" w:themeColor="text1"/>
          <w:sz w:val="24"/>
          <w:highlight w:val="none"/>
          <w:lang w:eastAsia="zh-CN"/>
          <w14:textFill>
            <w14:solidFill>
              <w14:schemeClr w14:val="tx1"/>
            </w14:solidFill>
          </w14:textFill>
        </w:rPr>
        <w:t>内容</w:t>
      </w:r>
      <w:r>
        <w:rPr>
          <w:rFonts w:ascii="宋体" w:hAnsi="宋体"/>
          <w:color w:val="000000" w:themeColor="text1"/>
          <w:sz w:val="24"/>
          <w:highlight w:val="none"/>
          <w14:textFill>
            <w14:solidFill>
              <w14:schemeClr w14:val="tx1"/>
            </w14:solidFill>
          </w14:textFill>
        </w:rPr>
        <w:t>及其他需要删除或添加的内容，</w:t>
      </w:r>
      <w:r>
        <w:rPr>
          <w:rFonts w:hint="eastAsia" w:ascii="宋体" w:hAnsi="宋体"/>
          <w:color w:val="000000" w:themeColor="text1"/>
          <w:sz w:val="24"/>
          <w:highlight w:val="none"/>
          <w14:textFill>
            <w14:solidFill>
              <w14:schemeClr w14:val="tx1"/>
            </w14:solidFill>
          </w14:textFill>
        </w:rPr>
        <w:t>三方当事人</w:t>
      </w:r>
      <w:r>
        <w:rPr>
          <w:rFonts w:ascii="宋体" w:hAnsi="宋体"/>
          <w:color w:val="000000" w:themeColor="text1"/>
          <w:sz w:val="24"/>
          <w:highlight w:val="none"/>
          <w14:textFill>
            <w14:solidFill>
              <w14:schemeClr w14:val="tx1"/>
            </w14:solidFill>
          </w14:textFill>
        </w:rPr>
        <w:t>应当协商确定。【 】中选择内容，以划√方式选定；对于实际情况未发生或</w:t>
      </w:r>
      <w:r>
        <w:rPr>
          <w:rFonts w:hint="eastAsia" w:ascii="宋体" w:hAnsi="宋体"/>
          <w:color w:val="000000" w:themeColor="text1"/>
          <w:sz w:val="24"/>
          <w:highlight w:val="none"/>
          <w14:textFill>
            <w14:solidFill>
              <w14:schemeClr w14:val="tx1"/>
            </w14:solidFill>
          </w14:textFill>
        </w:rPr>
        <w:t>双方</w:t>
      </w:r>
      <w:r>
        <w:rPr>
          <w:rFonts w:ascii="宋体" w:hAnsi="宋体"/>
          <w:color w:val="000000" w:themeColor="text1"/>
          <w:sz w:val="24"/>
          <w:highlight w:val="none"/>
          <w14:textFill>
            <w14:solidFill>
              <w14:schemeClr w14:val="tx1"/>
            </w14:solidFill>
          </w14:textFill>
        </w:rPr>
        <w:t>当事人不作约定时，应当在空格部位打×，以示删除。</w:t>
      </w:r>
    </w:p>
    <w:p>
      <w:pPr>
        <w:spacing w:line="560" w:lineRule="exact"/>
        <w:ind w:firstLine="482"/>
        <w:textAlignment w:val="baseline"/>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根据《中华人民共和国民法典》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pPr>
        <w:spacing w:line="560" w:lineRule="exact"/>
        <w:ind w:firstLine="482"/>
        <w:textAlignment w:val="baseline"/>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8.</w:t>
      </w:r>
      <w:r>
        <w:rPr>
          <w:rFonts w:hint="eastAsia" w:ascii="宋体" w:hAnsi="宋体" w:eastAsia="宋体"/>
          <w:color w:val="000000" w:themeColor="text1"/>
          <w:sz w:val="24"/>
          <w:highlight w:val="none"/>
          <w:lang w:val="en-US" w:eastAsia="zh-CN"/>
          <w14:textFill>
            <w14:solidFill>
              <w14:schemeClr w14:val="tx1"/>
            </w14:solidFill>
          </w14:textFill>
        </w:rPr>
        <w:t>当事人在履行合同中发生争议的，可以协商和解，或通过消费者协会、房地产行业协会等相关机构调解，或向有关行政部门投诉，也可以选择向有管辖权的人民法院起诉，或选择向仲裁委员会申请仲裁。如选择申请仲裁的，可以向北京仲裁委员会、中国国际经济贸易仲裁委员会、外地的仲裁委员会申请。”</w:t>
      </w:r>
    </w:p>
    <w:p>
      <w:pPr>
        <w:spacing w:line="560" w:lineRule="exact"/>
        <w:ind w:firstLine="482"/>
        <w:textAlignment w:val="baseline"/>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当事人可以根据实际情况决定本合同原件的份数，并在签订合同时认真核对，确保各份合同内容一致；在任何情况下，</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、乙方和丙方都应当至少持有一份合同原件。</w:t>
      </w:r>
    </w:p>
    <w:p>
      <w:pPr>
        <w:pStyle w:val="10"/>
        <w:spacing w:before="0" w:beforeAutospacing="0" w:after="0" w:afterAutospacing="0" w:line="560" w:lineRule="exact"/>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10.本合同文本中涉及的国家、地方及相关行业规范、标准为本共有产权住房规划设计节点时需符合的规范、标准。</w:t>
      </w:r>
    </w:p>
    <w:p>
      <w:pPr>
        <w:spacing w:line="560" w:lineRule="exact"/>
        <w:rPr>
          <w:rFonts w:ascii="宋体" w:hAnsi="宋体"/>
          <w:color w:val="000000" w:themeColor="text1"/>
          <w:kern w:val="0"/>
          <w:sz w:val="24"/>
          <w:szCs w:val="24"/>
          <w:highlight w:val="none"/>
          <w14:textFill>
            <w14:solidFill>
              <w14:schemeClr w14:val="tx1"/>
            </w14:solidFill>
          </w14:textFill>
        </w:rPr>
        <w:sectPr>
          <w:footerReference r:id="rId8" w:type="default"/>
          <w:pgSz w:w="11905" w:h="16837"/>
          <w:pgMar w:top="1440" w:right="1415" w:bottom="1440" w:left="1560" w:header="720" w:footer="721" w:gutter="0"/>
          <w:pgNumType w:fmt="decimal" w:start="1"/>
          <w:cols w:space="720" w:num="1"/>
          <w:docGrid w:type="lines" w:linePitch="312" w:charSpace="0"/>
        </w:sectPr>
      </w:pPr>
    </w:p>
    <w:p>
      <w:pPr>
        <w:spacing w:line="360" w:lineRule="auto"/>
        <w:jc w:val="center"/>
        <w:rPr>
          <w:rFonts w:hint="eastAsia" w:ascii="方正小标宋简体" w:hAnsi="宋体" w:eastAsia="方正小标宋简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特别提示</w:t>
      </w:r>
    </w:p>
    <w:p>
      <w:pPr>
        <w:pStyle w:val="10"/>
        <w:spacing w:before="0" w:beforeAutospacing="0" w:after="0" w:afterAutospacing="0" w:line="348" w:lineRule="auto"/>
        <w:ind w:firstLineChars="200"/>
        <w:rPr>
          <w:rFonts w:hint="eastAsia"/>
          <w:color w:val="000000" w:themeColor="text1"/>
          <w:highlight w:val="none"/>
          <w14:textFill>
            <w14:solidFill>
              <w14:schemeClr w14:val="tx1"/>
            </w14:solidFill>
          </w14:textFill>
        </w:rPr>
      </w:pPr>
    </w:p>
    <w:p>
      <w:pPr>
        <w:pStyle w:val="10"/>
        <w:spacing w:before="0" w:beforeAutospacing="0" w:after="0" w:afterAutospacing="0"/>
        <w:ind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您购买的房屋为</w:t>
      </w:r>
      <w:r>
        <w:rPr>
          <w:rFonts w:hint="eastAsia"/>
          <w:color w:val="000000" w:themeColor="text1"/>
          <w:highlight w:val="none"/>
          <w:lang w:val="en-US" w:eastAsia="zh-CN"/>
          <w14:textFill>
            <w14:solidFill>
              <w14:schemeClr w14:val="tx1"/>
            </w14:solidFill>
          </w14:textFill>
        </w:rPr>
        <w:t>集体经营性建设用地上</w:t>
      </w:r>
      <w:r>
        <w:rPr>
          <w:rFonts w:hint="eastAsia"/>
          <w:color w:val="000000" w:themeColor="text1"/>
          <w:highlight w:val="none"/>
          <w14:textFill>
            <w14:solidFill>
              <w14:schemeClr w14:val="tx1"/>
            </w14:solidFill>
          </w14:textFill>
        </w:rPr>
        <w:t>共有产权住房，在签订合同前，请您认真阅读并知晓《北京市共有产权住房管理暂行办法》全部内容，按照《北京市共有产权住房管理暂行办法》规定和合同约定保障自身权益，履行相应义务。根据《中华人民共和国土地管理法实施条例》（中华人民共和国国务院令 第743号）</w:t>
      </w:r>
      <w:r>
        <w:rPr>
          <w:rFonts w:hint="eastAsia"/>
          <w:b/>
          <w:bCs/>
          <w:color w:val="000000" w:themeColor="text1"/>
          <w:highlight w:val="none"/>
          <w14:textFill>
            <w14:solidFill>
              <w14:schemeClr w14:val="tx1"/>
            </w14:solidFill>
          </w14:textFill>
        </w:rPr>
        <w:t>第四十三条，“集体建设用地使用权的出让及其最高年限、转让、互换、出资、赠与、抵押等，参照同类用途的国有建设用地执行，法律、行政法规另有规定的除外”。项目宗地具体使用期限、转让、期限届满和使用权终止等相关问题，详见各项目单位公示的《北京市集体经营性建设用地使用合同》。</w:t>
      </w:r>
    </w:p>
    <w:p>
      <w:pPr>
        <w:pStyle w:val="10"/>
        <w:spacing w:before="0" w:beforeAutospacing="0" w:after="0" w:afterAutospacing="0" w:line="348" w:lineRule="auto"/>
        <w:ind w:firstLineChars="200"/>
        <w:rPr>
          <w:color w:val="000000" w:themeColor="text1"/>
          <w:highlight w:val="none"/>
          <w14:textFill>
            <w14:solidFill>
              <w14:schemeClr w14:val="tx1"/>
            </w14:solidFill>
          </w14:textFill>
        </w:rPr>
      </w:pPr>
    </w:p>
    <w:p>
      <w:pPr>
        <w:pStyle w:val="10"/>
        <w:spacing w:before="0" w:beforeAutospacing="0" w:after="0" w:afterAutospacing="0"/>
        <w:ind w:firstLineChars="200"/>
        <w:rPr>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甲方应当按照规划行政主管部门核发的建设工程规划许可证规定的条件建设、交付该共有产权住房，并按照规划性质销售。</w:t>
      </w:r>
      <w:r>
        <w:rPr>
          <w:rFonts w:hint="eastAsia"/>
          <w:color w:val="000000" w:themeColor="text1"/>
          <w:szCs w:val="18"/>
          <w:highlight w:val="none"/>
          <w14:textFill>
            <w14:solidFill>
              <w14:schemeClr w14:val="tx1"/>
            </w14:solidFill>
          </w14:textFill>
        </w:rPr>
        <w:t>乙方</w:t>
      </w:r>
      <w:r>
        <w:rPr>
          <w:color w:val="000000" w:themeColor="text1"/>
          <w:szCs w:val="18"/>
          <w:highlight w:val="none"/>
          <w14:textFill>
            <w14:solidFill>
              <w14:schemeClr w14:val="tx1"/>
            </w14:solidFill>
          </w14:textFill>
        </w:rPr>
        <w:t>使用该</w:t>
      </w:r>
      <w:r>
        <w:rPr>
          <w:rFonts w:hint="eastAsia"/>
          <w:color w:val="000000" w:themeColor="text1"/>
          <w:szCs w:val="18"/>
          <w:highlight w:val="none"/>
          <w14:textFill>
            <w14:solidFill>
              <w14:schemeClr w14:val="tx1"/>
            </w14:solidFill>
          </w14:textFill>
        </w:rPr>
        <w:t>房屋</w:t>
      </w:r>
      <w:r>
        <w:rPr>
          <w:color w:val="000000" w:themeColor="text1"/>
          <w:szCs w:val="18"/>
          <w:highlight w:val="none"/>
          <w14:textFill>
            <w14:solidFill>
              <w14:schemeClr w14:val="tx1"/>
            </w14:solidFill>
          </w14:textFill>
        </w:rPr>
        <w:t>期间，不得擅自改变该</w:t>
      </w:r>
      <w:r>
        <w:rPr>
          <w:rFonts w:hint="eastAsia"/>
          <w:color w:val="000000" w:themeColor="text1"/>
          <w:szCs w:val="18"/>
          <w:highlight w:val="none"/>
          <w14:textFill>
            <w14:solidFill>
              <w14:schemeClr w14:val="tx1"/>
            </w14:solidFill>
          </w14:textFill>
        </w:rPr>
        <w:t>共有产权住房</w:t>
      </w:r>
      <w:r>
        <w:rPr>
          <w:color w:val="000000" w:themeColor="text1"/>
          <w:szCs w:val="18"/>
          <w:highlight w:val="none"/>
          <w14:textFill>
            <w14:solidFill>
              <w14:schemeClr w14:val="tx1"/>
            </w14:solidFill>
          </w14:textFill>
        </w:rPr>
        <w:t>的</w:t>
      </w:r>
      <w:r>
        <w:rPr>
          <w:rFonts w:hint="eastAsia"/>
          <w:color w:val="000000" w:themeColor="text1"/>
          <w:szCs w:val="18"/>
          <w:highlight w:val="none"/>
          <w:lang w:eastAsia="zh-CN"/>
          <w14:textFill>
            <w14:solidFill>
              <w14:schemeClr w14:val="tx1"/>
            </w14:solidFill>
          </w14:textFill>
        </w:rPr>
        <w:t>用途</w:t>
      </w:r>
      <w:r>
        <w:rPr>
          <w:rFonts w:hint="eastAsia"/>
          <w:color w:val="000000" w:themeColor="text1"/>
          <w:szCs w:val="18"/>
          <w:highlight w:val="none"/>
          <w14:textFill>
            <w14:solidFill>
              <w14:schemeClr w14:val="tx1"/>
            </w14:solidFill>
          </w14:textFill>
        </w:rPr>
        <w:t>、</w:t>
      </w:r>
      <w:r>
        <w:rPr>
          <w:color w:val="000000" w:themeColor="text1"/>
          <w:szCs w:val="18"/>
          <w:highlight w:val="none"/>
          <w14:textFill>
            <w14:solidFill>
              <w14:schemeClr w14:val="tx1"/>
            </w14:solidFill>
          </w14:textFill>
        </w:rPr>
        <w:t>建筑主体结构和承重结构。</w:t>
      </w:r>
    </w:p>
    <w:p>
      <w:pPr>
        <w:pStyle w:val="10"/>
        <w:spacing w:before="0" w:beforeAutospacing="0" w:after="0" w:afterAutospacing="0"/>
        <w:ind w:firstLineChars="200"/>
        <w:rPr>
          <w:rFonts w:hint="eastAsia"/>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丙方应按照《关于加强本市共有产权住房政府产权份额代持机构管理的通知》（京建发〔</w:t>
      </w:r>
      <w:r>
        <w:rPr>
          <w:rFonts w:hint="eastAsia"/>
          <w:color w:val="000000" w:themeColor="text1"/>
          <w:szCs w:val="24"/>
          <w:highlight w:val="none"/>
          <w14:textFill>
            <w14:solidFill>
              <w14:schemeClr w14:val="tx1"/>
            </w14:solidFill>
          </w14:textFill>
        </w:rPr>
        <w:t>2021〕419号）的相关规定履行管理、监督等职责。</w:t>
      </w:r>
    </w:p>
    <w:p>
      <w:pPr>
        <w:pStyle w:val="10"/>
        <w:spacing w:before="0" w:beforeAutospacing="0" w:after="0" w:afterAutospacing="0"/>
        <w:ind w:firstLine="480" w:firstLineChars="200"/>
        <w:rPr>
          <w:rFonts w:hint="eastAsia"/>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本项目于</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szCs w:val="18"/>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szCs w:val="18"/>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szCs w:val="18"/>
          <w:highlight w:val="none"/>
          <w14:textFill>
            <w14:solidFill>
              <w14:schemeClr w14:val="tx1"/>
            </w14:solidFill>
          </w14:textFill>
        </w:rPr>
        <w:t>日</w:t>
      </w:r>
      <w:r>
        <w:rPr>
          <w:color w:val="000000" w:themeColor="text1"/>
          <w:szCs w:val="18"/>
          <w:highlight w:val="none"/>
          <w14:textFill>
            <w14:solidFill>
              <w14:schemeClr w14:val="tx1"/>
            </w14:solidFill>
          </w14:textFill>
        </w:rPr>
        <w:t>取得</w:t>
      </w:r>
      <w:r>
        <w:rPr>
          <w:rFonts w:hint="eastAsia"/>
          <w:color w:val="000000" w:themeColor="text1"/>
          <w:szCs w:val="18"/>
          <w:highlight w:val="none"/>
          <w:lang w:val="en-US" w:eastAsia="zh-CN"/>
          <w14:textFill>
            <w14:solidFill>
              <w14:schemeClr w14:val="tx1"/>
            </w14:solidFill>
          </w14:textFill>
        </w:rPr>
        <w:t>北京市集体经营性建设用地</w:t>
      </w:r>
      <w:r>
        <w:rPr>
          <w:color w:val="000000" w:themeColor="text1"/>
          <w:szCs w:val="18"/>
          <w:highlight w:val="none"/>
          <w14:textFill>
            <w14:solidFill>
              <w14:schemeClr w14:val="tx1"/>
            </w14:solidFill>
          </w14:textFill>
        </w:rPr>
        <w:t>使用</w:t>
      </w:r>
      <w:r>
        <w:rPr>
          <w:rFonts w:hint="eastAsia"/>
          <w:color w:val="000000" w:themeColor="text1"/>
          <w:szCs w:val="18"/>
          <w:highlight w:val="none"/>
          <w14:textFill>
            <w14:solidFill>
              <w14:schemeClr w14:val="tx1"/>
            </w14:solidFill>
          </w14:textFill>
        </w:rPr>
        <w:t>权</w:t>
      </w:r>
      <w:r>
        <w:rPr>
          <w:color w:val="000000" w:themeColor="text1"/>
          <w:szCs w:val="18"/>
          <w:highlight w:val="none"/>
          <w14:textFill>
            <w14:solidFill>
              <w14:schemeClr w14:val="tx1"/>
            </w14:solidFill>
          </w14:textFill>
        </w:rPr>
        <w:t>挂牌出让成交确认书</w:t>
      </w:r>
      <w:r>
        <w:rPr>
          <w:rFonts w:hint="eastAsia"/>
          <w:color w:val="000000" w:themeColor="text1"/>
          <w:szCs w:val="18"/>
          <w:highlight w:val="none"/>
          <w14:textFill>
            <w14:solidFill>
              <w14:schemeClr w14:val="tx1"/>
            </w14:solidFill>
          </w14:textFill>
        </w:rPr>
        <w:t>，并</w:t>
      </w:r>
      <w:r>
        <w:rPr>
          <w:color w:val="000000" w:themeColor="text1"/>
          <w:szCs w:val="18"/>
          <w:highlight w:val="none"/>
          <w14:textFill>
            <w14:solidFill>
              <w14:schemeClr w14:val="tx1"/>
            </w14:solidFill>
          </w14:textFill>
        </w:rPr>
        <w:t>按照</w:t>
      </w:r>
      <w:r>
        <w:rPr>
          <w:rFonts w:hint="eastAsia"/>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hint="eastAsia" w:cs="Microsoft JhengHei"/>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cs="Microsoft JhengHei"/>
          <w:color w:val="000000" w:themeColor="text1"/>
          <w:spacing w:val="14"/>
          <w:highlight w:val="none"/>
          <w:u w:val="single"/>
          <w14:textFill>
            <w14:solidFill>
              <w14:schemeClr w14:val="tx1"/>
            </w14:solidFill>
          </w14:textFill>
        </w:rPr>
        <w:t xml:space="preserve"> </w:t>
      </w:r>
      <w:r>
        <w:rPr>
          <w:color w:val="000000" w:themeColor="text1"/>
          <w:szCs w:val="18"/>
          <w:highlight w:val="none"/>
          <w14:textFill>
            <w14:solidFill>
              <w14:schemeClr w14:val="tx1"/>
            </w14:solidFill>
          </w14:textFill>
        </w:rPr>
        <w:t>有关</w:t>
      </w:r>
      <w:r>
        <w:rPr>
          <w:rFonts w:hint="eastAsia"/>
          <w:color w:val="000000" w:themeColor="text1"/>
          <w:szCs w:val="18"/>
          <w:highlight w:val="none"/>
          <w14:textFill>
            <w14:solidFill>
              <w14:schemeClr w14:val="tx1"/>
            </w14:solidFill>
          </w14:textFill>
        </w:rPr>
        <w:t>要求</w:t>
      </w:r>
      <w:r>
        <w:rPr>
          <w:color w:val="000000" w:themeColor="text1"/>
          <w:szCs w:val="18"/>
          <w:highlight w:val="none"/>
          <w14:textFill>
            <w14:solidFill>
              <w14:schemeClr w14:val="tx1"/>
            </w14:solidFill>
          </w14:textFill>
        </w:rPr>
        <w:t>进行设计建设，适用《</w:t>
      </w:r>
      <w:r>
        <w:rPr>
          <w:rFonts w:hint="eastAsia"/>
          <w:color w:val="000000" w:themeColor="text1"/>
          <w:szCs w:val="18"/>
          <w:highlight w:val="none"/>
          <w14:textFill>
            <w14:solidFill>
              <w14:schemeClr w14:val="tx1"/>
            </w14:solidFill>
          </w14:textFill>
        </w:rPr>
        <w:t>关于</w:t>
      </w:r>
      <w:r>
        <w:rPr>
          <w:color w:val="000000" w:themeColor="text1"/>
          <w:szCs w:val="18"/>
          <w:highlight w:val="none"/>
          <w14:textFill>
            <w14:solidFill>
              <w14:schemeClr w14:val="tx1"/>
            </w14:solidFill>
          </w14:textFill>
        </w:rPr>
        <w:t>印发</w:t>
      </w:r>
      <w:r>
        <w:rPr>
          <w:rFonts w:hint="eastAsia"/>
          <w:color w:val="000000" w:themeColor="text1"/>
          <w:szCs w:val="18"/>
          <w:highlight w:val="none"/>
          <w14:textFill>
            <w14:solidFill>
              <w14:schemeClr w14:val="tx1"/>
            </w14:solidFill>
          </w14:textFill>
        </w:rPr>
        <w:t>﹤</w:t>
      </w:r>
      <w:r>
        <w:rPr>
          <w:rFonts w:hint="eastAsia"/>
          <w:color w:val="000000" w:themeColor="text1"/>
          <w:highlight w:val="none"/>
          <w14:textFill>
            <w14:solidFill>
              <w14:schemeClr w14:val="tx1"/>
            </w14:solidFill>
          </w14:textFill>
        </w:rPr>
        <w:t>北京市共有产权住房规划设计宜居建设导则（试行）</w:t>
      </w:r>
      <w:r>
        <w:rPr>
          <w:rFonts w:hint="eastAsia"/>
          <w:color w:val="000000" w:themeColor="text1"/>
          <w:szCs w:val="18"/>
          <w:highlight w:val="none"/>
          <w14:textFill>
            <w14:solidFill>
              <w14:schemeClr w14:val="tx1"/>
            </w14:solidFill>
          </w14:textFill>
        </w:rPr>
        <w:t>﹥的</w:t>
      </w:r>
      <w:r>
        <w:rPr>
          <w:color w:val="000000" w:themeColor="text1"/>
          <w:szCs w:val="18"/>
          <w:highlight w:val="none"/>
          <w14:textFill>
            <w14:solidFill>
              <w14:schemeClr w14:val="tx1"/>
            </w14:solidFill>
          </w14:textFill>
        </w:rPr>
        <w:t>通知》</w:t>
      </w:r>
      <w:r>
        <w:rPr>
          <w:rFonts w:hint="eastAsia"/>
          <w:color w:val="000000" w:themeColor="text1"/>
          <w:szCs w:val="18"/>
          <w:highlight w:val="none"/>
          <w14:textFill>
            <w14:solidFill>
              <w14:schemeClr w14:val="tx1"/>
            </w14:solidFill>
          </w14:textFill>
        </w:rPr>
        <w:t>（京建法〔2017〕</w:t>
      </w:r>
      <w:r>
        <w:rPr>
          <w:color w:val="000000" w:themeColor="text1"/>
          <w:szCs w:val="18"/>
          <w:highlight w:val="none"/>
          <w14:textFill>
            <w14:solidFill>
              <w14:schemeClr w14:val="tx1"/>
            </w14:solidFill>
          </w14:textFill>
        </w:rPr>
        <w:t>20</w:t>
      </w:r>
      <w:r>
        <w:rPr>
          <w:rFonts w:hint="eastAsia"/>
          <w:color w:val="000000" w:themeColor="text1"/>
          <w:szCs w:val="18"/>
          <w:highlight w:val="none"/>
          <w14:textFill>
            <w14:solidFill>
              <w14:schemeClr w14:val="tx1"/>
            </w14:solidFill>
          </w14:textFill>
        </w:rPr>
        <w:t>号）相关</w:t>
      </w:r>
      <w:r>
        <w:rPr>
          <w:rFonts w:hint="eastAsia"/>
          <w:color w:val="000000" w:themeColor="text1"/>
          <w:szCs w:val="18"/>
          <w:highlight w:val="none"/>
          <w:lang w:eastAsia="zh-CN"/>
          <w14:textFill>
            <w14:solidFill>
              <w14:schemeClr w14:val="tx1"/>
            </w14:solidFill>
          </w14:textFill>
        </w:rPr>
        <w:t>管理</w:t>
      </w:r>
      <w:r>
        <w:rPr>
          <w:color w:val="000000" w:themeColor="text1"/>
          <w:szCs w:val="18"/>
          <w:highlight w:val="none"/>
          <w14:textFill>
            <w14:solidFill>
              <w14:schemeClr w14:val="tx1"/>
            </w14:solidFill>
          </w14:textFill>
        </w:rPr>
        <w:t>规定</w:t>
      </w:r>
      <w:r>
        <w:rPr>
          <w:rFonts w:hint="eastAsia"/>
          <w:color w:val="000000" w:themeColor="text1"/>
          <w:szCs w:val="18"/>
          <w:highlight w:val="none"/>
          <w:lang w:eastAsia="zh-CN"/>
          <w14:textFill>
            <w14:solidFill>
              <w14:schemeClr w14:val="tx1"/>
            </w14:solidFill>
          </w14:textFill>
        </w:rPr>
        <w:t>，建设标准执行【《</w:t>
      </w:r>
      <w:r>
        <w:rPr>
          <w:rFonts w:hint="eastAsia"/>
          <w:color w:val="000000" w:themeColor="text1"/>
          <w:highlight w:val="none"/>
          <w14:textFill>
            <w14:solidFill>
              <w14:schemeClr w14:val="tx1"/>
            </w14:solidFill>
          </w14:textFill>
        </w:rPr>
        <w:t>北京市共有产权住房规划设计宜居建设导则（试行）</w:t>
      </w:r>
      <w:r>
        <w:rPr>
          <w:rFonts w:hint="eastAsia"/>
          <w:color w:val="000000" w:themeColor="text1"/>
          <w:szCs w:val="18"/>
          <w:highlight w:val="none"/>
          <w:lang w:eastAsia="zh-CN"/>
          <w14:textFill>
            <w14:solidFill>
              <w14:schemeClr w14:val="tx1"/>
            </w14:solidFill>
          </w14:textFill>
        </w:rPr>
        <w:t>》】【《</w:t>
      </w:r>
      <w:r>
        <w:rPr>
          <w:rFonts w:hint="eastAsia" w:eastAsia="宋体" w:cs="Times New Roman"/>
          <w:color w:val="000000" w:themeColor="text1"/>
          <w:szCs w:val="18"/>
          <w:highlight w:val="none"/>
          <w14:textFill>
            <w14:solidFill>
              <w14:schemeClr w14:val="tx1"/>
            </w14:solidFill>
          </w14:textFill>
        </w:rPr>
        <w:t>北京市共有产权住房规划设计宜居建设导则（</w:t>
      </w:r>
      <w:r>
        <w:rPr>
          <w:rFonts w:hint="eastAsia" w:eastAsia="宋体" w:cs="Times New Roman"/>
          <w:color w:val="000000" w:themeColor="text1"/>
          <w:szCs w:val="18"/>
          <w:highlight w:val="none"/>
          <w:lang w:val="en-US" w:eastAsia="zh-CN"/>
          <w14:textFill>
            <w14:solidFill>
              <w14:schemeClr w14:val="tx1"/>
            </w14:solidFill>
          </w14:textFill>
        </w:rPr>
        <w:t>2021年版</w:t>
      </w:r>
      <w:r>
        <w:rPr>
          <w:rFonts w:hint="eastAsia" w:eastAsia="宋体" w:cs="Times New Roman"/>
          <w:color w:val="000000" w:themeColor="text1"/>
          <w:szCs w:val="18"/>
          <w:highlight w:val="none"/>
          <w14:textFill>
            <w14:solidFill>
              <w14:schemeClr w14:val="tx1"/>
            </w14:solidFill>
          </w14:textFill>
        </w:rPr>
        <w:t>）</w:t>
      </w:r>
      <w:r>
        <w:rPr>
          <w:rFonts w:hint="eastAsia" w:eastAsia="宋体" w:cs="Times New Roman"/>
          <w:color w:val="000000" w:themeColor="text1"/>
          <w:szCs w:val="18"/>
          <w:highlight w:val="none"/>
          <w:lang w:eastAsia="zh-CN"/>
          <w14:textFill>
            <w14:solidFill>
              <w14:schemeClr w14:val="tx1"/>
            </w14:solidFill>
          </w14:textFill>
        </w:rPr>
        <w:t>》</w:t>
      </w:r>
      <w:r>
        <w:rPr>
          <w:rFonts w:hint="default" w:eastAsia="宋体" w:cs="Times New Roman"/>
          <w:color w:val="000000" w:themeColor="text1"/>
          <w:szCs w:val="24"/>
          <w:highlight w:val="none"/>
          <w:lang w:eastAsia="zh-CN"/>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hint="eastAsia" w:cs="Microsoft JhengHei"/>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cs="Microsoft JhengHei"/>
          <w:color w:val="000000" w:themeColor="text1"/>
          <w:spacing w:val="1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w:t>
      </w:r>
      <w:r>
        <w:rPr>
          <w:rFonts w:hint="eastAsia"/>
          <w:color w:val="000000" w:themeColor="text1"/>
          <w:szCs w:val="18"/>
          <w:highlight w:val="none"/>
          <w14:textFill>
            <w14:solidFill>
              <w14:schemeClr w14:val="tx1"/>
            </w14:solidFill>
          </w14:textFill>
        </w:rPr>
        <w:t>自交房之日起五年内不得对内部装饰装修进行拆除。</w:t>
      </w:r>
    </w:p>
    <w:p>
      <w:pPr>
        <w:spacing w:line="348" w:lineRule="auto"/>
        <w:ind w:firstLine="482" w:firstLineChars="200"/>
        <w:rPr>
          <w:rFonts w:ascii="宋体" w:hAnsi="宋体" w:eastAsia="宋体" w:cs="Times New Roman"/>
          <w:b/>
          <w:color w:val="000000" w:themeColor="text1"/>
          <w:kern w:val="0"/>
          <w:sz w:val="24"/>
          <w:szCs w:val="18"/>
          <w:highlight w:val="none"/>
          <w14:textFill>
            <w14:solidFill>
              <w14:schemeClr w14:val="tx1"/>
            </w14:solidFill>
          </w14:textFill>
        </w:rPr>
      </w:pPr>
      <w:r>
        <w:rPr>
          <w:rFonts w:hint="eastAsia" w:ascii="宋体" w:hAnsi="宋体" w:eastAsia="宋体" w:cs="Times New Roman"/>
          <w:b/>
          <w:color w:val="000000" w:themeColor="text1"/>
          <w:kern w:val="0"/>
          <w:sz w:val="24"/>
          <w:szCs w:val="18"/>
          <w:highlight w:val="none"/>
          <w14:textFill>
            <w14:solidFill>
              <w14:schemeClr w14:val="tx1"/>
            </w14:solidFill>
          </w14:textFill>
        </w:rPr>
        <w:t>乙方应严格按照本市共有产权住房转让有关规定执行：</w:t>
      </w:r>
    </w:p>
    <w:p>
      <w:pPr>
        <w:spacing w:line="348" w:lineRule="auto"/>
        <w:ind w:firstLine="482" w:firstLineChars="200"/>
        <w:rPr>
          <w:rFonts w:hint="default" w:ascii="宋体" w:hAnsi="宋体" w:eastAsia="宋体" w:cs="Times New Roman"/>
          <w:b/>
          <w:color w:val="000000" w:themeColor="text1"/>
          <w:kern w:val="0"/>
          <w:sz w:val="24"/>
          <w:szCs w:val="18"/>
          <w:highlight w:val="none"/>
          <w:lang w:eastAsia="zh-CN"/>
          <w14:textFill>
            <w14:solidFill>
              <w14:schemeClr w14:val="tx1"/>
            </w14:solidFill>
          </w14:textFill>
        </w:rPr>
      </w:pPr>
      <w:r>
        <w:rPr>
          <w:rFonts w:hint="default" w:ascii="宋体" w:hAnsi="宋体" w:eastAsia="宋体" w:cs="Times New Roman"/>
          <w:b/>
          <w:color w:val="000000" w:themeColor="text1"/>
          <w:kern w:val="0"/>
          <w:sz w:val="24"/>
          <w:szCs w:val="18"/>
          <w:highlight w:val="none"/>
          <w:lang w:val="en-US" w:eastAsia="zh-CN"/>
          <w14:textFill>
            <w14:solidFill>
              <w14:schemeClr w14:val="tx1"/>
            </w14:solidFill>
          </w14:textFill>
        </w:rPr>
        <w:t>1.</w:t>
      </w:r>
      <w:r>
        <w:rPr>
          <w:rFonts w:hint="default" w:ascii="宋体" w:hAnsi="宋体" w:eastAsia="宋体" w:cs="Times New Roman"/>
          <w:b/>
          <w:color w:val="000000" w:themeColor="text1"/>
          <w:kern w:val="0"/>
          <w:sz w:val="24"/>
          <w:szCs w:val="18"/>
          <w:highlight w:val="none"/>
          <w14:textFill>
            <w14:solidFill>
              <w14:schemeClr w14:val="tx1"/>
            </w14:solidFill>
          </w14:textFill>
        </w:rPr>
        <w:t>乙方已详细阅读并知晓《</w:t>
      </w:r>
      <w:r>
        <w:rPr>
          <w:rStyle w:val="8"/>
          <w:rFonts w:hint="default" w:ascii="宋体" w:hAnsi="宋体" w:eastAsia="宋体" w:cs="Times New Roman"/>
          <w:b/>
          <w:color w:val="000000" w:themeColor="text1"/>
          <w:kern w:val="0"/>
          <w:sz w:val="24"/>
          <w:szCs w:val="18"/>
          <w:highlight w:val="none"/>
          <w14:textFill>
            <w14:solidFill>
              <w14:schemeClr w14:val="tx1"/>
            </w14:solidFill>
          </w14:textFill>
        </w:rPr>
        <w:t>国务院办公厅关于进一步做好房地产市场调控工作有关问题的通知》</w:t>
      </w:r>
      <w:r>
        <w:rPr>
          <w:rStyle w:val="8"/>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国办发〔2011〕1号</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Style w:val="8"/>
          <w:rFonts w:hint="eastAsia" w:ascii="宋体" w:hAnsi="宋体" w:eastAsia="宋体" w:cs="Times New Roman"/>
          <w:b/>
          <w:color w:val="000000" w:themeColor="text1"/>
          <w:kern w:val="0"/>
          <w:sz w:val="24"/>
          <w:szCs w:val="18"/>
          <w:highlight w:val="none"/>
          <w:lang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《北京市人民政府办公厅关于贯彻落实国务院办公厅文件精神进一步加强本市房地产市场调控工作的通知》</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京政办发〔2011〕8号</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、《关于落实本市住房限购政策有关问题的通知》</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京建发〔2011〕65号</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、《北京市共有产权住房管理暂行办法》</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京建</w:t>
      </w:r>
      <w:r>
        <w:rPr>
          <w:rFonts w:hint="eastAsia" w:ascii="宋体" w:hAnsi="宋体" w:eastAsia="宋体" w:cs="Times New Roman"/>
          <w:b/>
          <w:color w:val="000000" w:themeColor="text1"/>
          <w:kern w:val="0"/>
          <w:sz w:val="24"/>
          <w:szCs w:val="18"/>
          <w:highlight w:val="none"/>
          <w:lang w:eastAsia="zh-CN"/>
          <w14:textFill>
            <w14:solidFill>
              <w14:schemeClr w14:val="tx1"/>
            </w14:solidFill>
          </w14:textFill>
        </w:rPr>
        <w:t>法</w:t>
      </w:r>
      <w:r>
        <w:rPr>
          <w:rFonts w:hint="default" w:ascii="宋体" w:hAnsi="宋体" w:eastAsia="宋体" w:cs="Times New Roman"/>
          <w:b/>
          <w:color w:val="000000" w:themeColor="text1"/>
          <w:kern w:val="0"/>
          <w:sz w:val="24"/>
          <w:szCs w:val="18"/>
          <w:highlight w:val="none"/>
          <w14:textFill>
            <w14:solidFill>
              <w14:schemeClr w14:val="tx1"/>
            </w14:solidFill>
          </w14:textFill>
        </w:rPr>
        <w:t>〔201</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7</w:t>
      </w:r>
      <w:r>
        <w:rPr>
          <w:rFonts w:hint="default" w:ascii="宋体" w:hAnsi="宋体" w:eastAsia="宋体" w:cs="Times New Roman"/>
          <w:b/>
          <w:color w:val="000000" w:themeColor="text1"/>
          <w:kern w:val="0"/>
          <w:sz w:val="24"/>
          <w:szCs w:val="18"/>
          <w:highlight w:val="none"/>
          <w14:textFill>
            <w14:solidFill>
              <w14:schemeClr w14:val="tx1"/>
            </w14:solidFill>
          </w14:textFill>
        </w:rPr>
        <w:t>〕</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16</w:t>
      </w:r>
      <w:r>
        <w:rPr>
          <w:rFonts w:hint="default" w:ascii="宋体" w:hAnsi="宋体" w:eastAsia="宋体" w:cs="Times New Roman"/>
          <w:b/>
          <w:color w:val="000000" w:themeColor="text1"/>
          <w:kern w:val="0"/>
          <w:sz w:val="24"/>
          <w:szCs w:val="18"/>
          <w:highlight w:val="none"/>
          <w14:textFill>
            <w14:solidFill>
              <w14:schemeClr w14:val="tx1"/>
            </w14:solidFill>
          </w14:textFill>
        </w:rPr>
        <w:t>号</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w:t>
      </w:r>
      <w:r>
        <w:rPr>
          <w:rFonts w:hint="default" w:ascii="宋体" w:hAnsi="宋体" w:eastAsia="宋体" w:cs="Times New Roman"/>
          <w:b/>
          <w:color w:val="000000" w:themeColor="text1"/>
          <w:kern w:val="0"/>
          <w:sz w:val="24"/>
          <w:szCs w:val="18"/>
          <w:highlight w:val="none"/>
          <w14:textFill>
            <w14:solidFill>
              <w14:schemeClr w14:val="tx1"/>
            </w14:solidFill>
          </w14:textFill>
        </w:rPr>
        <w:t>等文件中有关住房限购政策的规定，承诺遵守限购政策规定，提交的材料均真实、合法、有效。</w:t>
      </w:r>
    </w:p>
    <w:p>
      <w:pPr>
        <w:spacing w:line="348" w:lineRule="auto"/>
        <w:ind w:firstLine="482" w:firstLineChars="200"/>
        <w:rPr>
          <w:rFonts w:ascii="宋体" w:hAnsi="宋体"/>
          <w:b/>
          <w:color w:val="000000" w:themeColor="text1"/>
          <w:kern w:val="0"/>
          <w:sz w:val="24"/>
          <w:szCs w:val="18"/>
          <w:highlight w:val="none"/>
          <w14:textFill>
            <w14:solidFill>
              <w14:schemeClr w14:val="tx1"/>
            </w14:solidFill>
          </w14:textFill>
        </w:rPr>
      </w:pPr>
      <w:r>
        <w:rPr>
          <w:rFonts w:hint="eastAsia" w:ascii="宋体" w:hAnsi="宋体"/>
          <w:b/>
          <w:color w:val="000000" w:themeColor="text1"/>
          <w:kern w:val="0"/>
          <w:sz w:val="24"/>
          <w:szCs w:val="18"/>
          <w:highlight w:val="none"/>
          <w:lang w:val="en-US" w:eastAsia="zh-CN"/>
          <w14:textFill>
            <w14:solidFill>
              <w14:schemeClr w14:val="tx1"/>
            </w14:solidFill>
          </w14:textFill>
        </w:rPr>
        <w:t>2</w:t>
      </w:r>
      <w:r>
        <w:rPr>
          <w:rFonts w:hint="eastAsia" w:ascii="宋体" w:hAnsi="宋体"/>
          <w:b/>
          <w:color w:val="000000" w:themeColor="text1"/>
          <w:kern w:val="0"/>
          <w:sz w:val="24"/>
          <w:szCs w:val="18"/>
          <w:highlight w:val="none"/>
          <w14:textFill>
            <w14:solidFill>
              <w14:schemeClr w14:val="tx1"/>
            </w14:solidFill>
          </w14:textFill>
        </w:rPr>
        <w:t>.乙方取得不动产权证书未满</w:t>
      </w:r>
      <w:r>
        <w:rPr>
          <w:rFonts w:ascii="宋体" w:hAnsi="宋体"/>
          <w:b/>
          <w:color w:val="000000" w:themeColor="text1"/>
          <w:kern w:val="0"/>
          <w:sz w:val="24"/>
          <w:szCs w:val="18"/>
          <w:highlight w:val="none"/>
          <w14:textFill>
            <w14:solidFill>
              <w14:schemeClr w14:val="tx1"/>
            </w14:solidFill>
          </w14:textFill>
        </w:rPr>
        <w:t>5</w:t>
      </w:r>
      <w:r>
        <w:rPr>
          <w:rFonts w:hint="eastAsia" w:ascii="宋体" w:hAnsi="宋体"/>
          <w:b/>
          <w:color w:val="000000" w:themeColor="text1"/>
          <w:kern w:val="0"/>
          <w:sz w:val="24"/>
          <w:szCs w:val="18"/>
          <w:highlight w:val="none"/>
          <w14:textFill>
            <w14:solidFill>
              <w14:schemeClr w14:val="tx1"/>
            </w14:solidFill>
          </w14:textFill>
        </w:rPr>
        <w:t>年的，不允许转让房屋产权份额，因特殊原因确需转让的，可向原分配区住房城乡建设委（房管局）提交申请，由丙方回购。回购价格按购买价格并考虑折旧和物价水平等因素确定。回购的房屋继续作为共有产权住房使用。</w:t>
      </w:r>
    </w:p>
    <w:p>
      <w:pPr>
        <w:spacing w:line="348" w:lineRule="auto"/>
        <w:ind w:firstLine="482" w:firstLineChars="200"/>
        <w:rPr>
          <w:rFonts w:ascii="宋体" w:hAnsi="宋体"/>
          <w:b/>
          <w:color w:val="000000" w:themeColor="text1"/>
          <w:kern w:val="0"/>
          <w:sz w:val="24"/>
          <w:szCs w:val="18"/>
          <w:highlight w:val="none"/>
          <w14:textFill>
            <w14:solidFill>
              <w14:schemeClr w14:val="tx1"/>
            </w14:solidFill>
          </w14:textFill>
        </w:rPr>
      </w:pPr>
      <w:r>
        <w:rPr>
          <w:rFonts w:hint="eastAsia" w:ascii="宋体" w:hAnsi="宋体"/>
          <w:b/>
          <w:color w:val="000000" w:themeColor="text1"/>
          <w:kern w:val="0"/>
          <w:sz w:val="24"/>
          <w:szCs w:val="18"/>
          <w:highlight w:val="none"/>
          <w:lang w:val="en-US" w:eastAsia="zh-CN"/>
          <w14:textFill>
            <w14:solidFill>
              <w14:schemeClr w14:val="tx1"/>
            </w14:solidFill>
          </w14:textFill>
        </w:rPr>
        <w:t>3</w:t>
      </w:r>
      <w:r>
        <w:rPr>
          <w:rFonts w:hint="eastAsia" w:ascii="宋体" w:hAnsi="宋体"/>
          <w:b/>
          <w:color w:val="000000" w:themeColor="text1"/>
          <w:kern w:val="0"/>
          <w:sz w:val="24"/>
          <w:szCs w:val="18"/>
          <w:highlight w:val="none"/>
          <w14:textFill>
            <w14:solidFill>
              <w14:schemeClr w14:val="tx1"/>
            </w14:solidFill>
          </w14:textFill>
        </w:rPr>
        <w:t>.乙方取得不动产权证书满</w:t>
      </w:r>
      <w:r>
        <w:rPr>
          <w:rFonts w:ascii="宋体" w:hAnsi="宋体"/>
          <w:b/>
          <w:color w:val="000000" w:themeColor="text1"/>
          <w:kern w:val="0"/>
          <w:sz w:val="24"/>
          <w:szCs w:val="18"/>
          <w:highlight w:val="none"/>
          <w14:textFill>
            <w14:solidFill>
              <w14:schemeClr w14:val="tx1"/>
            </w14:solidFill>
          </w14:textFill>
        </w:rPr>
        <w:t>5</w:t>
      </w:r>
      <w:r>
        <w:rPr>
          <w:rFonts w:hint="eastAsia" w:ascii="宋体" w:hAnsi="宋体"/>
          <w:b/>
          <w:color w:val="000000" w:themeColor="text1"/>
          <w:kern w:val="0"/>
          <w:sz w:val="24"/>
          <w:szCs w:val="18"/>
          <w:highlight w:val="none"/>
          <w14:textFill>
            <w14:solidFill>
              <w14:schemeClr w14:val="tx1"/>
            </w14:solidFill>
          </w14:textFill>
        </w:rPr>
        <w:t>年的，可按市场价格转让所购房屋产权份额。（1）乙方向原分配区住房城乡建设委（房管局）提交上市申请，明确出售价格。同等价格条件下，丙方可优先购买。（2）丙方放弃优先购买权的，乙方可在丙方指定的网络服务平台发布转让所购房屋产权份额信息，转让对象应为其他符合共有产权住房购买条件的家庭。新购房人获得房屋产权性质仍为“共有产权住房”，所占房屋产权份额比例不变。</w:t>
      </w:r>
    </w:p>
    <w:p>
      <w:pPr>
        <w:spacing w:line="348" w:lineRule="auto"/>
        <w:ind w:firstLine="472" w:firstLineChars="196"/>
        <w:rPr>
          <w:rFonts w:ascii="宋体" w:hAnsi="宋体"/>
          <w:b/>
          <w:color w:val="000000" w:themeColor="text1"/>
          <w:kern w:val="0"/>
          <w:sz w:val="24"/>
          <w:szCs w:val="18"/>
          <w:highlight w:val="none"/>
          <w14:textFill>
            <w14:solidFill>
              <w14:schemeClr w14:val="tx1"/>
            </w14:solidFill>
          </w14:textFill>
        </w:rPr>
      </w:pPr>
      <w:r>
        <w:rPr>
          <w:rFonts w:hint="eastAsia" w:ascii="宋体" w:hAnsi="宋体"/>
          <w:b/>
          <w:color w:val="000000" w:themeColor="text1"/>
          <w:kern w:val="0"/>
          <w:sz w:val="24"/>
          <w:szCs w:val="18"/>
          <w:highlight w:val="none"/>
          <w14:textFill>
            <w14:solidFill>
              <w14:schemeClr w14:val="tx1"/>
            </w14:solidFill>
          </w14:textFill>
        </w:rPr>
        <w:t>丙方行使优先购买权的房屋价格，应委托房地产估价机构参照周边市场价格评估确定。乙方转让价格明显低于评估价格的，丙方应当按购房人提出的转让价格予以回购。乙方通过购买、继承、受赠等方式取得其他住房的，由丙方按评估的市场价格回购乙方所有的产权份额。</w:t>
      </w:r>
    </w:p>
    <w:p>
      <w:pPr>
        <w:spacing w:line="348" w:lineRule="auto"/>
        <w:ind w:firstLine="482" w:firstLineChars="200"/>
        <w:rPr>
          <w:rFonts w:ascii="宋体" w:hAnsi="宋体"/>
          <w:b/>
          <w:color w:val="000000" w:themeColor="text1"/>
          <w:kern w:val="0"/>
          <w:sz w:val="24"/>
          <w:szCs w:val="18"/>
          <w:highlight w:val="none"/>
          <w14:textFill>
            <w14:solidFill>
              <w14:schemeClr w14:val="tx1"/>
            </w14:solidFill>
          </w14:textFill>
        </w:rPr>
      </w:pPr>
      <w:r>
        <w:rPr>
          <w:rFonts w:hint="eastAsia" w:ascii="宋体" w:hAnsi="宋体" w:eastAsia="宋体" w:cs="Times New Roman"/>
          <w:b/>
          <w:color w:val="000000" w:themeColor="text1"/>
          <w:kern w:val="0"/>
          <w:sz w:val="24"/>
          <w:szCs w:val="18"/>
          <w:highlight w:val="none"/>
          <w:lang w:eastAsia="zh-CN"/>
          <w14:textFill>
            <w14:solidFill>
              <w14:schemeClr w14:val="tx1"/>
            </w14:solidFill>
          </w14:textFill>
        </w:rPr>
        <w:t>乙方出租</w:t>
      </w:r>
      <w:r>
        <w:rPr>
          <w:rFonts w:hint="eastAsia" w:ascii="宋体" w:hAnsi="宋体" w:eastAsia="宋体" w:cs="Times New Roman"/>
          <w:b/>
          <w:color w:val="000000" w:themeColor="text1"/>
          <w:kern w:val="0"/>
          <w:sz w:val="24"/>
          <w:szCs w:val="18"/>
          <w:highlight w:val="none"/>
          <w:lang w:val="en-US" w:eastAsia="zh-CN"/>
          <w14:textFill>
            <w14:solidFill>
              <w14:schemeClr w14:val="tx1"/>
            </w14:solidFill>
          </w14:textFill>
        </w:rPr>
        <w:t>已购</w:t>
      </w:r>
      <w:r>
        <w:rPr>
          <w:rFonts w:hint="eastAsia" w:ascii="宋体" w:hAnsi="宋体" w:eastAsia="宋体" w:cs="Times New Roman"/>
          <w:b/>
          <w:color w:val="000000" w:themeColor="text1"/>
          <w:kern w:val="0"/>
          <w:sz w:val="24"/>
          <w:szCs w:val="18"/>
          <w:highlight w:val="none"/>
          <w:lang w:eastAsia="zh-CN"/>
          <w14:textFill>
            <w14:solidFill>
              <w14:schemeClr w14:val="tx1"/>
            </w14:solidFill>
          </w14:textFill>
        </w:rPr>
        <w:t>共有产权住房的，</w:t>
      </w:r>
      <w:r>
        <w:rPr>
          <w:rFonts w:hint="eastAsia" w:ascii="宋体" w:hAnsi="宋体" w:eastAsia="宋体" w:cs="Times New Roman"/>
          <w:b/>
          <w:color w:val="000000" w:themeColor="text1"/>
          <w:kern w:val="0"/>
          <w:sz w:val="24"/>
          <w:szCs w:val="18"/>
          <w:highlight w:val="none"/>
          <w14:textFill>
            <w14:solidFill>
              <w14:schemeClr w14:val="tx1"/>
            </w14:solidFill>
          </w14:textFill>
        </w:rPr>
        <w:t>应在市级代持机构</w:t>
      </w:r>
      <w:r>
        <w:rPr>
          <w:rFonts w:hint="eastAsia" w:ascii="宋体" w:hAnsi="宋体" w:eastAsia="宋体" w:cs="Times New Roman"/>
          <w:b/>
          <w:color w:val="000000" w:themeColor="text1"/>
          <w:kern w:val="0"/>
          <w:sz w:val="24"/>
          <w:szCs w:val="18"/>
          <w:highlight w:val="none"/>
          <w:lang w:eastAsia="zh-CN"/>
          <w14:textFill>
            <w14:solidFill>
              <w14:schemeClr w14:val="tx1"/>
            </w14:solidFill>
          </w14:textFill>
        </w:rPr>
        <w:t>指定</w:t>
      </w:r>
      <w:r>
        <w:rPr>
          <w:rFonts w:hint="eastAsia" w:ascii="宋体" w:hAnsi="宋体" w:eastAsia="宋体" w:cs="Times New Roman"/>
          <w:b/>
          <w:color w:val="000000" w:themeColor="text1"/>
          <w:kern w:val="0"/>
          <w:sz w:val="24"/>
          <w:szCs w:val="18"/>
          <w:highlight w:val="none"/>
          <w14:textFill>
            <w14:solidFill>
              <w14:schemeClr w14:val="tx1"/>
            </w14:solidFill>
          </w14:textFill>
        </w:rPr>
        <w:t>的统一网络服务平台发布房屋租赁信息，</w:t>
      </w:r>
      <w:r>
        <w:rPr>
          <w:rFonts w:hint="eastAsia" w:ascii="宋体" w:hAnsi="宋体"/>
          <w:b/>
          <w:color w:val="000000" w:themeColor="text1"/>
          <w:kern w:val="0"/>
          <w:sz w:val="24"/>
          <w:szCs w:val="18"/>
          <w:highlight w:val="none"/>
          <w14:textFill>
            <w14:solidFill>
              <w14:schemeClr w14:val="tx1"/>
            </w14:solidFill>
          </w14:textFill>
        </w:rPr>
        <w:t>优先面向保障性住房备案家庭或符合共有产权住房购房条件的家庭出租，乙方和丙方按照所占房屋产权份额获得租金收益的相应部分。</w:t>
      </w:r>
    </w:p>
    <w:p>
      <w:pPr>
        <w:spacing w:line="348" w:lineRule="auto"/>
        <w:ind w:firstLine="482" w:firstLineChars="200"/>
        <w:rPr>
          <w:rFonts w:ascii="宋体" w:hAnsi="宋体"/>
          <w:b/>
          <w:color w:val="000000" w:themeColor="text1"/>
          <w:kern w:val="0"/>
          <w:sz w:val="24"/>
          <w:szCs w:val="18"/>
          <w:highlight w:val="none"/>
          <w14:textFill>
            <w14:solidFill>
              <w14:schemeClr w14:val="tx1"/>
            </w14:solidFill>
          </w14:textFill>
        </w:rPr>
      </w:pPr>
      <w:r>
        <w:rPr>
          <w:rFonts w:hint="eastAsia" w:ascii="宋体" w:hAnsi="宋体"/>
          <w:b/>
          <w:color w:val="000000" w:themeColor="text1"/>
          <w:kern w:val="0"/>
          <w:sz w:val="24"/>
          <w:szCs w:val="18"/>
          <w:highlight w:val="none"/>
          <w14:textFill>
            <w14:solidFill>
              <w14:schemeClr w14:val="tx1"/>
            </w14:solidFill>
          </w14:textFill>
        </w:rPr>
        <w:t>乙方应当按照本市房屋管理有关规定和房屋销售合同约定使用房屋。乙方有违反相关规定和本合同约定，擅自转让、出租等行为的，丙方可以按照合同约定，要求其改正，并追究其违约责任。</w:t>
      </w:r>
    </w:p>
    <w:p>
      <w:pPr>
        <w:spacing w:line="360" w:lineRule="auto"/>
        <w:textAlignment w:val="baseline"/>
        <w:rPr>
          <w:rFonts w:ascii="宋体" w:hAnsi="宋体"/>
          <w:b/>
          <w:color w:val="000000" w:themeColor="text1"/>
          <w:sz w:val="44"/>
          <w:szCs w:val="44"/>
          <w:highlight w:val="none"/>
          <w14:textFill>
            <w14:solidFill>
              <w14:schemeClr w14:val="tx1"/>
            </w14:solidFill>
          </w14:textFill>
        </w:rPr>
      </w:pPr>
    </w:p>
    <w:p>
      <w:pPr>
        <w:autoSpaceDE w:val="0"/>
        <w:autoSpaceDN w:val="0"/>
        <w:adjustRightInd w:val="0"/>
        <w:spacing w:before="8"/>
        <w:rPr>
          <w:rFonts w:hint="eastAsia" w:ascii="黑体" w:hAnsi="黑体" w:eastAsia="黑体" w:cs="Microsoft JhengHei"/>
          <w:color w:val="000000" w:themeColor="text1"/>
          <w:kern w:val="0"/>
          <w:sz w:val="36"/>
          <w:szCs w:val="36"/>
          <w:highlight w:val="none"/>
          <w14:textFill>
            <w14:solidFill>
              <w14:schemeClr w14:val="tx1"/>
            </w14:solidFill>
          </w14:textFill>
        </w:rPr>
        <w:sectPr>
          <w:footerReference r:id="rId9" w:type="default"/>
          <w:pgSz w:w="11905" w:h="16837"/>
          <w:pgMar w:top="1440" w:right="1415" w:bottom="1440" w:left="1560" w:header="720" w:footer="721" w:gutter="0"/>
          <w:pgNumType w:fmt="decimal"/>
          <w:cols w:space="720" w:num="1"/>
          <w:docGrid w:type="lines" w:linePitch="312" w:charSpace="0"/>
        </w:sectPr>
      </w:pPr>
    </w:p>
    <w:p>
      <w:pPr>
        <w:autoSpaceDE w:val="0"/>
        <w:autoSpaceDN w:val="0"/>
        <w:adjustRightInd w:val="0"/>
        <w:spacing w:before="8"/>
        <w:jc w:val="center"/>
        <w:rPr>
          <w:rFonts w:ascii="黑体" w:hAnsi="黑体" w:eastAsia="黑体" w:cs="Microsoft JhengHei"/>
          <w:color w:val="000000" w:themeColor="text1"/>
          <w:kern w:val="0"/>
          <w:sz w:val="36"/>
          <w:szCs w:val="36"/>
          <w:highlight w:val="none"/>
          <w14:textFill>
            <w14:solidFill>
              <w14:schemeClr w14:val="tx1"/>
            </w14:solidFill>
          </w14:textFill>
        </w:rPr>
      </w:pPr>
      <w:r>
        <w:rPr>
          <w:rFonts w:hint="eastAsia" w:ascii="黑体" w:hAnsi="黑体" w:eastAsia="黑体" w:cs="Microsoft JhengHei"/>
          <w:color w:val="000000" w:themeColor="text1"/>
          <w:kern w:val="0"/>
          <w:sz w:val="36"/>
          <w:szCs w:val="36"/>
          <w:highlight w:val="none"/>
          <w14:textFill>
            <w14:solidFill>
              <w14:schemeClr w14:val="tx1"/>
            </w14:solidFill>
          </w14:textFill>
        </w:rPr>
        <w:t>术语解释</w:t>
      </w:r>
    </w:p>
    <w:p>
      <w:pPr>
        <w:autoSpaceDE w:val="0"/>
        <w:autoSpaceDN w:val="0"/>
        <w:adjustRightInd w:val="0"/>
        <w:spacing w:line="348" w:lineRule="auto"/>
        <w:ind w:right="46" w:firstLine="480" w:firstLineChars="200"/>
        <w:rPr>
          <w:rFonts w:hint="eastAsia" w:ascii="宋体" w:hAnsi="宋体"/>
          <w:color w:val="000000" w:themeColor="text1"/>
          <w:kern w:val="0"/>
          <w:sz w:val="24"/>
          <w:szCs w:val="18"/>
          <w:highlight w:val="none"/>
          <w14:textFill>
            <w14:solidFill>
              <w14:schemeClr w14:val="tx1"/>
            </w14:solidFill>
          </w14:textFill>
        </w:rPr>
      </w:pP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14:textFill>
            <w14:solidFill>
              <w14:schemeClr w14:val="tx1"/>
            </w14:solidFill>
          </w14:textFill>
        </w:rPr>
        <w:t>1.</w:t>
      </w: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集体经营性建设用地上</w:t>
      </w:r>
      <w:r>
        <w:rPr>
          <w:rFonts w:hint="eastAsia" w:ascii="宋体" w:hAnsi="宋体" w:eastAsia="宋体" w:cs="Times New Roman"/>
          <w:color w:val="000000" w:themeColor="text1"/>
          <w:kern w:val="0"/>
          <w:sz w:val="24"/>
          <w:szCs w:val="18"/>
          <w:highlight w:val="none"/>
          <w14:textFill>
            <w14:solidFill>
              <w14:schemeClr w14:val="tx1"/>
            </w14:solidFill>
          </w14:textFill>
        </w:rPr>
        <w:t>共有产权住房：是指政府提供政策支持，由建设单位开发建设，销售价格低于同地段、同品质商品住房价格水平，并限制使用和处分权利，实行政府与购房人按份共有产权的政策性商品住房。</w:t>
      </w: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14:textFill>
            <w14:solidFill>
              <w14:schemeClr w14:val="tx1"/>
            </w14:solidFill>
          </w14:textFill>
        </w:rPr>
        <w:t>2.</w:t>
      </w: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集体经营性建设用地上</w:t>
      </w:r>
      <w:r>
        <w:rPr>
          <w:rFonts w:hint="eastAsia" w:ascii="宋体" w:hAnsi="宋体" w:eastAsia="宋体" w:cs="Times New Roman"/>
          <w:color w:val="000000" w:themeColor="text1"/>
          <w:kern w:val="0"/>
          <w:sz w:val="24"/>
          <w:szCs w:val="18"/>
          <w:highlight w:val="none"/>
          <w14:textFill>
            <w14:solidFill>
              <w14:schemeClr w14:val="tx1"/>
            </w14:solidFill>
          </w14:textFill>
        </w:rPr>
        <w:t>共有产权住房现房：是指由房地产开发企业（甲方）建设，已完成不动产所有权初始登记或不动产首次登记，取得房屋所有权证或取得不动产权证书，尚未进行销售的共有产权住房。</w:t>
      </w:r>
    </w:p>
    <w:p>
      <w:pPr>
        <w:autoSpaceDE w:val="0"/>
        <w:autoSpaceDN w:val="0"/>
        <w:adjustRightInd w:val="0"/>
        <w:spacing w:line="560" w:lineRule="exact"/>
        <w:ind w:right="46" w:firstLine="480" w:firstLineChars="200"/>
        <w:jc w:val="left"/>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14:textFill>
            <w14:solidFill>
              <w14:schemeClr w14:val="tx1"/>
            </w14:solidFill>
          </w14:textFill>
        </w:rPr>
        <w:t>3.法定代理人：是指依照法律规定直接取得代理权的人。</w:t>
      </w:r>
    </w:p>
    <w:p>
      <w:pPr>
        <w:autoSpaceDE w:val="0"/>
        <w:autoSpaceDN w:val="0"/>
        <w:adjustRightInd w:val="0"/>
        <w:spacing w:line="560" w:lineRule="exact"/>
        <w:ind w:right="46" w:firstLine="480" w:firstLineChars="200"/>
        <w:jc w:val="left"/>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4.同住人：</w:t>
      </w:r>
      <w:r>
        <w:rPr>
          <w:rFonts w:hint="eastAsia" w:ascii="宋体" w:hAnsi="宋体" w:eastAsia="宋体" w:cs="Times New Roman"/>
          <w:color w:val="000000" w:themeColor="text1"/>
          <w:kern w:val="0"/>
          <w:sz w:val="24"/>
          <w:szCs w:val="18"/>
          <w:highlight w:val="none"/>
          <w14:textFill>
            <w14:solidFill>
              <w14:schemeClr w14:val="tx1"/>
            </w14:solidFill>
          </w14:textFill>
        </w:rPr>
        <w:t>是指</w:t>
      </w:r>
      <w:r>
        <w:rPr>
          <w:rFonts w:hint="eastAsia" w:ascii="宋体" w:hAnsi="宋体" w:eastAsia="宋体"/>
          <w:bCs w:val="0"/>
          <w:color w:val="000000" w:themeColor="text1"/>
          <w:kern w:val="0"/>
          <w:sz w:val="24"/>
          <w:szCs w:val="18"/>
          <w:highlight w:val="none"/>
          <w14:textFill>
            <w14:solidFill>
              <w14:schemeClr w14:val="tx1"/>
            </w14:solidFill>
          </w14:textFill>
        </w:rPr>
        <w:t>购房家庭产权份额的共同共有人</w:t>
      </w:r>
      <w:r>
        <w:rPr>
          <w:rFonts w:hint="eastAsia" w:ascii="宋体" w:hAnsi="宋体" w:eastAsia="宋体" w:cs="Times New Roman"/>
          <w:bCs w:val="0"/>
          <w:color w:val="000000" w:themeColor="text1"/>
          <w:kern w:val="0"/>
          <w:sz w:val="24"/>
          <w:szCs w:val="18"/>
          <w:highlight w:val="none"/>
          <w:lang w:eastAsia="zh-CN"/>
          <w14:textFill>
            <w14:solidFill>
              <w14:schemeClr w14:val="tx1"/>
            </w14:solidFill>
          </w14:textFill>
        </w:rPr>
        <w:t>外的居住人</w:t>
      </w:r>
      <w:r>
        <w:rPr>
          <w:rFonts w:hint="eastAsia" w:ascii="宋体" w:hAnsi="宋体" w:eastAsia="宋体"/>
          <w:bCs w:val="0"/>
          <w:color w:val="000000" w:themeColor="text1"/>
          <w:kern w:val="0"/>
          <w:sz w:val="24"/>
          <w:szCs w:val="18"/>
          <w:highlight w:val="none"/>
          <w14:textFill>
            <w14:solidFill>
              <w14:schemeClr w14:val="tx1"/>
            </w14:solidFill>
          </w14:textFill>
        </w:rPr>
        <w:t>。</w:t>
      </w: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18"/>
          <w:highlight w:val="none"/>
          <w14:textFill>
            <w14:solidFill>
              <w14:schemeClr w14:val="tx1"/>
            </w14:solidFill>
          </w14:textFill>
        </w:rPr>
        <w:t>.层高：是指上下两层楼板结构面之间或楼板结构面与地板结构面之间的垂直距离。</w:t>
      </w: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6</w:t>
      </w:r>
      <w:r>
        <w:rPr>
          <w:rFonts w:hint="eastAsia" w:ascii="宋体" w:hAnsi="宋体" w:eastAsia="宋体" w:cs="Times New Roman"/>
          <w:color w:val="000000" w:themeColor="text1"/>
          <w:kern w:val="0"/>
          <w:sz w:val="24"/>
          <w:szCs w:val="18"/>
          <w:highlight w:val="none"/>
          <w14:textFill>
            <w14:solidFill>
              <w14:schemeClr w14:val="tx1"/>
            </w14:solidFill>
          </w14:textFill>
        </w:rPr>
        <w:t>.净高：是指楼（地）面至楼板结构底面之间的垂直距离。</w:t>
      </w: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7</w:t>
      </w:r>
      <w:r>
        <w:rPr>
          <w:rFonts w:hint="eastAsia" w:ascii="宋体" w:hAnsi="宋体" w:eastAsia="宋体" w:cs="Times New Roman"/>
          <w:color w:val="000000" w:themeColor="text1"/>
          <w:kern w:val="0"/>
          <w:sz w:val="24"/>
          <w:szCs w:val="18"/>
          <w:highlight w:val="none"/>
          <w14:textFill>
            <w14:solidFill>
              <w14:schemeClr w14:val="tx1"/>
            </w14:solidFill>
          </w14:textFill>
        </w:rPr>
        <w:t>.套内建筑面积：成套房屋的套内建筑面积由套内房屋的使用面积、套内墙体面积及套内阳台建筑面积三部分组成。</w:t>
      </w: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8</w:t>
      </w:r>
      <w:r>
        <w:rPr>
          <w:rFonts w:hint="eastAsia" w:ascii="宋体" w:hAnsi="宋体" w:eastAsia="宋体" w:cs="Times New Roman"/>
          <w:color w:val="000000" w:themeColor="text1"/>
          <w:kern w:val="0"/>
          <w:sz w:val="24"/>
          <w:szCs w:val="18"/>
          <w:highlight w:val="none"/>
          <w14:textFill>
            <w14:solidFill>
              <w14:schemeClr w14:val="tx1"/>
            </w14:solidFill>
          </w14:textFill>
        </w:rPr>
        <w:t>.房屋的建筑面积：是指层高在2.20m以上（含2.20m），有上盖的永久性建筑的外墙（柱）勒角以上各层的外围水平投影面积之和，包括阳台、挑廊、地下室、室外楼梯等。</w:t>
      </w: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9</w:t>
      </w:r>
      <w:r>
        <w:rPr>
          <w:rFonts w:hint="eastAsia" w:ascii="宋体" w:hAnsi="宋体" w:eastAsia="宋体" w:cs="Times New Roman"/>
          <w:color w:val="000000" w:themeColor="text1"/>
          <w:kern w:val="0"/>
          <w:sz w:val="24"/>
          <w:szCs w:val="18"/>
          <w:highlight w:val="none"/>
          <w14:textFill>
            <w14:solidFill>
              <w14:schemeClr w14:val="tx1"/>
            </w14:solidFill>
          </w14:textFill>
        </w:rPr>
        <w:t>.不可抗力：是指不能预见、不能避免并不能克服的客观情况。</w:t>
      </w:r>
    </w:p>
    <w:p>
      <w:pPr>
        <w:autoSpaceDE w:val="0"/>
        <w:autoSpaceDN w:val="0"/>
        <w:adjustRightInd w:val="0"/>
        <w:spacing w:line="560" w:lineRule="exact"/>
        <w:ind w:right="46" w:firstLine="480" w:firstLineChars="200"/>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10</w:t>
      </w:r>
      <w:r>
        <w:rPr>
          <w:rFonts w:hint="eastAsia" w:ascii="宋体" w:hAnsi="宋体" w:eastAsia="宋体" w:cs="Times New Roman"/>
          <w:color w:val="000000" w:themeColor="text1"/>
          <w:kern w:val="0"/>
          <w:sz w:val="24"/>
          <w:szCs w:val="18"/>
          <w:highlight w:val="none"/>
          <w14:textFill>
            <w14:solidFill>
              <w14:schemeClr w14:val="tx1"/>
            </w14:solidFill>
          </w14:textFill>
        </w:rPr>
        <w:t>.民用建筑节能：是指在居住建筑和公共建筑的规划、设计、建造、使用、改造等活动中，按照有关标准和规定，采用符合节能要求的建筑材料、设备、技术、工艺和管理措施，在保证建筑物使用功能和室内环境质量的前提下，合理、有效地利用能源，降低能源消耗。</w:t>
      </w:r>
    </w:p>
    <w:p>
      <w:pPr>
        <w:autoSpaceDE w:val="0"/>
        <w:autoSpaceDN w:val="0"/>
        <w:adjustRightInd w:val="0"/>
        <w:spacing w:line="560" w:lineRule="exact"/>
        <w:ind w:right="136" w:firstLine="480" w:firstLineChars="200"/>
        <w:jc w:val="left"/>
        <w:rPr>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14:textFill>
            <w14:solidFill>
              <w14:schemeClr w14:val="tx1"/>
            </w14:solidFill>
          </w14:textFill>
        </w:rPr>
        <w:t>1</w:t>
      </w: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18"/>
          <w:highlight w:val="none"/>
          <w14:textFill>
            <w14:solidFill>
              <w14:schemeClr w14:val="tx1"/>
            </w14:solidFill>
          </w14:textFill>
        </w:rPr>
        <w:t>.绿色建筑：是指在全寿命周期内，节约资源(节能、节地、节水、节材)、保护环境、减少污染，为人们提供健康、适用和高效的使用空间，</w:t>
      </w:r>
      <w:r>
        <w:rPr>
          <w:rFonts w:hint="eastAsia" w:ascii="宋体" w:hAnsi="宋体"/>
          <w:color w:val="000000" w:themeColor="text1"/>
          <w:kern w:val="0"/>
          <w:sz w:val="24"/>
          <w:szCs w:val="18"/>
          <w:highlight w:val="none"/>
          <w14:textFill>
            <w14:solidFill>
              <w14:schemeClr w14:val="tx1"/>
            </w14:solidFill>
          </w14:textFill>
        </w:rPr>
        <w:t>最大限度地实现人与自然和谐共生的高质量建筑。</w:t>
      </w:r>
    </w:p>
    <w:p>
      <w:pPr>
        <w:autoSpaceDE w:val="0"/>
        <w:autoSpaceDN w:val="0"/>
        <w:adjustRightInd w:val="0"/>
        <w:spacing w:line="560" w:lineRule="exact"/>
        <w:ind w:right="136" w:firstLine="480" w:firstLineChars="200"/>
        <w:jc w:val="left"/>
        <w:rPr>
          <w:rFonts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12.装配式建筑：是由预制部品部件在工地装配而成的建筑，一般由结构系统、外围护系统、内装系统和设备与管线系统组成，按照结构体系划分包括装配式混凝土建筑、装配式钢结构建筑、装配式木结构建筑及装配式混合结构建筑等。装配式建筑应符合国家及本市的相关标准。</w:t>
      </w:r>
    </w:p>
    <w:p>
      <w:pPr>
        <w:autoSpaceDE w:val="0"/>
        <w:autoSpaceDN w:val="0"/>
        <w:adjustRightInd w:val="0"/>
        <w:spacing w:line="560" w:lineRule="exact"/>
        <w:ind w:right="136" w:firstLine="480" w:firstLineChars="200"/>
        <w:jc w:val="left"/>
        <w:rPr>
          <w:rFonts w:hint="eastAsia" w:ascii="宋体" w:hAnsi="宋体" w:eastAsia="宋体"/>
          <w:color w:val="000000" w:themeColor="text1"/>
          <w:kern w:val="0"/>
          <w:sz w:val="24"/>
          <w:szCs w:val="18"/>
          <w:highlight w:val="none"/>
          <w:lang w:val="en-US" w:eastAsia="zh-CN"/>
          <w14:textFill>
            <w14:solidFill>
              <w14:schemeClr w14:val="tx1"/>
            </w14:solidFill>
          </w14:textFill>
        </w:rPr>
      </w:pPr>
      <w:r>
        <w:rPr>
          <w:rFonts w:hint="eastAsia" w:ascii="宋体" w:hAnsi="宋体"/>
          <w:color w:val="000000" w:themeColor="text1"/>
          <w:kern w:val="0"/>
          <w:sz w:val="24"/>
          <w:szCs w:val="18"/>
          <w:highlight w:val="none"/>
          <w:lang w:val="en-US" w:eastAsia="zh-CN"/>
          <w14:textFill>
            <w14:solidFill>
              <w14:schemeClr w14:val="tx1"/>
            </w14:solidFill>
          </w14:textFill>
        </w:rPr>
        <w:t>13.全装修成品交房：</w:t>
      </w:r>
      <w:r>
        <w:rPr>
          <w:rFonts w:hint="eastAsia" w:ascii="宋体" w:hAnsi="宋体"/>
          <w:color w:val="000000" w:themeColor="text1"/>
          <w:kern w:val="0"/>
          <w:sz w:val="24"/>
          <w:szCs w:val="18"/>
          <w:highlight w:val="none"/>
          <w14:textFill>
            <w14:solidFill>
              <w14:schemeClr w14:val="tx1"/>
            </w14:solidFill>
          </w14:textFill>
        </w:rPr>
        <w:t>房屋交钥匙前，所有功能空间的固定面全部铺装或粉刷完成，厨房和卫生间的基本设备全部安装完成</w:t>
      </w:r>
      <w:r>
        <w:rPr>
          <w:rFonts w:hint="eastAsia" w:ascii="宋体" w:hAnsi="宋体"/>
          <w:color w:val="000000" w:themeColor="text1"/>
          <w:kern w:val="0"/>
          <w:sz w:val="24"/>
          <w:szCs w:val="18"/>
          <w:highlight w:val="none"/>
          <w:lang w:eastAsia="zh-CN"/>
          <w14:textFill>
            <w14:solidFill>
              <w14:schemeClr w14:val="tx1"/>
            </w14:solidFill>
          </w14:textFill>
        </w:rPr>
        <w:t>。</w:t>
      </w:r>
    </w:p>
    <w:p>
      <w:pPr>
        <w:autoSpaceDE w:val="0"/>
        <w:autoSpaceDN w:val="0"/>
        <w:adjustRightInd w:val="0"/>
        <w:spacing w:line="560" w:lineRule="exact"/>
        <w:ind w:right="136" w:firstLine="480" w:firstLineChars="200"/>
        <w:jc w:val="left"/>
        <w:rPr>
          <w:rStyle w:val="8"/>
          <w:rFonts w:hint="eastAsia" w:ascii="宋体" w:hAnsi="宋体" w:eastAsia="宋体" w:cs="Times New Roman"/>
          <w:color w:val="000000" w:themeColor="text1"/>
          <w:kern w:val="0"/>
          <w:sz w:val="24"/>
          <w:szCs w:val="18"/>
          <w:highlight w:val="none"/>
          <w14:textFill>
            <w14:solidFill>
              <w14:schemeClr w14:val="tx1"/>
            </w14:solidFill>
          </w14:textFill>
        </w:rPr>
      </w:pPr>
      <w:r>
        <w:rPr>
          <w:rFonts w:hint="eastAsia" w:ascii="宋体" w:hAnsi="宋体" w:eastAsia="宋体" w:cs="Times New Roman"/>
          <w:color w:val="000000" w:themeColor="text1"/>
          <w:kern w:val="0"/>
          <w:sz w:val="24"/>
          <w:szCs w:val="18"/>
          <w:highlight w:val="none"/>
          <w14:textFill>
            <w14:solidFill>
              <w14:schemeClr w14:val="tx1"/>
            </w14:solidFill>
          </w14:textFill>
        </w:rPr>
        <w:t>1</w:t>
      </w: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szCs w:val="18"/>
          <w:highlight w:val="none"/>
          <w14:textFill>
            <w14:solidFill>
              <w14:schemeClr w14:val="tx1"/>
            </w14:solidFill>
          </w14:textFill>
        </w:rPr>
        <w:t>.不动产登记：是指不动产登记机构依法将不动产权利归属和其他法定事项记载于不动产登记簿的行为。</w:t>
      </w:r>
    </w:p>
    <w:p>
      <w:pPr>
        <w:autoSpaceDE w:val="0"/>
        <w:autoSpaceDN w:val="0"/>
        <w:adjustRightInd w:val="0"/>
        <w:spacing w:line="560" w:lineRule="exact"/>
        <w:ind w:right="136" w:firstLine="480" w:firstLineChars="200"/>
        <w:jc w:val="left"/>
        <w:rPr>
          <w:rStyle w:val="8"/>
          <w:rFonts w:hint="default" w:ascii="黑体" w:hAnsi="黑体" w:eastAsia="黑体"/>
          <w:color w:val="000000" w:themeColor="text1"/>
          <w:sz w:val="44"/>
          <w:szCs w:val="18"/>
          <w:highlight w:val="none"/>
          <w:lang w:val="en-US" w:eastAsia="zh-CN"/>
          <w14:textFill>
            <w14:solidFill>
              <w14:schemeClr w14:val="tx1"/>
            </w14:solidFill>
          </w14:textFill>
        </w:rPr>
        <w:sectPr>
          <w:footerReference r:id="rId11" w:type="first"/>
          <w:footerReference r:id="rId10" w:type="default"/>
          <w:pgSz w:w="11906" w:h="16838"/>
          <w:pgMar w:top="1440" w:right="1559" w:bottom="1440" w:left="1559" w:header="851" w:footer="992" w:gutter="0"/>
          <w:pgNumType w:fmt="decimal"/>
          <w:cols w:space="720" w:num="1"/>
          <w:docGrid w:type="lines" w:linePitch="312" w:charSpace="0"/>
        </w:sectPr>
      </w:pPr>
      <w:r>
        <w:rPr>
          <w:rFonts w:hint="eastAsia" w:ascii="宋体" w:hAnsi="宋体" w:eastAsia="宋体" w:cs="Times New Roman"/>
          <w:color w:val="000000" w:themeColor="text1"/>
          <w:kern w:val="0"/>
          <w:sz w:val="24"/>
          <w:szCs w:val="18"/>
          <w:highlight w:val="none"/>
          <w14:textFill>
            <w14:solidFill>
              <w14:schemeClr w14:val="tx1"/>
            </w14:solidFill>
          </w14:textFill>
        </w:rPr>
        <w:t>1</w:t>
      </w: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18"/>
          <w:highlight w:val="none"/>
          <w14:textFill>
            <w14:solidFill>
              <w14:schemeClr w14:val="tx1"/>
            </w14:solidFill>
          </w14:textFill>
        </w:rPr>
        <w:t>.所有权转移登记：是指</w:t>
      </w:r>
      <w:r>
        <w:rPr>
          <w:rFonts w:hint="eastAsia" w:ascii="宋体" w:hAnsi="宋体" w:eastAsia="宋体" w:cs="Times New Roman"/>
          <w:color w:val="000000" w:themeColor="text1"/>
          <w:kern w:val="0"/>
          <w:sz w:val="24"/>
          <w:szCs w:val="18"/>
          <w:highlight w:val="none"/>
          <w:lang w:val="en-US" w:eastAsia="zh-CN"/>
          <w14:textFill>
            <w14:solidFill>
              <w14:schemeClr w14:val="tx1"/>
            </w14:solidFill>
          </w14:textFill>
        </w:rPr>
        <w:t>共有产权住房</w:t>
      </w:r>
      <w:r>
        <w:rPr>
          <w:rFonts w:hint="eastAsia" w:ascii="宋体" w:hAnsi="宋体" w:eastAsia="宋体" w:cs="Times New Roman"/>
          <w:color w:val="000000" w:themeColor="text1"/>
          <w:kern w:val="0"/>
          <w:sz w:val="24"/>
          <w:szCs w:val="18"/>
          <w:highlight w:val="none"/>
          <w14:textFill>
            <w14:solidFill>
              <w14:schemeClr w14:val="tx1"/>
            </w14:solidFill>
          </w14:textFill>
        </w:rPr>
        <w:t>所有权从甲方转移至乙方和丙方所办理的登记类型。</w:t>
      </w:r>
    </w:p>
    <w:p>
      <w:pPr>
        <w:spacing w:line="360" w:lineRule="auto"/>
        <w:jc w:val="center"/>
        <w:textAlignment w:val="baseline"/>
        <w:rPr>
          <w:rFonts w:ascii="黑体" w:hAnsi="黑体" w:eastAsia="黑体"/>
          <w:b/>
          <w:color w:val="000000" w:themeColor="text1"/>
          <w:sz w:val="44"/>
          <w:szCs w:val="44"/>
          <w:highlight w:val="none"/>
          <w14:textFill>
            <w14:solidFill>
              <w14:schemeClr w14:val="tx1"/>
            </w14:solidFill>
          </w14:textFill>
        </w:rPr>
      </w:pPr>
    </w:p>
    <w:p>
      <w:pPr>
        <w:spacing w:line="360" w:lineRule="auto"/>
        <w:jc w:val="center"/>
        <w:textAlignment w:val="baseline"/>
        <w:rPr>
          <w:rFonts w:hint="eastAsia" w:ascii="黑体" w:hAnsi="黑体" w:eastAsia="黑体"/>
          <w:b/>
          <w:color w:val="000000" w:themeColor="text1"/>
          <w:sz w:val="44"/>
          <w:szCs w:val="44"/>
          <w:highlight w:val="none"/>
          <w14:textFill>
            <w14:solidFill>
              <w14:schemeClr w14:val="tx1"/>
            </w14:solidFill>
          </w14:textFill>
        </w:rPr>
      </w:pPr>
      <w:r>
        <w:rPr>
          <w:rFonts w:ascii="黑体" w:hAnsi="黑体" w:eastAsia="黑体"/>
          <w:b/>
          <w:color w:val="000000" w:themeColor="text1"/>
          <w:sz w:val="44"/>
          <w:szCs w:val="44"/>
          <w:highlight w:val="none"/>
          <w14:textFill>
            <w14:solidFill>
              <w14:schemeClr w14:val="tx1"/>
            </w14:solidFill>
          </w14:textFill>
        </w:rPr>
        <w:t>北京市</w:t>
      </w:r>
      <w:r>
        <w:rPr>
          <w:rFonts w:hint="eastAsia" w:ascii="黑体" w:hAnsi="黑体" w:eastAsia="黑体"/>
          <w:b/>
          <w:color w:val="000000" w:themeColor="text1"/>
          <w:sz w:val="44"/>
          <w:szCs w:val="44"/>
          <w:highlight w:val="none"/>
          <w:lang w:val="en-US" w:eastAsia="zh-CN"/>
          <w14:textFill>
            <w14:solidFill>
              <w14:schemeClr w14:val="tx1"/>
            </w14:solidFill>
          </w14:textFill>
        </w:rPr>
        <w:t>大兴区集体经营性建设用地上</w:t>
      </w:r>
      <w:r>
        <w:rPr>
          <w:rFonts w:hint="eastAsia" w:ascii="黑体" w:hAnsi="黑体" w:eastAsia="黑体"/>
          <w:b/>
          <w:color w:val="000000" w:themeColor="text1"/>
          <w:sz w:val="44"/>
          <w:szCs w:val="44"/>
          <w:highlight w:val="none"/>
          <w14:textFill>
            <w14:solidFill>
              <w14:schemeClr w14:val="tx1"/>
            </w14:solidFill>
          </w14:textFill>
        </w:rPr>
        <w:t>共有产权住房现</w:t>
      </w:r>
      <w:r>
        <w:rPr>
          <w:rFonts w:ascii="黑体" w:hAnsi="黑体" w:eastAsia="黑体"/>
          <w:b/>
          <w:color w:val="000000" w:themeColor="text1"/>
          <w:sz w:val="44"/>
          <w:szCs w:val="44"/>
          <w:highlight w:val="none"/>
          <w14:textFill>
            <w14:solidFill>
              <w14:schemeClr w14:val="tx1"/>
            </w14:solidFill>
          </w14:textFill>
        </w:rPr>
        <w:t>房</w:t>
      </w:r>
      <w:r>
        <w:rPr>
          <w:rFonts w:hint="eastAsia" w:ascii="黑体" w:hAnsi="黑体" w:eastAsia="黑体"/>
          <w:b/>
          <w:color w:val="000000" w:themeColor="text1"/>
          <w:sz w:val="44"/>
          <w:szCs w:val="44"/>
          <w:highlight w:val="none"/>
          <w14:textFill>
            <w14:solidFill>
              <w14:schemeClr w14:val="tx1"/>
            </w14:solidFill>
          </w14:textFill>
        </w:rPr>
        <w:t>买卖</w:t>
      </w:r>
      <w:r>
        <w:rPr>
          <w:rFonts w:ascii="黑体" w:hAnsi="黑体" w:eastAsia="黑体"/>
          <w:b/>
          <w:color w:val="000000" w:themeColor="text1"/>
          <w:sz w:val="44"/>
          <w:szCs w:val="44"/>
          <w:highlight w:val="none"/>
          <w14:textFill>
            <w14:solidFill>
              <w14:schemeClr w14:val="tx1"/>
            </w14:solidFill>
          </w14:textFill>
        </w:rPr>
        <w:t>合同</w:t>
      </w:r>
    </w:p>
    <w:p>
      <w:pPr>
        <w:spacing w:line="360" w:lineRule="auto"/>
        <w:jc w:val="center"/>
        <w:textAlignment w:val="baseline"/>
        <w:rPr>
          <w:rFonts w:ascii="宋体" w:hAnsi="宋体"/>
          <w:b/>
          <w:color w:val="000000" w:themeColor="text1"/>
          <w:sz w:val="44"/>
          <w:szCs w:val="44"/>
          <w:highlight w:val="none"/>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60" w:lineRule="auto"/>
        <w:ind w:left="10" w:right="0" w:firstLine="511"/>
        <w:jc w:val="both"/>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甲、乙、丙三方在自愿、平等、公平及诚实信用的基础上，根据《中华人民共和国民法典》《中华人民共和国城市房地产管理法》</w:t>
      </w:r>
      <w:r>
        <w:rPr>
          <w:rFonts w:hint="eastAsia" w:cs="宋体"/>
          <w:color w:val="000000" w:themeColor="text1"/>
          <w:highlight w:val="none"/>
          <w:lang w:val="en-US" w:eastAsia="zh-CN"/>
          <w14:textFill>
            <w14:solidFill>
              <w14:schemeClr w14:val="tx1"/>
            </w14:solidFill>
          </w14:textFill>
        </w:rPr>
        <w:t>《中华人民共和国土地管理法实施条例》</w:t>
      </w:r>
      <w:r>
        <w:rPr>
          <w:rFonts w:hint="eastAsia" w:ascii="宋体" w:hAnsi="宋体" w:eastAsia="宋体" w:cs="宋体"/>
          <w:color w:val="000000" w:themeColor="text1"/>
          <w:highlight w:val="none"/>
          <w14:textFill>
            <w14:solidFill>
              <w14:schemeClr w14:val="tx1"/>
            </w14:solidFill>
          </w14:textFill>
        </w:rPr>
        <w:t>《北京市共有产权住房管理暂行办法》</w:t>
      </w:r>
      <w:r>
        <w:rPr>
          <w:rFonts w:hint="eastAsia"/>
          <w:color w:val="000000" w:themeColor="text1"/>
          <w:szCs w:val="18"/>
          <w:highlight w:val="none"/>
          <w14:textFill>
            <w14:solidFill>
              <w14:schemeClr w14:val="tx1"/>
            </w14:solidFill>
          </w14:textFill>
        </w:rPr>
        <w:t>《全国人民代表大会常务委员会关于授权国务院在北京市大兴区等三十三个试点县（市、区）行政区域暂时调整实施有关法律规定的决定》《北京市农村集体经营性建设用地入市试点办法》</w:t>
      </w:r>
      <w:r>
        <w:rPr>
          <w:rFonts w:hint="eastAsia" w:ascii="宋体" w:hAnsi="宋体" w:eastAsia="宋体" w:cs="宋体"/>
          <w:color w:val="000000" w:themeColor="text1"/>
          <w:highlight w:val="none"/>
          <w14:textFill>
            <w14:solidFill>
              <w14:schemeClr w14:val="tx1"/>
            </w14:solidFill>
          </w14:textFill>
        </w:rPr>
        <w:t>等</w:t>
      </w:r>
      <w:r>
        <w:rPr>
          <w:rFonts w:hint="eastAsia" w:eastAsia="宋体" w:cs="宋体"/>
          <w:color w:val="000000" w:themeColor="text1"/>
          <w:highlight w:val="none"/>
          <w:lang w:eastAsia="zh-CN"/>
          <w14:textFill>
            <w14:solidFill>
              <w14:schemeClr w14:val="tx1"/>
            </w14:solidFill>
          </w14:textFill>
        </w:rPr>
        <w:t>有关</w:t>
      </w:r>
      <w:r>
        <w:rPr>
          <w:rFonts w:hint="eastAsia" w:ascii="宋体" w:hAnsi="宋体" w:eastAsia="宋体" w:cs="宋体"/>
          <w:color w:val="000000" w:themeColor="text1"/>
          <w:highlight w:val="none"/>
          <w14:textFill>
            <w14:solidFill>
              <w14:schemeClr w14:val="tx1"/>
            </w14:solidFill>
          </w14:textFill>
        </w:rPr>
        <w:t>法律法规</w:t>
      </w:r>
      <w:r>
        <w:rPr>
          <w:rFonts w:hint="eastAsia" w:eastAsia="宋体" w:cs="宋体"/>
          <w:color w:val="000000" w:themeColor="text1"/>
          <w:highlight w:val="none"/>
          <w:lang w:eastAsia="zh-CN"/>
          <w14:textFill>
            <w14:solidFill>
              <w14:schemeClr w14:val="tx1"/>
            </w14:solidFill>
          </w14:textFill>
        </w:rPr>
        <w:t>、规范性文件</w:t>
      </w:r>
      <w:r>
        <w:rPr>
          <w:rFonts w:hint="eastAsia" w:ascii="宋体" w:hAnsi="宋体" w:eastAsia="宋体" w:cs="宋体"/>
          <w:color w:val="000000" w:themeColor="text1"/>
          <w:highlight w:val="none"/>
          <w14:textFill>
            <w14:solidFill>
              <w14:schemeClr w14:val="tx1"/>
            </w14:solidFill>
          </w14:textFill>
        </w:rPr>
        <w:t>的规定，就</w:t>
      </w:r>
      <w:r>
        <w:rPr>
          <w:rFonts w:hint="eastAsia"/>
          <w:color w:val="000000" w:themeColor="text1"/>
          <w:szCs w:val="18"/>
          <w:highlight w:val="none"/>
          <w14:textFill>
            <w14:solidFill>
              <w14:schemeClr w14:val="tx1"/>
            </w14:solidFill>
          </w14:textFill>
        </w:rPr>
        <w:t>北京市大兴区集体经营性建设用地上</w:t>
      </w:r>
      <w:r>
        <w:rPr>
          <w:rFonts w:hint="eastAsia" w:ascii="宋体" w:hAnsi="宋体" w:eastAsia="宋体" w:cs="宋体"/>
          <w:color w:val="000000" w:themeColor="text1"/>
          <w:highlight w:val="none"/>
          <w14:textFill>
            <w14:solidFill>
              <w14:schemeClr w14:val="tx1"/>
            </w14:solidFill>
          </w14:textFill>
        </w:rPr>
        <w:t>共有产权住房</w:t>
      </w:r>
      <w:r>
        <w:rPr>
          <w:rFonts w:hint="eastAsia"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以下简称“共有产权住房 ”</w:t>
      </w:r>
      <w:r>
        <w:rPr>
          <w:rFonts w:hint="eastAsia"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转让等事宜协商一致，签订本合同。</w:t>
      </w:r>
      <w:bookmarkStart w:id="0" w:name="_GoBack"/>
      <w:bookmarkEnd w:id="0"/>
    </w:p>
    <w:p>
      <w:pPr>
        <w:pStyle w:val="10"/>
        <w:spacing w:before="0" w:beforeAutospacing="0" w:after="0" w:afterAutospacing="0"/>
        <w:jc w:val="center"/>
        <w:rPr>
          <w:rFonts w:hint="eastAsia" w:ascii="宋体" w:hAnsi="宋体" w:eastAsia="宋体" w:cs="宋体"/>
          <w:color w:val="000000" w:themeColor="text1"/>
          <w:sz w:val="24"/>
          <w:szCs w:val="24"/>
          <w:highlight w:val="none"/>
          <w:shd w:val="pct10" w:color="auto" w:fill="FFFFFF"/>
          <w14:textFill>
            <w14:solidFill>
              <w14:schemeClr w14:val="tx1"/>
            </w14:solidFill>
          </w14:textFill>
        </w:rPr>
      </w:pPr>
    </w:p>
    <w:p>
      <w:pPr>
        <w:pStyle w:val="10"/>
        <w:spacing w:before="0" w:beforeAutospacing="0" w:after="0" w:afterAutospacing="0"/>
        <w:ind w:firstLine="0"/>
        <w:jc w:val="center"/>
        <w:rPr>
          <w:rStyle w:val="8"/>
          <w:rFonts w:hint="eastAsia" w:ascii="新宋体" w:hAnsi="新宋体" w:eastAsia="新宋体"/>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第一章  合同当事人</w:t>
      </w:r>
    </w:p>
    <w:p>
      <w:pPr>
        <w:pStyle w:val="10"/>
        <w:spacing w:before="0" w:beforeAutospacing="0" w:after="0" w:afterAutospacing="0"/>
        <w:rPr>
          <w:color w:val="000000" w:themeColor="text1"/>
          <w:highlight w:val="none"/>
          <w14:textFill>
            <w14:solidFill>
              <w14:schemeClr w14:val="tx1"/>
            </w14:solidFill>
          </w14:textFill>
        </w:rPr>
      </w:pPr>
      <w:r>
        <w:rPr>
          <w:rStyle w:val="8"/>
          <w:rFonts w:hint="eastAsia"/>
          <w:color w:val="000000" w:themeColor="text1"/>
          <w:highlight w:val="none"/>
          <w14:textFill>
            <w14:solidFill>
              <w14:schemeClr w14:val="tx1"/>
            </w14:solidFill>
          </w14:textFill>
        </w:rPr>
        <w:t>甲方</w:t>
      </w:r>
      <w:r>
        <w:rPr>
          <w:rStyle w:val="8"/>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u w:val="singl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统一社会信用代码</w:t>
      </w:r>
      <w:r>
        <w:rPr>
          <w:rFonts w:ascii="新宋体" w:hAnsi="新宋体" w:eastAsia="新宋体"/>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u w:val="singl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企业资质证书号：</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法定代表人：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委托代理人：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委托销售代理机构：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经纪机构备案证明号：</w:t>
      </w:r>
      <w:r>
        <w:rPr>
          <w:rFonts w:hint="eastAsia" w:ascii="新宋体" w:hAnsi="新宋体" w:eastAsia="新宋体"/>
          <w:color w:val="000000" w:themeColor="text1"/>
          <w:highlight w:val="none"/>
          <w:u w:val="single"/>
          <w14:textFill>
            <w14:solidFill>
              <w14:schemeClr w14:val="tx1"/>
            </w14:solidFill>
          </w14:textFill>
        </w:rPr>
        <w:t xml:space="preserve">                                              </w:t>
      </w:r>
      <w:r>
        <w:rPr>
          <w:rFonts w:ascii="新宋体" w:hAnsi="新宋体" w:eastAsia="新宋体"/>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统一社会信用代码</w:t>
      </w:r>
      <w:r>
        <w:rPr>
          <w:rFonts w:ascii="新宋体" w:hAnsi="新宋体" w:eastAsia="新宋体"/>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ind w:firstLine="480" w:firstLineChars="200"/>
        <w:rPr>
          <w:rFonts w:hint="eastAsia"/>
          <w:color w:val="000000" w:themeColor="text1"/>
          <w:highlight w:val="none"/>
          <w14:textFill>
            <w14:solidFill>
              <w14:schemeClr w14:val="tx1"/>
            </w14:solidFill>
          </w14:textFill>
        </w:rPr>
      </w:pPr>
    </w:p>
    <w:p>
      <w:pPr>
        <w:pStyle w:val="10"/>
        <w:spacing w:before="0" w:beforeAutospacing="0" w:after="0" w:afterAutospacing="0"/>
        <w:rPr>
          <w:color w:val="000000" w:themeColor="text1"/>
          <w:highlight w:val="none"/>
          <w14:textFill>
            <w14:solidFill>
              <w14:schemeClr w14:val="tx1"/>
            </w14:solidFill>
          </w14:textFill>
        </w:rPr>
      </w:pPr>
      <w:r>
        <w:rPr>
          <w:rStyle w:val="8"/>
          <w:rFonts w:hint="eastAsia"/>
          <w:color w:val="000000" w:themeColor="text1"/>
          <w:highlight w:val="none"/>
          <w14:textFill>
            <w14:solidFill>
              <w14:schemeClr w14:val="tx1"/>
            </w14:solidFill>
          </w14:textFill>
        </w:rPr>
        <w:t>乙方</w:t>
      </w:r>
      <w:r>
        <w:rPr>
          <w:rStyle w:val="8"/>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hint="eastAsia" w:cs="Microsoft JhengHei"/>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cs="Microsoft JhengHei"/>
          <w:color w:val="000000" w:themeColor="text1"/>
          <w:spacing w:val="14"/>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w:t>
      </w:r>
      <w:r>
        <w:rPr>
          <w:rFonts w:hint="eastAsia"/>
          <w:color w:val="000000" w:themeColor="text1"/>
          <w:highlight w:val="none"/>
          <w:lang w:eastAsia="zh-CN"/>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ind w:firstLineChars="200"/>
        <w:rPr>
          <w:rFonts w:hint="eastAsia"/>
          <w:color w:val="000000" w:themeColor="text1"/>
          <w:highlight w:val="none"/>
          <w:u w:val="singl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【法定代理人】</w:t>
      </w:r>
      <w:r>
        <w:rPr>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（乙方为多人时，可相应增加）</w:t>
      </w:r>
    </w:p>
    <w:p>
      <w:pPr>
        <w:pStyle w:val="10"/>
        <w:spacing w:before="0" w:beforeAutospacing="0" w:after="0" w:afterAutospacing="0"/>
        <w:rPr>
          <w:rStyle w:val="8"/>
          <w:rFonts w:hint="eastAsia" w:ascii="新宋体" w:hAnsi="新宋体" w:eastAsia="新宋体"/>
          <w:color w:val="000000" w:themeColor="text1"/>
          <w:highlight w:val="none"/>
          <w14:textFill>
            <w14:solidFill>
              <w14:schemeClr w14:val="tx1"/>
            </w14:solidFill>
          </w14:textFill>
        </w:rPr>
      </w:pPr>
    </w:p>
    <w:p>
      <w:pPr>
        <w:spacing w:line="440" w:lineRule="exact"/>
        <w:ind w:firstLine="437"/>
        <w:rPr>
          <w:rFonts w:hint="eastAsia"/>
          <w:color w:val="000000" w:themeColor="text1"/>
          <w:sz w:val="24"/>
          <w:highlight w:val="none"/>
          <w14:textFill>
            <w14:solidFill>
              <w14:schemeClr w14:val="tx1"/>
            </w14:solidFill>
          </w14:textFill>
        </w:rPr>
      </w:pPr>
      <w:r>
        <w:rPr>
          <w:rStyle w:val="8"/>
          <w:color w:val="000000" w:themeColor="text1"/>
          <w:kern w:val="0"/>
          <w:sz w:val="24"/>
          <w:highlight w:val="none"/>
          <w14:textFill>
            <w14:solidFill>
              <w14:schemeClr w14:val="tx1"/>
            </w14:solidFill>
          </w14:textFill>
        </w:rPr>
        <w:t>丙方</w:t>
      </w:r>
      <w:r>
        <w:rPr>
          <w:rStyle w:val="8"/>
          <w:rFonts w:hint="eastAsia"/>
          <w:color w:val="000000" w:themeColor="text1"/>
          <w:kern w:val="0"/>
          <w:sz w:val="24"/>
          <w:highlight w:val="none"/>
          <w14:textFill>
            <w14:solidFill>
              <w14:schemeClr w14:val="tx1"/>
            </w14:solidFill>
          </w14:textFill>
        </w:rPr>
        <w:t>：</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区</w:t>
      </w:r>
      <w:r>
        <w:rPr>
          <w:rFonts w:hint="eastAsia"/>
          <w:color w:val="000000" w:themeColor="text1"/>
          <w:sz w:val="24"/>
          <w:highlight w:val="none"/>
          <w:u w:val="single"/>
          <w14:textFill>
            <w14:solidFill>
              <w14:schemeClr w14:val="tx1"/>
            </w14:solidFill>
          </w14:textFill>
        </w:rPr>
        <w:t xml:space="preserve">                               </w:t>
      </w:r>
    </w:p>
    <w:p>
      <w:pPr>
        <w:spacing w:line="440" w:lineRule="exact"/>
        <w:ind w:firstLine="437"/>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通讯地址</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p>
    <w:p>
      <w:pPr>
        <w:spacing w:line="440" w:lineRule="exact"/>
        <w:ind w:firstLine="437"/>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统一社会信用代码：</w:t>
      </w:r>
      <w:r>
        <w:rPr>
          <w:rFonts w:hint="eastAsia" w:ascii="宋体" w:hAnsi="宋体"/>
          <w:color w:val="000000" w:themeColor="text1"/>
          <w:kern w:val="0"/>
          <w:sz w:val="24"/>
          <w:highlight w:val="none"/>
          <w:u w:val="single"/>
          <w14:textFill>
            <w14:solidFill>
              <w14:schemeClr w14:val="tx1"/>
            </w14:solidFill>
          </w14:textFill>
        </w:rPr>
        <w:t xml:space="preserve">                                        </w:t>
      </w:r>
    </w:p>
    <w:p>
      <w:pPr>
        <w:spacing w:line="440" w:lineRule="exact"/>
        <w:ind w:firstLine="437"/>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法定代表人</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委托代理人：</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w:t>
      </w:r>
    </w:p>
    <w:p>
      <w:pPr>
        <w:spacing w:line="440" w:lineRule="exact"/>
        <w:ind w:firstLine="437"/>
        <w:rPr>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邮政编码</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联系电</w:t>
      </w:r>
      <w:r>
        <w:rPr>
          <w:color w:val="000000" w:themeColor="text1"/>
          <w:sz w:val="24"/>
          <w:highlight w:val="none"/>
          <w14:textFill>
            <w14:solidFill>
              <w14:schemeClr w14:val="tx1"/>
            </w14:solidFill>
          </w14:textFill>
        </w:rPr>
        <w:t>话：</w:t>
      </w:r>
      <w:r>
        <w:rPr>
          <w:rFonts w:hint="eastAsia" w:ascii="宋体" w:hAnsi="宋体"/>
          <w:color w:val="000000" w:themeColor="text1"/>
          <w:kern w:val="0"/>
          <w:sz w:val="24"/>
          <w:highlight w:val="none"/>
          <w:u w:val="single"/>
          <w14:textFill>
            <w14:solidFill>
              <w14:schemeClr w14:val="tx1"/>
            </w14:solidFill>
          </w14:textFill>
        </w:rPr>
        <w:t xml:space="preserve">                 </w:t>
      </w:r>
    </w:p>
    <w:p>
      <w:pPr>
        <w:pStyle w:val="10"/>
        <w:spacing w:before="0" w:beforeAutospacing="0" w:after="0" w:afterAutospacing="0"/>
        <w:ind w:firstLine="0"/>
        <w:rPr>
          <w:rFonts w:hint="eastAsia" w:ascii="新宋体" w:hAnsi="新宋体" w:eastAsia="新宋体"/>
          <w:color w:val="000000" w:themeColor="text1"/>
          <w:highlight w:val="none"/>
          <w14:textFill>
            <w14:solidFill>
              <w14:schemeClr w14:val="tx1"/>
            </w14:solidFill>
          </w14:textFill>
        </w:rPr>
      </w:pPr>
    </w:p>
    <w:p>
      <w:pPr>
        <w:pStyle w:val="10"/>
        <w:spacing w:before="0" w:beforeAutospacing="0" w:after="0" w:afterAutospacing="0"/>
        <w:ind w:firstLine="0"/>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第二章</w:t>
      </w:r>
      <w:r>
        <w:rPr>
          <w:rFonts w:hint="eastAsia" w:ascii="黑体" w:hAnsi="黑体" w:eastAsia="黑体"/>
          <w:color w:val="000000" w:themeColor="text1"/>
          <w:sz w:val="32"/>
          <w:szCs w:val="32"/>
          <w:highlight w:val="none"/>
          <w14:textFill>
            <w14:solidFill>
              <w14:schemeClr w14:val="tx1"/>
            </w14:solidFill>
          </w14:textFill>
        </w:rPr>
        <w:tab/>
      </w:r>
      <w:r>
        <w:rPr>
          <w:rFonts w:hint="eastAsia" w:ascii="黑体" w:hAnsi="黑体" w:eastAsia="黑体"/>
          <w:color w:val="000000" w:themeColor="text1"/>
          <w:sz w:val="32"/>
          <w:szCs w:val="32"/>
          <w:highlight w:val="none"/>
          <w14:textFill>
            <w14:solidFill>
              <w14:schemeClr w14:val="tx1"/>
            </w14:solidFill>
          </w14:textFill>
        </w:rPr>
        <w:t>共有产权住房基本状况</w:t>
      </w:r>
    </w:p>
    <w:p>
      <w:pPr>
        <w:pStyle w:val="10"/>
        <w:spacing w:before="0" w:beforeAutospacing="0" w:after="0" w:afterAutospacing="0"/>
        <w:ind w:firstLine="482" w:firstLineChars="200"/>
        <w:rPr>
          <w:rFonts w:ascii="新宋体" w:hAnsi="新宋体" w:eastAsia="新宋体"/>
          <w:color w:val="000000" w:themeColor="text1"/>
          <w:highlight w:val="none"/>
          <w14:textFill>
            <w14:solidFill>
              <w14:schemeClr w14:val="tx1"/>
            </w14:solidFill>
          </w14:textFill>
        </w:rPr>
      </w:pPr>
      <w:r>
        <w:rPr>
          <w:rStyle w:val="8"/>
          <w:rFonts w:ascii="新宋体" w:hAnsi="新宋体" w:eastAsia="新宋体"/>
          <w:color w:val="000000" w:themeColor="text1"/>
          <w:highlight w:val="none"/>
          <w14:textFill>
            <w14:solidFill>
              <w14:schemeClr w14:val="tx1"/>
            </w14:solidFill>
          </w14:textFill>
        </w:rPr>
        <w:t>第一条</w:t>
      </w:r>
      <w:r>
        <w:rPr>
          <w:rStyle w:val="8"/>
          <w:rFonts w:hint="eastAsia" w:ascii="新宋体" w:hAnsi="新宋体" w:eastAsia="新宋体"/>
          <w:color w:val="000000" w:themeColor="text1"/>
          <w:highlight w:val="none"/>
          <w14:textFill>
            <w14:solidFill>
              <w14:schemeClr w14:val="tx1"/>
            </w14:solidFill>
          </w14:textFill>
        </w:rPr>
        <w:t xml:space="preserve"> </w:t>
      </w:r>
      <w:r>
        <w:rPr>
          <w:rStyle w:val="8"/>
          <w:rFonts w:ascii="新宋体" w:hAnsi="新宋体" w:eastAsia="新宋体"/>
          <w:color w:val="000000" w:themeColor="text1"/>
          <w:highlight w:val="none"/>
          <w14:textFill>
            <w14:solidFill>
              <w14:schemeClr w14:val="tx1"/>
            </w14:solidFill>
          </w14:textFill>
        </w:rPr>
        <w:t xml:space="preserve"> 项目建设依据 </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甲方以【出让】【转让】【划拨】方式取得坐落于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地块的</w:t>
      </w:r>
      <w:r>
        <w:rPr>
          <w:rFonts w:hint="eastAsia" w:eastAsia="宋体" w:cs="宋体"/>
          <w:color w:val="000000" w:themeColor="text1"/>
          <w:highlight w:val="none"/>
          <w:lang w:val="en-US" w:eastAsia="zh-CN"/>
          <w14:textFill>
            <w14:solidFill>
              <w14:schemeClr w14:val="tx1"/>
            </w14:solidFill>
          </w14:textFill>
        </w:rPr>
        <w:t>集体经营性建设用地</w:t>
      </w:r>
      <w:r>
        <w:rPr>
          <w:rFonts w:hint="eastAsia" w:ascii="宋体" w:hAnsi="宋体" w:eastAsia="宋体" w:cs="宋体"/>
          <w:color w:val="000000" w:themeColor="text1"/>
          <w:highlight w:val="none"/>
          <w14:textFill>
            <w14:solidFill>
              <w14:schemeClr w14:val="tx1"/>
            </w14:solidFill>
          </w14:textFill>
        </w:rPr>
        <w:t>使用权。该地块【不动产权证书号】为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，土地使用权面积为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平方米。乙方购买的共有产权住房（以下简称该共有产权住房）所占用的土地用途为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，土地使用年限自</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pStyle w:val="10"/>
        <w:spacing w:before="0" w:beforeAutospacing="0" w:after="0" w:afterAutospacing="0"/>
        <w:rPr>
          <w:rFonts w:hint="eastAsia" w:ascii="宋体" w:hAnsi="宋体" w:eastAsia="宋体" w:cs="宋体"/>
          <w:b/>
          <w:color w:val="000000" w:themeColor="text1"/>
          <w:highlight w:val="none"/>
          <w14:textFill>
            <w14:solidFill>
              <w14:schemeClr w14:val="tx1"/>
            </w14:solidFill>
          </w14:textFill>
        </w:rPr>
      </w:pPr>
      <w:r>
        <w:rPr>
          <w:rFonts w:hint="eastAsia" w:eastAsia="宋体" w:cs="宋体"/>
          <w:color w:val="000000" w:themeColor="text1"/>
          <w:highlight w:val="none"/>
          <w:lang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甲方经批准，在上述地块上建设的共有产权住房项目核准名称为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，建设工程规划许可证号为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，建筑工程施工许可证号为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现已通过规划验收并完成了竣工验收</w:t>
      </w:r>
      <w:r>
        <w:rPr>
          <w:rFonts w:hint="eastAsia" w:ascii="宋体" w:hAnsi="宋体" w:eastAsia="宋体" w:cs="宋体"/>
          <w:color w:val="000000" w:themeColor="text1"/>
          <w:highlight w:val="none"/>
          <w14:textFill>
            <w14:solidFill>
              <w14:schemeClr w14:val="tx1"/>
            </w14:solidFill>
          </w14:textFill>
        </w:rPr>
        <w:t>。</w:t>
      </w:r>
    </w:p>
    <w:p>
      <w:pPr>
        <w:spacing w:line="360" w:lineRule="auto"/>
        <w:ind w:firstLine="482" w:firstLineChars="200"/>
        <w:jc w:val="left"/>
        <w:textAlignment w:val="baseline"/>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第二条</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销</w:t>
      </w:r>
      <w:r>
        <w:rPr>
          <w:rFonts w:ascii="宋体" w:hAnsi="宋体"/>
          <w:b/>
          <w:color w:val="000000" w:themeColor="text1"/>
          <w:sz w:val="24"/>
          <w:highlight w:val="none"/>
          <w14:textFill>
            <w14:solidFill>
              <w14:schemeClr w14:val="tx1"/>
            </w14:solidFill>
          </w14:textFill>
        </w:rPr>
        <w:t>售依据</w:t>
      </w:r>
      <w:r>
        <w:rPr>
          <w:rFonts w:hint="eastAsia" w:ascii="宋体" w:hAnsi="宋体"/>
          <w:b/>
          <w:color w:val="000000" w:themeColor="text1"/>
          <w:sz w:val="24"/>
          <w:highlight w:val="none"/>
          <w14:textFill>
            <w14:solidFill>
              <w14:schemeClr w14:val="tx1"/>
            </w14:solidFill>
          </w14:textFill>
        </w:rPr>
        <w:t xml:space="preserve"> </w:t>
      </w:r>
    </w:p>
    <w:p>
      <w:pPr>
        <w:spacing w:line="360" w:lineRule="auto"/>
        <w:ind w:firstLine="480" w:firstLineChars="200"/>
        <w:textAlignment w:val="baseline"/>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该共有产权住房已取得【房屋所有权证】【不动产权证书】【房屋所有权证号】【不动产权证书号】为：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，【房屋登记机构】【不动产登记机构】为：</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widowControl/>
        <w:numPr>
          <w:ilvl w:val="0"/>
          <w:numId w:val="1"/>
        </w:numPr>
        <w:spacing w:line="360" w:lineRule="auto"/>
        <w:ind w:firstLine="480"/>
        <w:jc w:val="left"/>
        <w:rPr>
          <w:rFonts w:ascii="新宋体" w:hAnsi="新宋体" w:eastAsia="新宋体"/>
          <w:b/>
          <w:bCs/>
          <w:color w:val="000000" w:themeColor="text1"/>
          <w:kern w:val="0"/>
          <w:sz w:val="24"/>
          <w:highlight w:val="none"/>
          <w14:textFill>
            <w14:solidFill>
              <w14:schemeClr w14:val="tx1"/>
            </w14:solidFill>
          </w14:textFill>
        </w:rPr>
      </w:pPr>
      <w:r>
        <w:rPr>
          <w:rFonts w:hint="eastAsia" w:ascii="新宋体" w:hAnsi="新宋体" w:eastAsia="新宋体"/>
          <w:b/>
          <w:bCs/>
          <w:color w:val="000000" w:themeColor="text1"/>
          <w:kern w:val="0"/>
          <w:sz w:val="24"/>
          <w:highlight w:val="none"/>
          <w14:textFill>
            <w14:solidFill>
              <w14:schemeClr w14:val="tx1"/>
            </w14:solidFill>
          </w14:textFill>
        </w:rPr>
        <w:t xml:space="preserve"> </w:t>
      </w:r>
      <w:r>
        <w:rPr>
          <w:rFonts w:hint="eastAsia" w:ascii="宋体" w:hAnsi="宋体"/>
          <w:b/>
          <w:bCs/>
          <w:color w:val="000000" w:themeColor="text1"/>
          <w:kern w:val="0"/>
          <w:sz w:val="24"/>
          <w:highlight w:val="none"/>
          <w14:textFill>
            <w14:solidFill>
              <w14:schemeClr w14:val="tx1"/>
            </w14:solidFill>
          </w14:textFill>
        </w:rPr>
        <w:t>共有产权住房</w:t>
      </w:r>
      <w:r>
        <w:rPr>
          <w:rFonts w:ascii="新宋体" w:hAnsi="新宋体" w:eastAsia="新宋体"/>
          <w:b/>
          <w:bCs/>
          <w:color w:val="000000" w:themeColor="text1"/>
          <w:kern w:val="0"/>
          <w:sz w:val="24"/>
          <w:highlight w:val="none"/>
          <w14:textFill>
            <w14:solidFill>
              <w14:schemeClr w14:val="tx1"/>
            </w14:solidFill>
          </w14:textFill>
        </w:rPr>
        <w:t xml:space="preserve">基本情况 </w:t>
      </w:r>
    </w:p>
    <w:p>
      <w:pPr>
        <w:widowControl/>
        <w:numPr>
          <w:ilvl w:val="0"/>
          <w:numId w:val="2"/>
        </w:numPr>
        <w:spacing w:line="360" w:lineRule="auto"/>
        <w:ind w:firstLine="48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该共有产权住房的规划性质为住宅。</w:t>
      </w:r>
    </w:p>
    <w:p>
      <w:pPr>
        <w:widowControl/>
        <w:numPr>
          <w:ilvl w:val="0"/>
          <w:numId w:val="0"/>
        </w:numPr>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经公安行政管理部门核准，该共有产权住房</w:t>
      </w:r>
      <w:r>
        <w:rPr>
          <w:rFonts w:hint="eastAsia" w:ascii="宋体" w:hAnsi="宋体" w:eastAsia="宋体" w:cs="宋体"/>
          <w:color w:val="000000" w:themeColor="text1"/>
          <w:sz w:val="24"/>
          <w:highlight w:val="none"/>
          <w:lang w:eastAsia="zh-CN"/>
          <w14:textFill>
            <w14:solidFill>
              <w14:schemeClr w14:val="tx1"/>
            </w14:solidFill>
          </w14:textFill>
        </w:rPr>
        <w:t>地址</w:t>
      </w:r>
      <w:r>
        <w:rPr>
          <w:rFonts w:hint="eastAsia" w:ascii="宋体" w:hAnsi="宋体" w:eastAsia="宋体" w:cs="宋体"/>
          <w:color w:val="000000" w:themeColor="text1"/>
          <w:sz w:val="24"/>
          <w:highlight w:val="none"/>
          <w14:textFill>
            <w14:solidFill>
              <w14:schemeClr w14:val="tx1"/>
            </w14:solidFill>
          </w14:textFill>
        </w:rPr>
        <w:t>为：</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。该共有产权住房为第一条规定项目中的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【号楼】【幢】【座】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号。该共有产权住房的平面图见附件二。</w:t>
      </w:r>
    </w:p>
    <w:p>
      <w:pPr>
        <w:widowControl/>
        <w:spacing w:line="360" w:lineRule="auto"/>
        <w:ind w:firstLine="48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eastAsia="zh-CN"/>
          <w14:textFill>
            <w14:solidFill>
              <w14:schemeClr w14:val="tx1"/>
            </w14:solidFill>
          </w14:textFill>
        </w:rPr>
        <w:t>三</w:t>
      </w:r>
      <w:r>
        <w:rPr>
          <w:rFonts w:hint="eastAsia" w:ascii="宋体" w:hAnsi="宋体" w:eastAsia="宋体" w:cs="宋体"/>
          <w:color w:val="000000" w:themeColor="text1"/>
          <w:kern w:val="2"/>
          <w:sz w:val="24"/>
          <w:szCs w:val="24"/>
          <w:highlight w:val="none"/>
          <w14:textFill>
            <w14:solidFill>
              <w14:schemeClr w14:val="tx1"/>
            </w14:solidFill>
          </w14:textFill>
        </w:rPr>
        <w:t>）该共有产权住房所在建筑物的主体</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结构</w:t>
      </w:r>
      <w:r>
        <w:rPr>
          <w:rFonts w:hint="eastAsia" w:ascii="宋体" w:hAnsi="宋体" w:eastAsia="宋体" w:cs="宋体"/>
          <w:color w:val="000000" w:themeColor="text1"/>
          <w:kern w:val="2"/>
          <w:sz w:val="24"/>
          <w:szCs w:val="24"/>
          <w:highlight w:val="none"/>
          <w14:textFill>
            <w14:solidFill>
              <w14:schemeClr w14:val="tx1"/>
            </w14:solidFill>
          </w14:textFill>
        </w:rPr>
        <w:t>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，建筑总层数为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层，其中地上</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层，地下</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层，【是】【否】采用装配式建筑，</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执行文件和执行</w:t>
      </w:r>
      <w:r>
        <w:rPr>
          <w:rFonts w:hint="eastAsia" w:eastAsia="宋体" w:cs="宋体"/>
          <w:color w:val="000000" w:themeColor="text1"/>
          <w:kern w:val="2"/>
          <w:sz w:val="24"/>
          <w:szCs w:val="24"/>
          <w:highlight w:val="none"/>
          <w:lang w:val="en-US" w:eastAsia="zh-CN"/>
          <w14:textFill>
            <w14:solidFill>
              <w14:schemeClr w14:val="tx1"/>
            </w14:solidFill>
          </w14:textFill>
        </w:rPr>
        <w:t>标</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准</w:t>
      </w:r>
      <w:r>
        <w:rPr>
          <w:rFonts w:hint="eastAsia"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eastAsia="宋体" w:cs="宋体"/>
          <w:color w:val="000000" w:themeColor="text1"/>
          <w:highlight w:val="none"/>
          <w:u w:val="single"/>
          <w:lang w:val="en-US" w:eastAsia="zh-CN"/>
          <w14:textFill>
            <w14:solidFill>
              <w14:schemeClr w14:val="tx1"/>
            </w14:solidFill>
          </w14:textFill>
        </w:rPr>
        <w:t xml:space="preserve">                         </w:t>
      </w:r>
      <w:r>
        <w:rPr>
          <w:rFonts w:hint="default" w:eastAsia="宋体" w:cs="宋体"/>
          <w:color w:val="000000" w:themeColor="text1"/>
          <w:highlight w:val="none"/>
          <w:u w:val="single"/>
          <w:lang w:val="en" w:eastAsia="zh-CN"/>
          <w14:textFill>
            <w14:solidFill>
              <w14:schemeClr w14:val="tx1"/>
            </w14:solidFill>
          </w14:textFill>
        </w:rPr>
        <w:t xml:space="preserve">           </w:t>
      </w:r>
      <w:r>
        <w:rPr>
          <w:rFonts w:hint="eastAsia"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 xml:space="preserve"> </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甲方委托实测该共有产权住房面积的房产测绘机构为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，其实测建筑面积共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平方米，其中套内建筑面积</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平方米，分摊共</w:t>
      </w:r>
      <w:r>
        <w:rPr>
          <w:rFonts w:hint="eastAsia" w:ascii="宋体" w:hAnsi="宋体" w:eastAsia="宋体" w:cs="宋体"/>
          <w:color w:val="000000" w:themeColor="text1"/>
          <w:sz w:val="24"/>
          <w:highlight w:val="none"/>
          <w:lang w:eastAsia="zh-CN"/>
          <w14:textFill>
            <w14:solidFill>
              <w14:schemeClr w14:val="tx1"/>
            </w14:solidFill>
          </w14:textFill>
        </w:rPr>
        <w:t>用</w:t>
      </w:r>
      <w:r>
        <w:rPr>
          <w:rFonts w:hint="eastAsia" w:ascii="宋体" w:hAnsi="宋体" w:eastAsia="宋体" w:cs="宋体"/>
          <w:color w:val="000000" w:themeColor="text1"/>
          <w:sz w:val="24"/>
          <w:highlight w:val="none"/>
          <w14:textFill>
            <w14:solidFill>
              <w14:schemeClr w14:val="tx1"/>
            </w14:solidFill>
          </w14:textFill>
        </w:rPr>
        <w:t>建筑面积</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平方米。与该共有产权住房有关的共用建筑面积分摊情况见附件三。</w:t>
      </w:r>
    </w:p>
    <w:p>
      <w:pPr>
        <w:widowControl/>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该共有产权住房共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层到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层。其中，</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层【层高】【净高】为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米，有</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个阳台，其中</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个阳台为封闭式，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个阳台为非封闭式（以规划设计文件为准）。【坡屋顶净高】最低为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米，最高为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米。</w:t>
      </w:r>
    </w:p>
    <w:p>
      <w:pPr>
        <w:tabs>
          <w:tab w:val="left" w:pos="420"/>
          <w:tab w:val="left" w:pos="630"/>
        </w:tabs>
        <w:spacing w:line="360" w:lineRule="auto"/>
        <w:textAlignment w:val="baseline"/>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    第四条 </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抵押情况</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与该共有产权住房有关的抵押情况为 【已抵押】【未抵押】。</w:t>
      </w:r>
    </w:p>
    <w:p>
      <w:pPr>
        <w:pStyle w:val="10"/>
        <w:spacing w:before="0" w:beforeAutospacing="0" w:after="0" w:afterAutospacing="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抵押类型: 【该共有产权住房所占用的土地使用权设定抵押】【该共有产权住房在建工程设定抵押】</w:t>
      </w:r>
      <w:r>
        <w:rPr>
          <w:rFonts w:hint="eastAsia" w:eastAsia="宋体" w:cs="宋体"/>
          <w:color w:val="000000" w:themeColor="text1"/>
          <w:highlight w:val="none"/>
          <w:lang w:eastAsia="zh-CN"/>
          <w14:textFill>
            <w14:solidFill>
              <w14:schemeClr w14:val="tx1"/>
            </w14:solidFill>
          </w14:textFill>
        </w:rPr>
        <w:t>。</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抵押人：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，抵押权人：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抵押登记机构：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，抵押登记日期：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债务履行期限：</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spacing w:line="360" w:lineRule="auto"/>
        <w:ind w:firstLine="480" w:firstLineChars="20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抵押权人同意该共有产权住房销售的证明及关于抵押的相关约定见附件四。</w:t>
      </w:r>
    </w:p>
    <w:p>
      <w:pPr>
        <w:spacing w:line="360" w:lineRule="auto"/>
        <w:ind w:firstLine="482"/>
        <w:textAlignment w:val="baseline"/>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第五条  房屋权利状况承诺</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（一）</w:t>
      </w:r>
      <w:r>
        <w:rPr>
          <w:rFonts w:hint="eastAsia" w:ascii="宋体" w:hAnsi="宋体" w:eastAsia="宋体" w:cs="宋体"/>
          <w:color w:val="000000" w:themeColor="text1"/>
          <w:kern w:val="0"/>
          <w:sz w:val="24"/>
          <w:highlight w:val="none"/>
          <w14:textFill>
            <w14:solidFill>
              <w14:schemeClr w14:val="tx1"/>
            </w14:solidFill>
          </w14:textFill>
        </w:rPr>
        <w:t>甲方对该共有产权住房享有合法权利</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该共有产权住房</w:t>
      </w:r>
      <w:r>
        <w:rPr>
          <w:rFonts w:hint="eastAsia" w:ascii="宋体" w:hAnsi="宋体" w:eastAsia="宋体" w:cs="宋体"/>
          <w:color w:val="000000" w:themeColor="text1"/>
          <w:sz w:val="24"/>
          <w:highlight w:val="none"/>
          <w14:textFill>
            <w14:solidFill>
              <w14:schemeClr w14:val="tx1"/>
            </w14:solidFill>
          </w14:textFill>
        </w:rPr>
        <w:t>未出售并保证不出售</w:t>
      </w:r>
      <w:r>
        <w:rPr>
          <w:rFonts w:hint="eastAsia" w:ascii="宋体" w:hAnsi="宋体" w:eastAsia="宋体" w:cs="宋体"/>
          <w:color w:val="000000" w:themeColor="text1"/>
          <w:kern w:val="0"/>
          <w:sz w:val="24"/>
          <w:highlight w:val="none"/>
          <w14:textFill>
            <w14:solidFill>
              <w14:schemeClr w14:val="tx1"/>
            </w14:solidFill>
          </w14:textFill>
        </w:rPr>
        <w:t>给除本合同乙方和丙方以外的其他人</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（三）</w:t>
      </w:r>
      <w:r>
        <w:rPr>
          <w:rFonts w:hint="eastAsia" w:ascii="宋体" w:hAnsi="宋体" w:eastAsia="宋体" w:cs="宋体"/>
          <w:color w:val="000000" w:themeColor="text1"/>
          <w:kern w:val="0"/>
          <w:sz w:val="24"/>
          <w:highlight w:val="none"/>
          <w14:textFill>
            <w14:solidFill>
              <w14:schemeClr w14:val="tx1"/>
            </w14:solidFill>
          </w14:textFill>
        </w:rPr>
        <w:t>该共有产权住房无司法查封或其他限制转让的情况</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（五）</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如该共有产权住房权利状况与上述承诺不符，导致不能完成本合同网签备案或不动产转移登记的，乙方、丙方有权解除合同。乙方、丙方解除合同的，应当书面通知甲方。甲方应当自解除合同通知送达之日起</w:t>
      </w:r>
      <w:r>
        <w:rPr>
          <w:rFonts w:hint="eastAsia"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日内退还乙方已付全部房价款（含已付贷款部分），并自乙方付款之日起，按照</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%（不低于</w:t>
      </w:r>
      <w:r>
        <w:rPr>
          <w:rFonts w:hint="eastAsia" w:ascii="宋体" w:hAnsi="宋体" w:eastAsia="宋体" w:cs="宋体"/>
          <w:color w:val="000000" w:themeColor="text1"/>
          <w:highlight w:val="none"/>
          <w:u w:val="none"/>
          <w14:textFill>
            <w14:solidFill>
              <w14:schemeClr w14:val="tx1"/>
            </w14:solidFill>
          </w14:textFill>
        </w:rPr>
        <w:t>同期全国银行间同业拆借中心公布的一年期贷款市场报价利率）</w:t>
      </w:r>
      <w:r>
        <w:rPr>
          <w:rFonts w:hint="eastAsia" w:ascii="宋体" w:hAnsi="宋体" w:eastAsia="宋体" w:cs="宋体"/>
          <w:color w:val="000000" w:themeColor="text1"/>
          <w:highlight w:val="none"/>
          <w14:textFill>
            <w14:solidFill>
              <w14:schemeClr w14:val="tx1"/>
            </w14:solidFill>
          </w14:textFill>
        </w:rPr>
        <w:t>计算给付利息。给乙方造成损失的，甲方还应当承担赔偿责任，赔偿金额为【已付房价款一倍】【</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5"/>
        <w:spacing w:before="0" w:beforeLines="0" w:beforeAutospacing="0" w:after="0" w:afterLines="0" w:afterAutospacing="0"/>
        <w:ind w:firstLine="0"/>
        <w:rPr>
          <w:rFonts w:hint="eastAsia" w:ascii="新宋体" w:hAnsi="新宋体" w:eastAsia="新宋体"/>
          <w:color w:val="000000" w:themeColor="text1"/>
          <w:kern w:val="0"/>
          <w:sz w:val="24"/>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 xml:space="preserve">    </w:t>
      </w:r>
    </w:p>
    <w:p>
      <w:pPr>
        <w:pStyle w:val="5"/>
        <w:spacing w:before="0" w:beforeAutospacing="0" w:after="0" w:afterAutospacing="0" w:line="360" w:lineRule="auto"/>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第三章 共有产权住房价款</w:t>
      </w:r>
    </w:p>
    <w:p>
      <w:pPr>
        <w:pStyle w:val="10"/>
        <w:spacing w:before="0" w:beforeAutospacing="0" w:after="0" w:afterAutospacing="0"/>
        <w:rPr>
          <w:rFonts w:ascii="新宋体" w:hAnsi="新宋体" w:eastAsia="新宋体"/>
          <w:b/>
          <w:color w:val="000000" w:themeColor="text1"/>
          <w:highlight w:val="none"/>
          <w14:textFill>
            <w14:solidFill>
              <w14:schemeClr w14:val="tx1"/>
            </w14:solidFill>
          </w14:textFill>
        </w:rPr>
      </w:pPr>
      <w:r>
        <w:rPr>
          <w:rFonts w:hint="eastAsia" w:ascii="新宋体" w:hAnsi="新宋体" w:eastAsia="新宋体"/>
          <w:b/>
          <w:color w:val="000000" w:themeColor="text1"/>
          <w:highlight w:val="none"/>
          <w14:textFill>
            <w14:solidFill>
              <w14:schemeClr w14:val="tx1"/>
            </w14:solidFill>
          </w14:textFill>
        </w:rPr>
        <w:t>第六条  计价方式和价款</w:t>
      </w:r>
    </w:p>
    <w:p>
      <w:pPr>
        <w:pStyle w:val="10"/>
        <w:spacing w:before="0" w:beforeAutospacing="0" w:after="0" w:afterAutospacing="0"/>
        <w:ind w:firstLine="480" w:firstLineChars="200"/>
        <w:rPr>
          <w:rFonts w:hint="eastAsia"/>
          <w:color w:val="000000" w:themeColor="text1"/>
          <w:szCs w:val="21"/>
          <w:highlight w:val="none"/>
          <w:u w:val="singl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根据《</w:t>
      </w:r>
      <w:r>
        <w:rPr>
          <w:color w:val="000000" w:themeColor="text1"/>
          <w:szCs w:val="21"/>
          <w:highlight w:val="none"/>
          <w14:textFill>
            <w14:solidFill>
              <w14:schemeClr w14:val="tx1"/>
            </w14:solidFill>
          </w14:textFill>
        </w:rPr>
        <w:t>北京市城市房地产转让管理办法》</w:t>
      </w:r>
      <w:r>
        <w:rPr>
          <w:rFonts w:hint="eastAsia"/>
          <w:color w:val="000000" w:themeColor="text1"/>
          <w:szCs w:val="21"/>
          <w:highlight w:val="none"/>
          <w14:textFill>
            <w14:solidFill>
              <w14:schemeClr w14:val="tx1"/>
            </w14:solidFill>
          </w14:textFill>
        </w:rPr>
        <w:t>及《北京市</w:t>
      </w:r>
      <w:r>
        <w:rPr>
          <w:color w:val="000000" w:themeColor="text1"/>
          <w:szCs w:val="21"/>
          <w:highlight w:val="none"/>
          <w14:textFill>
            <w14:solidFill>
              <w14:schemeClr w14:val="tx1"/>
            </w14:solidFill>
          </w14:textFill>
        </w:rPr>
        <w:t>共有产权住房管理暂行办法</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《关于实施保障性住房全装修成品交房的若干规定》</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该共有产权住房单价每平方米</w:t>
      </w:r>
    </w:p>
    <w:p>
      <w:pPr>
        <w:pStyle w:val="10"/>
        <w:spacing w:before="0" w:beforeAutospacing="0" w:after="0" w:afterAutospacing="0"/>
        <w:ind w:firstLine="0" w:firstLineChars="0"/>
        <w:rPr>
          <w:color w:val="000000" w:themeColor="text1"/>
          <w:highlight w:val="none"/>
          <w14:textFill>
            <w14:solidFill>
              <w14:schemeClr w14:val="tx1"/>
            </w14:solidFill>
          </w14:textFill>
        </w:rPr>
      </w:pP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（币</w:t>
      </w:r>
      <w:r>
        <w:rPr>
          <w:rFonts w:hint="eastAsia"/>
          <w:color w:val="000000" w:themeColor="text1"/>
          <w:szCs w:val="21"/>
          <w:highlight w:val="none"/>
          <w14:textFill>
            <w14:solidFill>
              <w14:schemeClr w14:val="tx1"/>
            </w14:solidFill>
          </w14:textFill>
        </w:rPr>
        <w:t>种</w:t>
      </w:r>
      <w:r>
        <w:rPr>
          <w:color w:val="000000" w:themeColor="text1"/>
          <w:szCs w:val="21"/>
          <w:highlight w:val="non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元（按照</w:t>
      </w:r>
      <w:r>
        <w:rPr>
          <w:rFonts w:hint="eastAsia"/>
          <w:color w:val="000000" w:themeColor="text1"/>
          <w:szCs w:val="21"/>
          <w:highlight w:val="none"/>
          <w14:textFill>
            <w14:solidFill>
              <w14:schemeClr w14:val="tx1"/>
            </w14:solidFill>
          </w14:textFill>
        </w:rPr>
        <w:t>套内</w:t>
      </w:r>
      <w:r>
        <w:rPr>
          <w:color w:val="000000" w:themeColor="text1"/>
          <w:szCs w:val="21"/>
          <w:highlight w:val="none"/>
          <w14:textFill>
            <w14:solidFill>
              <w14:schemeClr w14:val="tx1"/>
            </w14:solidFill>
          </w14:textFill>
        </w:rPr>
        <w:t>建筑面积计算</w:t>
      </w:r>
      <w:r>
        <w:rPr>
          <w:rFonts w:hint="eastAsia"/>
          <w:color w:val="000000" w:themeColor="text1"/>
          <w:szCs w:val="21"/>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default" w:ascii="宋体" w:hAnsi="宋体"/>
          <w:color w:val="000000" w:themeColor="text1"/>
          <w:kern w:val="0"/>
          <w:sz w:val="24"/>
          <w:szCs w:val="21"/>
          <w:highlight w:val="none"/>
          <w14:textFill>
            <w14:solidFill>
              <w14:schemeClr w14:val="tx1"/>
            </w14:solidFill>
          </w14:textFill>
        </w:rPr>
        <w:t>含全装修价款</w:t>
      </w:r>
      <w:r>
        <w:rPr>
          <w:rFonts w:ascii="宋体" w:hAnsi="宋体"/>
          <w:color w:val="000000" w:themeColor="text1"/>
          <w:sz w:val="24"/>
          <w:highlight w:val="none"/>
          <w14:textFill>
            <w14:solidFill>
              <w14:schemeClr w14:val="tx1"/>
            </w14:solidFill>
          </w14:textFill>
        </w:rPr>
        <w:t>】</w:t>
      </w:r>
      <w:r>
        <w:rPr>
          <w:color w:val="000000" w:themeColor="text1"/>
          <w:szCs w:val="21"/>
          <w:highlight w:val="none"/>
          <w14:textFill>
            <w14:solidFill>
              <w14:schemeClr w14:val="tx1"/>
            </w14:solidFill>
          </w14:textFill>
        </w:rPr>
        <w:t>，总价款</w:t>
      </w:r>
      <w:r>
        <w:rPr>
          <w:rFonts w:hint="eastAsia"/>
          <w:color w:val="000000" w:themeColor="text1"/>
          <w:szCs w:val="21"/>
          <w:highlight w:val="none"/>
          <w14:textFill>
            <w14:solidFill>
              <w14:schemeClr w14:val="tx1"/>
            </w14:solidFill>
          </w14:textFill>
        </w:rPr>
        <w:t>为</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（币</w:t>
      </w:r>
      <w:r>
        <w:rPr>
          <w:rFonts w:hint="eastAsia"/>
          <w:color w:val="000000" w:themeColor="text1"/>
          <w:szCs w:val="21"/>
          <w:highlight w:val="none"/>
          <w14:textFill>
            <w14:solidFill>
              <w14:schemeClr w14:val="tx1"/>
            </w14:solidFill>
          </w14:textFill>
        </w:rPr>
        <w:t>种</w:t>
      </w:r>
      <w:r>
        <w:rPr>
          <w:color w:val="000000" w:themeColor="text1"/>
          <w:szCs w:val="21"/>
          <w:highlight w:val="non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元（大写</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佰</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拾</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仟</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拾</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元整）</w:t>
      </w:r>
      <w:r>
        <w:rPr>
          <w:rFonts w:hint="eastAsia"/>
          <w:color w:val="000000" w:themeColor="text1"/>
          <w:highlight w:val="none"/>
          <w14:textFill>
            <w14:solidFill>
              <w14:schemeClr w14:val="tx1"/>
            </w14:solidFill>
          </w14:textFill>
        </w:rPr>
        <w:t>（物业费及有关税费不计入总价款）</w:t>
      </w:r>
      <w:r>
        <w:rPr>
          <w:color w:val="000000" w:themeColor="text1"/>
          <w:highlight w:val="none"/>
          <w14:textFill>
            <w14:solidFill>
              <w14:schemeClr w14:val="tx1"/>
            </w14:solidFill>
          </w14:textFill>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480" w:firstLineChars="200"/>
        <w:textAlignment w:val="auto"/>
        <w:rPr>
          <w:rFonts w:hint="eastAsia" w:ascii="宋体" w:hAnsi="宋体" w:eastAsia="宋体"/>
          <w:color w:val="000000" w:themeColor="text1"/>
          <w:kern w:val="0"/>
          <w:sz w:val="24"/>
          <w:szCs w:val="21"/>
          <w:highlight w:val="none"/>
          <w:lang w:eastAsia="zh-CN"/>
          <w14:textFill>
            <w14:solidFill>
              <w14:schemeClr w14:val="tx1"/>
            </w14:solidFill>
          </w14:textFill>
        </w:rPr>
      </w:pPr>
      <w:r>
        <w:rPr>
          <w:rFonts w:hint="default" w:ascii="宋体" w:hAnsi="宋体"/>
          <w:color w:val="000000" w:themeColor="text1"/>
          <w:kern w:val="0"/>
          <w:sz w:val="24"/>
          <w:szCs w:val="21"/>
          <w:highlight w:val="none"/>
          <w14:textFill>
            <w14:solidFill>
              <w14:schemeClr w14:val="tx1"/>
            </w14:solidFill>
          </w14:textFill>
        </w:rPr>
        <w:t>按照</w:t>
      </w:r>
      <w:r>
        <w:rPr>
          <w:rFonts w:hint="eastAsia"/>
          <w:color w:val="000000" w:themeColor="text1"/>
          <w:kern w:val="0"/>
          <w:sz w:val="24"/>
          <w:szCs w:val="21"/>
          <w:highlight w:val="none"/>
          <w:lang w:val="en-US" w:eastAsia="zh-CN"/>
          <w14:textFill>
            <w14:solidFill>
              <w14:schemeClr w14:val="tx1"/>
            </w14:solidFill>
          </w14:textFill>
        </w:rPr>
        <w:t>集体经营性建设用地上</w:t>
      </w:r>
      <w:r>
        <w:rPr>
          <w:rFonts w:hint="default" w:ascii="宋体" w:hAnsi="宋体"/>
          <w:color w:val="000000" w:themeColor="text1"/>
          <w:kern w:val="0"/>
          <w:sz w:val="24"/>
          <w:szCs w:val="21"/>
          <w:highlight w:val="none"/>
          <w14:textFill>
            <w14:solidFill>
              <w14:schemeClr w14:val="tx1"/>
            </w14:solidFill>
          </w14:textFill>
        </w:rPr>
        <w:t>共有产权住房项目土地供应文件，该项目</w:t>
      </w:r>
      <w:r>
        <w:rPr>
          <w:rFonts w:ascii="宋体" w:hAnsi="宋体"/>
          <w:color w:val="000000" w:themeColor="text1"/>
          <w:kern w:val="0"/>
          <w:sz w:val="24"/>
          <w:szCs w:val="21"/>
          <w:highlight w:val="none"/>
          <w14:textFill>
            <w14:solidFill>
              <w14:schemeClr w14:val="tx1"/>
            </w14:solidFill>
          </w14:textFill>
        </w:rPr>
        <w:t>销</w:t>
      </w:r>
      <w:r>
        <w:rPr>
          <w:rFonts w:hint="eastAsia"/>
          <w:color w:val="000000" w:themeColor="text1"/>
          <w:kern w:val="0"/>
          <w:sz w:val="24"/>
          <w:szCs w:val="21"/>
          <w:highlight w:val="none"/>
          <w:lang w:val="en-US" w:eastAsia="zh-CN"/>
          <w14:textFill>
            <w14:solidFill>
              <w14:schemeClr w14:val="tx1"/>
            </w14:solidFill>
          </w14:textFill>
        </w:rPr>
        <w:t xml:space="preserve"> </w:t>
      </w:r>
      <w:r>
        <w:rPr>
          <w:rFonts w:ascii="宋体" w:hAnsi="宋体"/>
          <w:color w:val="000000" w:themeColor="text1"/>
          <w:kern w:val="0"/>
          <w:sz w:val="24"/>
          <w:szCs w:val="21"/>
          <w:highlight w:val="none"/>
          <w14:textFill>
            <w14:solidFill>
              <w14:schemeClr w14:val="tx1"/>
            </w14:solidFill>
          </w14:textFill>
        </w:rPr>
        <w:t>售</w:t>
      </w:r>
      <w:r>
        <w:rPr>
          <w:rFonts w:hint="eastAsia"/>
          <w:color w:val="000000" w:themeColor="text1"/>
          <w:kern w:val="0"/>
          <w:sz w:val="24"/>
          <w:szCs w:val="21"/>
          <w:highlight w:val="none"/>
          <w:lang w:val="en-US" w:eastAsia="zh-CN"/>
          <w14:textFill>
            <w14:solidFill>
              <w14:schemeClr w14:val="tx1"/>
            </w14:solidFill>
          </w14:textFill>
        </w:rPr>
        <w:t xml:space="preserve">  </w:t>
      </w:r>
      <w:r>
        <w:rPr>
          <w:rFonts w:ascii="宋体" w:hAnsi="宋体"/>
          <w:color w:val="000000" w:themeColor="text1"/>
          <w:kern w:val="0"/>
          <w:sz w:val="24"/>
          <w:szCs w:val="21"/>
          <w:highlight w:val="none"/>
          <w14:textFill>
            <w14:solidFill>
              <w14:schemeClr w14:val="tx1"/>
            </w14:solidFill>
          </w14:textFill>
        </w:rPr>
        <w:t>价</w:t>
      </w:r>
      <w:r>
        <w:rPr>
          <w:rFonts w:hint="eastAsia"/>
          <w:color w:val="000000" w:themeColor="text1"/>
          <w:kern w:val="0"/>
          <w:sz w:val="24"/>
          <w:szCs w:val="21"/>
          <w:highlight w:val="none"/>
          <w:lang w:val="en-US" w:eastAsia="zh-CN"/>
          <w14:textFill>
            <w14:solidFill>
              <w14:schemeClr w14:val="tx1"/>
            </w14:solidFill>
          </w14:textFill>
        </w:rPr>
        <w:t xml:space="preserve"> </w:t>
      </w:r>
      <w:r>
        <w:rPr>
          <w:rFonts w:ascii="宋体" w:hAnsi="宋体"/>
          <w:color w:val="000000" w:themeColor="text1"/>
          <w:kern w:val="0"/>
          <w:sz w:val="24"/>
          <w:szCs w:val="21"/>
          <w:highlight w:val="none"/>
          <w14:textFill>
            <w14:solidFill>
              <w14:schemeClr w14:val="tx1"/>
            </w14:solidFill>
          </w14:textFill>
        </w:rPr>
        <w:t>为</w:t>
      </w:r>
      <w:r>
        <w:rPr>
          <w:rFonts w:hint="default" w:ascii="宋体" w:hAnsi="宋体"/>
          <w:color w:val="000000" w:themeColor="text1"/>
          <w:kern w:val="0"/>
          <w:sz w:val="24"/>
          <w:szCs w:val="21"/>
          <w:highlight w:val="none"/>
          <w:u w:val="single"/>
          <w14:textFill>
            <w14:solidFill>
              <w14:schemeClr w14:val="tx1"/>
            </w14:solidFill>
          </w14:textFill>
        </w:rPr>
        <w:t xml:space="preserve">            </w:t>
      </w:r>
      <w:r>
        <w:rPr>
          <w:rFonts w:ascii="宋体" w:hAnsi="宋体"/>
          <w:color w:val="000000" w:themeColor="text1"/>
          <w:kern w:val="0"/>
          <w:sz w:val="24"/>
          <w:szCs w:val="21"/>
          <w:highlight w:val="none"/>
          <w14:textFill>
            <w14:solidFill>
              <w14:schemeClr w14:val="tx1"/>
            </w14:solidFill>
          </w14:textFill>
        </w:rPr>
        <w:t>元/平方米</w:t>
      </w:r>
      <w:r>
        <w:rPr>
          <w:rFonts w:hint="default" w:ascii="宋体" w:hAnsi="宋体"/>
          <w:color w:val="000000" w:themeColor="text1"/>
          <w:kern w:val="0"/>
          <w:sz w:val="24"/>
          <w:szCs w:val="21"/>
          <w:highlight w:val="none"/>
          <w14:textFill>
            <w14:solidFill>
              <w14:schemeClr w14:val="tx1"/>
            </w14:solidFill>
          </w14:textFill>
        </w:rPr>
        <w:t>（按照</w:t>
      </w:r>
      <w:r>
        <w:rPr>
          <w:rFonts w:ascii="宋体" w:hAnsi="宋体"/>
          <w:color w:val="000000" w:themeColor="text1"/>
          <w:kern w:val="0"/>
          <w:sz w:val="24"/>
          <w:szCs w:val="21"/>
          <w:highlight w:val="none"/>
          <w14:textFill>
            <w14:solidFill>
              <w14:schemeClr w14:val="tx1"/>
            </w14:solidFill>
          </w14:textFill>
        </w:rPr>
        <w:t>建筑面积计</w:t>
      </w:r>
      <w:r>
        <w:rPr>
          <w:rFonts w:hint="eastAsia"/>
          <w:color w:val="000000" w:themeColor="text1"/>
          <w:kern w:val="0"/>
          <w:sz w:val="24"/>
          <w:szCs w:val="21"/>
          <w:highlight w:val="none"/>
          <w:lang w:eastAsia="zh-CN"/>
          <w14:textFill>
            <w14:solidFill>
              <w14:schemeClr w14:val="tx1"/>
            </w14:solidFill>
          </w14:textFill>
        </w:rPr>
        <w:t>算</w:t>
      </w:r>
      <w:r>
        <w:rPr>
          <w:rFonts w:hint="default" w:ascii="宋体" w:hAnsi="宋体"/>
          <w:color w:val="000000" w:themeColor="text1"/>
          <w:kern w:val="0"/>
          <w:sz w:val="24"/>
          <w:szCs w:val="21"/>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default" w:ascii="宋体" w:hAnsi="宋体"/>
          <w:color w:val="000000" w:themeColor="text1"/>
          <w:kern w:val="0"/>
          <w:sz w:val="24"/>
          <w:szCs w:val="21"/>
          <w:highlight w:val="none"/>
          <w14:textFill>
            <w14:solidFill>
              <w14:schemeClr w14:val="tx1"/>
            </w14:solidFill>
          </w14:textFill>
        </w:rPr>
        <w:t>含全装修价款</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总价款</w:t>
      </w:r>
      <w:r>
        <w:rPr>
          <w:rFonts w:hint="eastAsia"/>
          <w:color w:val="000000" w:themeColor="text1"/>
          <w:szCs w:val="21"/>
          <w:highlight w:val="none"/>
          <w14:textFill>
            <w14:solidFill>
              <w14:schemeClr w14:val="tx1"/>
            </w14:solidFill>
          </w14:textFill>
        </w:rPr>
        <w:t>为</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（币</w:t>
      </w:r>
      <w:r>
        <w:rPr>
          <w:rFonts w:hint="eastAsia"/>
          <w:color w:val="000000" w:themeColor="text1"/>
          <w:szCs w:val="21"/>
          <w:highlight w:val="none"/>
          <w14:textFill>
            <w14:solidFill>
              <w14:schemeClr w14:val="tx1"/>
            </w14:solidFill>
          </w14:textFill>
        </w:rPr>
        <w:t>种</w:t>
      </w:r>
      <w:r>
        <w:rPr>
          <w:color w:val="000000" w:themeColor="text1"/>
          <w:szCs w:val="21"/>
          <w:highlight w:val="non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元（大写</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佰</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拾</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仟</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拾</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元整）</w:t>
      </w:r>
      <w:r>
        <w:rPr>
          <w:rFonts w:hint="eastAsia"/>
          <w:color w:val="000000" w:themeColor="text1"/>
          <w:highlight w:val="none"/>
          <w14:textFill>
            <w14:solidFill>
              <w14:schemeClr w14:val="tx1"/>
            </w14:solidFill>
          </w14:textFill>
        </w:rPr>
        <w:t>（物业费及有关税费不计入总价款）</w:t>
      </w:r>
      <w:r>
        <w:rPr>
          <w:color w:val="000000" w:themeColor="text1"/>
          <w:highlight w:val="none"/>
          <w14:textFill>
            <w14:solidFill>
              <w14:schemeClr w14:val="tx1"/>
            </w14:solidFill>
          </w14:textFill>
        </w:rPr>
        <w:t>。</w:t>
      </w:r>
    </w:p>
    <w:p>
      <w:pPr>
        <w:spacing w:line="360" w:lineRule="auto"/>
        <w:ind w:firstLine="480" w:firstLineChars="200"/>
        <w:textAlignment w:val="baseline"/>
        <w:rPr>
          <w:rFonts w:hint="default" w:ascii="宋体" w:hAnsi="宋体" w:eastAsia="宋体"/>
          <w:color w:val="000000" w:themeColor="text1"/>
          <w:kern w:val="0"/>
          <w:sz w:val="24"/>
          <w:szCs w:val="21"/>
          <w:highlight w:val="none"/>
          <w14:textFill>
            <w14:solidFill>
              <w14:schemeClr w14:val="tx1"/>
            </w14:solidFill>
          </w14:textFill>
        </w:rPr>
      </w:pPr>
      <w:r>
        <w:rPr>
          <w:rFonts w:hint="default" w:ascii="宋体" w:hAnsi="宋体"/>
          <w:color w:val="000000" w:themeColor="text1"/>
          <w:kern w:val="0"/>
          <w:sz w:val="24"/>
          <w:szCs w:val="21"/>
          <w:highlight w:val="none"/>
          <w14:textFill>
            <w14:solidFill>
              <w14:schemeClr w14:val="tx1"/>
            </w14:solidFill>
          </w14:textFill>
        </w:rPr>
        <w:t>乙方、丙方确认，根据丙方委托的专业机构评估结果，经相关主管部门审核确定，乙方占有房屋产权比例为</w:t>
      </w:r>
      <w:r>
        <w:rPr>
          <w:rFonts w:hint="default" w:ascii="宋体" w:hAnsi="宋体"/>
          <w:color w:val="000000" w:themeColor="text1"/>
          <w:kern w:val="0"/>
          <w:sz w:val="24"/>
          <w:szCs w:val="21"/>
          <w:highlight w:val="none"/>
          <w:u w:val="single"/>
          <w14:textFill>
            <w14:solidFill>
              <w14:schemeClr w14:val="tx1"/>
            </w14:solidFill>
          </w14:textFill>
        </w:rPr>
        <w:t xml:space="preserve">        </w:t>
      </w:r>
      <w:r>
        <w:rPr>
          <w:rFonts w:hint="default" w:ascii="宋体" w:hAnsi="宋体"/>
          <w:color w:val="000000" w:themeColor="text1"/>
          <w:kern w:val="0"/>
          <w:sz w:val="24"/>
          <w:szCs w:val="21"/>
          <w:highlight w:val="none"/>
          <w14:textFill>
            <w14:solidFill>
              <w14:schemeClr w14:val="tx1"/>
            </w14:solidFill>
          </w14:textFill>
        </w:rPr>
        <w:t>，丙方占有房屋产权比例为</w:t>
      </w:r>
      <w:r>
        <w:rPr>
          <w:rFonts w:hint="default" w:ascii="宋体" w:hAnsi="宋体"/>
          <w:color w:val="000000" w:themeColor="text1"/>
          <w:kern w:val="0"/>
          <w:sz w:val="24"/>
          <w:szCs w:val="21"/>
          <w:highlight w:val="none"/>
          <w:u w:val="single"/>
          <w14:textFill>
            <w14:solidFill>
              <w14:schemeClr w14:val="tx1"/>
            </w14:solidFill>
          </w14:textFill>
        </w:rPr>
        <w:t xml:space="preserve">       </w:t>
      </w:r>
      <w:r>
        <w:rPr>
          <w:rFonts w:hint="default" w:ascii="宋体" w:hAnsi="宋体"/>
          <w:color w:val="000000" w:themeColor="text1"/>
          <w:kern w:val="0"/>
          <w:sz w:val="24"/>
          <w:szCs w:val="21"/>
          <w:highlight w:val="none"/>
          <w:u w:val="none"/>
          <w14:textFill>
            <w14:solidFill>
              <w14:schemeClr w14:val="tx1"/>
            </w14:solidFill>
          </w14:textFill>
        </w:rPr>
        <w:t>。</w:t>
      </w:r>
    </w:p>
    <w:p>
      <w:pPr>
        <w:spacing w:line="360" w:lineRule="auto"/>
        <w:ind w:firstLine="482" w:firstLineChars="200"/>
        <w:textAlignment w:val="baseline"/>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付款方式</w:t>
      </w:r>
      <w:r>
        <w:rPr>
          <w:rFonts w:hint="eastAsia" w:ascii="宋体" w:hAnsi="宋体"/>
          <w:b/>
          <w:color w:val="000000" w:themeColor="text1"/>
          <w:sz w:val="24"/>
          <w:highlight w:val="none"/>
          <w14:textFill>
            <w14:solidFill>
              <w14:schemeClr w14:val="tx1"/>
            </w14:solidFill>
          </w14:textFill>
        </w:rPr>
        <w:t>和</w:t>
      </w:r>
      <w:r>
        <w:rPr>
          <w:rFonts w:ascii="宋体" w:hAnsi="宋体"/>
          <w:b/>
          <w:color w:val="000000" w:themeColor="text1"/>
          <w:sz w:val="24"/>
          <w:highlight w:val="none"/>
          <w14:textFill>
            <w14:solidFill>
              <w14:schemeClr w14:val="tx1"/>
            </w14:solidFill>
          </w14:textFill>
        </w:rPr>
        <w:t>期限</w:t>
      </w:r>
    </w:p>
    <w:p>
      <w:pPr>
        <w:pStyle w:val="10"/>
        <w:spacing w:before="0" w:beforeAutospacing="0" w:after="0" w:afterAutospacing="0"/>
        <w:rPr>
          <w:rFonts w:hint="eastAsia" w:ascii="宋体" w:hAnsi="宋体" w:eastAsia="宋体" w:cs="宋体"/>
          <w:color w:val="000000" w:themeColor="text1"/>
          <w:szCs w:val="24"/>
          <w:highlight w:val="none"/>
          <w:u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（一）签订本合同前，乙方已向甲方支付定金</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（币种）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元（大写</w:t>
      </w:r>
    </w:p>
    <w:p>
      <w:pPr>
        <w:pStyle w:val="10"/>
        <w:spacing w:before="0" w:beforeAutospacing="0" w:after="0" w:afterAutospacing="0"/>
        <w:ind w:firstLine="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佰</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拾</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佰</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拾</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元整），该定金于【本合同签订】【交付首期房价款】【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】时【抵作】【</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】共有产权住房价款。</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（二）乙方付款方式为【一次性付款】【分期付款】【贷款方式付款】【</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1.一次性付款。乙方应当于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日前支付该共有产权住房全部价款。</w:t>
      </w:r>
    </w:p>
    <w:p>
      <w:pPr>
        <w:pStyle w:val="10"/>
        <w:spacing w:before="0" w:beforeAutospacing="0" w:after="0" w:afterAutospacing="0"/>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2.分期付款。</w:t>
      </w:r>
      <w:r>
        <w:rPr>
          <w:rFonts w:hint="eastAsia" w:ascii="宋体" w:hAnsi="宋体" w:eastAsia="宋体" w:cs="宋体"/>
          <w:color w:val="000000" w:themeColor="text1"/>
          <w:kern w:val="0"/>
          <w:sz w:val="24"/>
          <w:highlight w:val="none"/>
          <w14:textFill>
            <w14:solidFill>
              <w14:schemeClr w14:val="tx1"/>
            </w14:solidFill>
          </w14:textFill>
        </w:rPr>
        <w:t>乙方应当于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日前分_____期支付该共有产权住房全部价款，首期房价款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（币种）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元（大写</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万</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pStyle w:val="10"/>
        <w:spacing w:before="0" w:beforeAutospacing="0" w:after="0" w:afterAutospacing="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元整），应当于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日前支付。</w:t>
      </w:r>
    </w:p>
    <w:p>
      <w:pPr>
        <w:pStyle w:val="10"/>
        <w:spacing w:before="0" w:beforeLines="0" w:beforeAutospacing="0" w:after="0" w:afterLines="0" w:afterAutospacing="0"/>
        <w:ind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3.贷款方式付款：【公积金贷款】【商业贷款】【组合贷】【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beforeLines="0" w:afterLines="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乙方应当于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日前支付首期房价款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（币种）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元（大写</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万</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元整），占全部房价</w:t>
      </w:r>
      <w:r>
        <w:rPr>
          <w:rFonts w:hint="eastAsia" w:ascii="宋体" w:hAnsi="宋体" w:eastAsia="宋体" w:cs="宋体"/>
          <w:color w:val="000000" w:themeColor="text1"/>
          <w:kern w:val="0"/>
          <w:sz w:val="24"/>
          <w:highlight w:val="none"/>
          <w:lang w:eastAsia="zh-CN"/>
          <w14:textFill>
            <w14:solidFill>
              <w14:schemeClr w14:val="tx1"/>
            </w14:solidFill>
          </w14:textFill>
        </w:rPr>
        <w:t>款</w:t>
      </w:r>
      <w:r>
        <w:rPr>
          <w:rFonts w:hint="eastAsia" w:ascii="宋体" w:hAnsi="宋体" w:eastAsia="宋体" w:cs="宋体"/>
          <w:color w:val="000000" w:themeColor="text1"/>
          <w:kern w:val="0"/>
          <w:sz w:val="24"/>
          <w:highlight w:val="none"/>
          <w14:textFill>
            <w14:solidFill>
              <w14:schemeClr w14:val="tx1"/>
            </w14:solidFill>
          </w14:textFill>
        </w:rPr>
        <w:t>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beforeLines="0" w:afterLines="0" w:line="360" w:lineRule="auto"/>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余款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（币种）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元（大写</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佰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万</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widowControl/>
        <w:spacing w:beforeLines="0" w:afterLines="0" w:line="360" w:lineRule="auto"/>
        <w:ind w:firstLine="0"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元整）向【住房公积金管理机构委托的商业银行】【</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】申请贷款支付。</w:t>
      </w:r>
    </w:p>
    <w:p>
      <w:pPr>
        <w:pStyle w:val="10"/>
        <w:spacing w:before="0" w:beforeAutospacing="0" w:after="0" w:afterAutospacing="0"/>
        <w:ind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乙方采取贷款方式支付房价款的，在向商业银行、住房公积金管理部门申请贷款时，应按照国家及本市金融信贷管理相关规定，依法履行相关程序、提交相关材料。</w:t>
      </w:r>
    </w:p>
    <w:p>
      <w:pPr>
        <w:widowControl/>
        <w:numPr>
          <w:ilvl w:val="0"/>
          <w:numId w:val="3"/>
        </w:numPr>
        <w:spacing w:line="360" w:lineRule="auto"/>
        <w:ind w:firstLine="480" w:firstLineChars="0"/>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其他</w:t>
      </w:r>
      <w:r>
        <w:rPr>
          <w:rFonts w:hint="eastAsia" w:ascii="宋体" w:hAnsi="宋体" w:eastAsia="宋体" w:cs="宋体"/>
          <w:color w:val="000000" w:themeColor="text1"/>
          <w:kern w:val="0"/>
          <w:sz w:val="24"/>
          <w:highlight w:val="none"/>
          <w:lang w:eastAsia="zh-CN"/>
          <w14:textFill>
            <w14:solidFill>
              <w14:schemeClr w14:val="tx1"/>
            </w14:solidFill>
          </w14:textFill>
        </w:rPr>
        <w:t>方式：</w:t>
      </w:r>
    </w:p>
    <w:p>
      <w:pPr>
        <w:widowControl/>
        <w:numPr>
          <w:ilvl w:val="0"/>
          <w:numId w:val="0"/>
        </w:numPr>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tabs>
          <w:tab w:val="left" w:pos="420"/>
          <w:tab w:val="left" w:pos="630"/>
        </w:tabs>
        <w:spacing w:line="360" w:lineRule="auto"/>
        <w:ind w:firstLine="120" w:firstLineChars="50"/>
        <w:textAlignment w:val="baseline"/>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第八条</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逾期付款责任</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除不可抗力外，乙方未按照约定时间付款的，双方同意按照下列第</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种方式处理： </w:t>
      </w:r>
    </w:p>
    <w:p>
      <w:pPr>
        <w:pStyle w:val="10"/>
        <w:spacing w:before="0" w:beforeAutospacing="0" w:after="0" w:afterAutospacing="0"/>
        <w:rPr>
          <w:rFonts w:hint="eastAsia"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（一）按照逾期时间，分别处理 (1和2不作累加 ) </w:t>
      </w:r>
      <w:r>
        <w:rPr>
          <w:rFonts w:hint="eastAsia" w:eastAsia="宋体" w:cs="宋体"/>
          <w:color w:val="000000" w:themeColor="text1"/>
          <w:highlight w:val="none"/>
          <w:lang w:eastAsia="zh-CN"/>
          <w14:textFill>
            <w14:solidFill>
              <w14:schemeClr w14:val="tx1"/>
            </w14:solidFill>
          </w14:textFill>
        </w:rPr>
        <w:t>：</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1．逾期在</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日之内，乙方按日计算向甲方支付逾期应付款万分之</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的违约金。</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逾期超过</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日（该期限应当与本条第1 项中的期限相同），甲方有权解除合同。甲方解除合同的，应当书面通知乙方</w:t>
      </w:r>
      <w:r>
        <w:rPr>
          <w:rFonts w:hint="eastAsia"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丙方。乙方应当自解除合同通知送达之日起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日内按照累计应付款的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%向甲方支付违约金，同时，甲方退还乙方已付全部房价款（含已付贷款部分）。</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甲方不解除合同的，乙方按日计算向甲方支付逾期应付款万分之</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（该比率不低于第1项中的比率）的违约金。</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本条所称逾期应付款是指依照第七条约定的到期应付款与该期实际已付款的差额；采取分期付款的，按照相应的分期应付款与该期的实际已付款的差额确定。</w:t>
      </w:r>
    </w:p>
    <w:p>
      <w:pPr>
        <w:pStyle w:val="10"/>
        <w:spacing w:before="0" w:beforeAutospacing="0" w:after="0" w:afterAutospacing="0"/>
        <w:ind w:firstLine="5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textAlignment w:val="baseline"/>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kern w:val="0"/>
          <w:sz w:val="24"/>
          <w:highlight w:val="none"/>
          <w14:textFill>
            <w14:solidFill>
              <w14:schemeClr w14:val="tx1"/>
            </w14:solidFill>
          </w14:textFill>
        </w:rPr>
        <w:t>非因乙方原因导致乙方贷款逾期支付的，甲方不得追究乙方的违约责任。</w:t>
      </w:r>
    </w:p>
    <w:p>
      <w:pPr>
        <w:spacing w:line="360" w:lineRule="auto"/>
        <w:textAlignment w:val="baseline"/>
        <w:rPr>
          <w:rFonts w:hint="default" w:ascii="新宋体" w:hAnsi="新宋体" w:eastAsia="新宋体" w:cs="Times New Roman"/>
          <w:color w:val="000000" w:themeColor="text1"/>
          <w:kern w:val="0"/>
          <w:sz w:val="24"/>
          <w:highlight w:val="none"/>
          <w14:textFill>
            <w14:solidFill>
              <w14:schemeClr w14:val="tx1"/>
            </w14:solidFill>
          </w14:textFill>
        </w:rPr>
      </w:pPr>
    </w:p>
    <w:p>
      <w:pPr>
        <w:widowControl/>
        <w:spacing w:line="360" w:lineRule="auto"/>
        <w:jc w:val="center"/>
        <w:rPr>
          <w:rFonts w:hint="eastAsia"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第四章 共有产权住房交付条件和交付手续</w:t>
      </w:r>
    </w:p>
    <w:p>
      <w:pPr>
        <w:widowControl/>
        <w:spacing w:line="360" w:lineRule="auto"/>
        <w:ind w:firstLine="482" w:firstLineChars="200"/>
        <w:jc w:val="left"/>
        <w:rPr>
          <w:rFonts w:ascii="新宋体" w:hAnsi="新宋体" w:eastAsia="新宋体"/>
          <w:b/>
          <w:color w:val="000000" w:themeColor="text1"/>
          <w:kern w:val="0"/>
          <w:sz w:val="24"/>
          <w:highlight w:val="none"/>
          <w14:textFill>
            <w14:solidFill>
              <w14:schemeClr w14:val="tx1"/>
            </w14:solidFill>
          </w14:textFill>
        </w:rPr>
      </w:pPr>
      <w:r>
        <w:rPr>
          <w:rFonts w:hint="eastAsia" w:ascii="新宋体" w:hAnsi="新宋体" w:eastAsia="新宋体"/>
          <w:b/>
          <w:color w:val="000000" w:themeColor="text1"/>
          <w:kern w:val="0"/>
          <w:sz w:val="24"/>
          <w:highlight w:val="none"/>
          <w14:textFill>
            <w14:solidFill>
              <w14:schemeClr w14:val="tx1"/>
            </w14:solidFill>
          </w14:textFill>
        </w:rPr>
        <w:t>第九条  共有产权住房交付条件</w:t>
      </w:r>
    </w:p>
    <w:p>
      <w:pPr>
        <w:spacing w:line="360" w:lineRule="auto"/>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该共有产权住房交付时应当符合下列第</w:t>
      </w: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项所列条件；同时，甲方还应当提供《</w:t>
      </w:r>
      <w:r>
        <w:rPr>
          <w:rFonts w:hint="eastAsia" w:ascii="宋体" w:hAnsi="宋体" w:eastAsia="宋体" w:cs="宋体"/>
          <w:color w:val="000000" w:themeColor="text1"/>
          <w:sz w:val="24"/>
          <w:highlight w:val="none"/>
          <w:lang w:eastAsia="zh-CN"/>
          <w14:textFill>
            <w14:solidFill>
              <w14:schemeClr w14:val="tx1"/>
            </w14:solidFill>
          </w14:textFill>
        </w:rPr>
        <w:t>北京市</w:t>
      </w:r>
      <w:r>
        <w:rPr>
          <w:rFonts w:hint="eastAsia" w:ascii="宋体" w:hAnsi="宋体" w:eastAsia="宋体" w:cs="宋体"/>
          <w:color w:val="000000" w:themeColor="text1"/>
          <w:sz w:val="24"/>
          <w:highlight w:val="none"/>
          <w14:textFill>
            <w14:solidFill>
              <w14:schemeClr w14:val="tx1"/>
            </w14:solidFill>
          </w14:textFill>
        </w:rPr>
        <w:t>住宅</w:t>
      </w:r>
      <w:r>
        <w:rPr>
          <w:rFonts w:hint="eastAsia" w:ascii="宋体" w:hAnsi="宋体" w:eastAsia="宋体" w:cs="宋体"/>
          <w:color w:val="000000" w:themeColor="text1"/>
          <w:sz w:val="24"/>
          <w:highlight w:val="none"/>
          <w:lang w:eastAsia="zh-CN"/>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质量保证书》《房屋建筑使用说明书》以及《住宅工程质量分户验收表》。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该共有产权住房已取得有资质的房产测绘机构出具的《房屋面积测算技术报告书》（实测绘）</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满足第十条中甲方承诺的基础设施设备、公共服务及其他配套设施达到的条件</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共有产权住房所在项目已签订《白蚁预防合同》，甲方应当向乙方出具该项目的《白蚁预防合同》或其他实施房屋白蚁预防的证明文件，提供的《</w:t>
      </w:r>
      <w:r>
        <w:rPr>
          <w:rFonts w:hint="eastAsia" w:ascii="宋体" w:hAnsi="宋体" w:eastAsia="宋体" w:cs="宋体"/>
          <w:color w:val="000000" w:themeColor="text1"/>
          <w:sz w:val="24"/>
          <w:highlight w:val="none"/>
          <w:lang w:eastAsia="zh-CN"/>
          <w14:textFill>
            <w14:solidFill>
              <w14:schemeClr w14:val="tx1"/>
            </w14:solidFill>
          </w14:textFill>
        </w:rPr>
        <w:t>北京市</w:t>
      </w:r>
      <w:r>
        <w:rPr>
          <w:rFonts w:hint="eastAsia" w:ascii="宋体" w:hAnsi="宋体" w:eastAsia="宋体" w:cs="宋体"/>
          <w:color w:val="000000" w:themeColor="text1"/>
          <w:sz w:val="24"/>
          <w:highlight w:val="none"/>
          <w14:textFill>
            <w14:solidFill>
              <w14:schemeClr w14:val="tx1"/>
            </w14:solidFill>
          </w14:textFill>
        </w:rPr>
        <w:t>住宅</w:t>
      </w:r>
      <w:r>
        <w:rPr>
          <w:rFonts w:hint="eastAsia" w:ascii="宋体" w:hAnsi="宋体" w:eastAsia="宋体" w:cs="宋体"/>
          <w:color w:val="000000" w:themeColor="text1"/>
          <w:sz w:val="24"/>
          <w:highlight w:val="none"/>
          <w:lang w:eastAsia="zh-CN"/>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质量保证书》中必须包括白蚁预防质量保证的内容</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（四）</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widowControl/>
        <w:spacing w:line="360" w:lineRule="auto"/>
        <w:ind w:firstLine="480"/>
        <w:jc w:val="left"/>
        <w:rPr>
          <w:rFonts w:ascii="新宋体" w:hAnsi="新宋体" w:eastAsia="新宋体"/>
          <w:b/>
          <w:bCs/>
          <w:color w:val="000000" w:themeColor="text1"/>
          <w:kern w:val="0"/>
          <w:sz w:val="24"/>
          <w:highlight w:val="none"/>
          <w14:textFill>
            <w14:solidFill>
              <w14:schemeClr w14:val="tx1"/>
            </w14:solidFill>
          </w14:textFill>
        </w:rPr>
      </w:pPr>
      <w:r>
        <w:rPr>
          <w:rFonts w:ascii="新宋体" w:hAnsi="新宋体" w:eastAsia="新宋体"/>
          <w:b/>
          <w:bCs/>
          <w:color w:val="000000" w:themeColor="text1"/>
          <w:kern w:val="0"/>
          <w:sz w:val="24"/>
          <w:highlight w:val="none"/>
          <w14:textFill>
            <w14:solidFill>
              <w14:schemeClr w14:val="tx1"/>
            </w14:solidFill>
          </w14:textFill>
        </w:rPr>
        <w:t>第</w:t>
      </w:r>
      <w:r>
        <w:rPr>
          <w:rFonts w:hint="eastAsia" w:ascii="新宋体" w:hAnsi="新宋体" w:eastAsia="新宋体"/>
          <w:b/>
          <w:bCs/>
          <w:color w:val="000000" w:themeColor="text1"/>
          <w:kern w:val="0"/>
          <w:sz w:val="24"/>
          <w:highlight w:val="none"/>
          <w14:textFill>
            <w14:solidFill>
              <w14:schemeClr w14:val="tx1"/>
            </w14:solidFill>
          </w14:textFill>
        </w:rPr>
        <w:t>十</w:t>
      </w:r>
      <w:r>
        <w:rPr>
          <w:rFonts w:ascii="新宋体" w:hAnsi="新宋体" w:eastAsia="新宋体"/>
          <w:b/>
          <w:bCs/>
          <w:color w:val="000000" w:themeColor="text1"/>
          <w:kern w:val="0"/>
          <w:sz w:val="24"/>
          <w:highlight w:val="none"/>
          <w14:textFill>
            <w14:solidFill>
              <w14:schemeClr w14:val="tx1"/>
            </w14:solidFill>
          </w14:textFill>
        </w:rPr>
        <w:t>条</w:t>
      </w:r>
      <w:r>
        <w:rPr>
          <w:rFonts w:hint="eastAsia" w:ascii="新宋体" w:hAnsi="新宋体" w:eastAsia="新宋体"/>
          <w:b/>
          <w:bCs/>
          <w:color w:val="000000" w:themeColor="text1"/>
          <w:kern w:val="0"/>
          <w:sz w:val="24"/>
          <w:highlight w:val="none"/>
          <w14:textFill>
            <w14:solidFill>
              <w14:schemeClr w14:val="tx1"/>
            </w14:solidFill>
          </w14:textFill>
        </w:rPr>
        <w:t xml:space="preserve">  共有产权住房相关设施设备交付条件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该项目建设方案已向建设行政主管部门申报，并已在北京市住房和城乡建设委员会官网及项目售楼场所公示，</w:t>
      </w:r>
      <w:r>
        <w:rPr>
          <w:rFonts w:ascii="宋体" w:hAnsi="宋体"/>
          <w:color w:val="000000" w:themeColor="text1"/>
          <w:sz w:val="24"/>
          <w:highlight w:val="none"/>
          <w14:textFill>
            <w14:solidFill>
              <w14:schemeClr w14:val="tx1"/>
            </w14:solidFill>
          </w14:textFill>
        </w:rPr>
        <w:t>甲方承诺</w:t>
      </w:r>
      <w:r>
        <w:rPr>
          <w:rFonts w:hint="eastAsia" w:ascii="宋体" w:hAnsi="宋体"/>
          <w:color w:val="000000" w:themeColor="text1"/>
          <w:sz w:val="24"/>
          <w:highlight w:val="none"/>
          <w14:textFill>
            <w14:solidFill>
              <w14:schemeClr w14:val="tx1"/>
            </w14:solidFill>
          </w14:textFill>
        </w:rPr>
        <w:t>项目</w:t>
      </w:r>
      <w:r>
        <w:rPr>
          <w:rFonts w:ascii="宋体" w:hAnsi="宋体"/>
          <w:color w:val="000000" w:themeColor="text1"/>
          <w:sz w:val="24"/>
          <w:highlight w:val="none"/>
          <w14:textFill>
            <w14:solidFill>
              <w14:schemeClr w14:val="tx1"/>
            </w14:solidFill>
          </w14:textFill>
        </w:rPr>
        <w:t>建设方案与</w:t>
      </w:r>
      <w:r>
        <w:rPr>
          <w:rFonts w:hint="eastAsia" w:ascii="宋体" w:hAnsi="宋体"/>
          <w:color w:val="000000" w:themeColor="text1"/>
          <w:sz w:val="24"/>
          <w:highlight w:val="none"/>
          <w14:textFill>
            <w14:solidFill>
              <w14:schemeClr w14:val="tx1"/>
            </w14:solidFill>
          </w14:textFill>
        </w:rPr>
        <w:t>北京市住房和城乡建设委员会网站上公示的</w:t>
      </w:r>
      <w:r>
        <w:rPr>
          <w:rFonts w:ascii="宋体" w:hAnsi="宋体"/>
          <w:color w:val="000000" w:themeColor="text1"/>
          <w:sz w:val="24"/>
          <w:highlight w:val="none"/>
          <w14:textFill>
            <w14:solidFill>
              <w14:schemeClr w14:val="tx1"/>
            </w14:solidFill>
          </w14:textFill>
        </w:rPr>
        <w:t>该项目建设方案</w:t>
      </w:r>
      <w:r>
        <w:rPr>
          <w:rFonts w:hint="eastAsia" w:ascii="宋体" w:hAnsi="宋体"/>
          <w:color w:val="000000" w:themeColor="text1"/>
          <w:sz w:val="24"/>
          <w:highlight w:val="none"/>
          <w14:textFill>
            <w14:solidFill>
              <w14:schemeClr w14:val="tx1"/>
            </w14:solidFill>
          </w14:textFill>
        </w:rPr>
        <w:t>一致</w:t>
      </w:r>
      <w:r>
        <w:rPr>
          <w:rFonts w:ascii="宋体" w:hAnsi="宋体"/>
          <w:color w:val="000000" w:themeColor="text1"/>
          <w:sz w:val="24"/>
          <w:highlight w:val="none"/>
          <w14:textFill>
            <w14:solidFill>
              <w14:schemeClr w14:val="tx1"/>
            </w14:solidFill>
          </w14:textFill>
        </w:rPr>
        <w:t>，本条款约定的</w:t>
      </w:r>
      <w:r>
        <w:rPr>
          <w:rFonts w:hint="eastAsia" w:ascii="宋体" w:hAnsi="宋体"/>
          <w:color w:val="000000" w:themeColor="text1"/>
          <w:sz w:val="24"/>
          <w:highlight w:val="none"/>
          <w14:textFill>
            <w14:solidFill>
              <w14:schemeClr w14:val="tx1"/>
            </w14:solidFill>
          </w14:textFill>
        </w:rPr>
        <w:t>基础</w:t>
      </w:r>
      <w:r>
        <w:rPr>
          <w:rFonts w:ascii="宋体" w:hAnsi="宋体"/>
          <w:color w:val="000000" w:themeColor="text1"/>
          <w:sz w:val="24"/>
          <w:highlight w:val="none"/>
          <w14:textFill>
            <w14:solidFill>
              <w14:schemeClr w14:val="tx1"/>
            </w14:solidFill>
          </w14:textFill>
        </w:rPr>
        <w:t>设施设备</w:t>
      </w:r>
      <w:r>
        <w:rPr>
          <w:rFonts w:hint="eastAsia" w:ascii="宋体" w:hAnsi="宋体"/>
          <w:color w:val="000000" w:themeColor="text1"/>
          <w:sz w:val="24"/>
          <w:highlight w:val="none"/>
          <w14:textFill>
            <w14:solidFill>
              <w14:schemeClr w14:val="tx1"/>
            </w14:solidFill>
          </w14:textFill>
        </w:rPr>
        <w:t>、公共服务及配套设施等</w:t>
      </w:r>
      <w:r>
        <w:rPr>
          <w:rFonts w:ascii="宋体" w:hAnsi="宋体"/>
          <w:color w:val="000000" w:themeColor="text1"/>
          <w:sz w:val="24"/>
          <w:highlight w:val="none"/>
          <w14:textFill>
            <w14:solidFill>
              <w14:schemeClr w14:val="tx1"/>
            </w14:solidFill>
          </w14:textFill>
        </w:rPr>
        <w:t>的交用日期与公示的该项目建设方案的日期相符或提前于建设方案约定的日期，具体约定如下：</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（一）基础设施设备</w:t>
      </w:r>
    </w:p>
    <w:p>
      <w:pPr>
        <w:widowControl/>
        <w:tabs>
          <w:tab w:val="left" w:pos="7740"/>
        </w:tabs>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1.供水、排水：交付时供水、排水配套设施齐全，并与城市公共供水、排水管网连接。使用自建设施供水的，供水的水质符合国家规定的饮用水卫生标准</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360" w:firstLineChars="15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 xml:space="preserve"> 2.供电：交付时纳入城市供电网络并正式供电</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3.供暖：交付时供热系统符合供热配建标准，使用城市集中供热的，纳入城市集中供热管网</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4.燃气：交付时完成室内燃气管道的敷设，并与城市燃气管网连接，保证燃气供应</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5.电话通信：交付时线路敷设到户</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6.有线电视：交付时线路敷设到户</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7.宽带网络：交付时线路敷设到户。</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以上第1、2、3项由甲方负责办理开通手续并承担相关费用；第4</w:t>
      </w:r>
      <w:r>
        <w:rPr>
          <w:rFonts w:hint="eastAsia" w:ascii="宋体" w:hAnsi="宋体" w:eastAsia="宋体" w:cs="宋体"/>
          <w:color w:val="000000" w:themeColor="text1"/>
          <w:sz w:val="24"/>
          <w:szCs w:val="18"/>
          <w:highlight w:val="none"/>
          <w14:textFill>
            <w14:solidFill>
              <w14:schemeClr w14:val="tx1"/>
            </w14:solidFill>
          </w14:textFill>
        </w:rPr>
        <w:t>、5、6、7项需要乙方自行办理开通手</w:t>
      </w:r>
      <w:r>
        <w:rPr>
          <w:rFonts w:hint="eastAsia" w:ascii="宋体" w:hAnsi="宋体" w:eastAsia="宋体" w:cs="宋体"/>
          <w:color w:val="000000" w:themeColor="text1"/>
          <w:sz w:val="24"/>
          <w:highlight w:val="none"/>
          <w14:textFill>
            <w14:solidFill>
              <w14:schemeClr w14:val="tx1"/>
            </w14:solidFill>
          </w14:textFill>
        </w:rPr>
        <w:t>续</w:t>
      </w:r>
      <w:r>
        <w:rPr>
          <w:rFonts w:hint="eastAsia" w:ascii="宋体" w:hAnsi="宋体" w:eastAsia="宋体" w:cs="宋体"/>
          <w:color w:val="000000" w:themeColor="text1"/>
          <w:sz w:val="24"/>
          <w:szCs w:val="18"/>
          <w:highlight w:val="none"/>
          <w14:textFill>
            <w14:solidFill>
              <w14:schemeClr w14:val="tx1"/>
            </w14:solidFill>
          </w14:textFill>
        </w:rPr>
        <w:t>并承担因开通、使用所产生的费用。</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如果在约定期限内</w:t>
      </w:r>
      <w:r>
        <w:rPr>
          <w:rFonts w:hint="eastAsia" w:ascii="宋体" w:hAnsi="宋体" w:eastAsia="宋体" w:cs="宋体"/>
          <w:color w:val="000000" w:themeColor="text1"/>
          <w:sz w:val="24"/>
          <w:szCs w:val="21"/>
          <w:highlight w:val="none"/>
          <w14:textFill>
            <w14:solidFill>
              <w14:schemeClr w14:val="tx1"/>
            </w14:solidFill>
          </w14:textFill>
        </w:rPr>
        <w:t>基础设施设备</w:t>
      </w:r>
      <w:r>
        <w:rPr>
          <w:rFonts w:hint="eastAsia" w:ascii="宋体" w:hAnsi="宋体" w:eastAsia="宋体" w:cs="宋体"/>
          <w:color w:val="000000" w:themeColor="text1"/>
          <w:sz w:val="24"/>
          <w:szCs w:val="18"/>
          <w:highlight w:val="none"/>
          <w14:textFill>
            <w14:solidFill>
              <w14:schemeClr w14:val="tx1"/>
            </w14:solidFill>
          </w14:textFill>
        </w:rPr>
        <w:t>未达到交付使用条件，双方同意按照下列第</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14:textFill>
            <w14:solidFill>
              <w14:schemeClr w14:val="tx1"/>
            </w14:solidFill>
          </w14:textFill>
        </w:rPr>
        <w:t xml:space="preserve">种方式处理： </w:t>
      </w:r>
    </w:p>
    <w:p>
      <w:pPr>
        <w:widowControl/>
        <w:numPr>
          <w:ilvl w:val="0"/>
          <w:numId w:val="0"/>
        </w:numPr>
        <w:spacing w:line="360" w:lineRule="auto"/>
        <w:ind w:firstLine="480" w:firstLineChars="20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lang w:val="en-US" w:eastAsia="zh-CN"/>
          <w14:textFill>
            <w14:solidFill>
              <w14:schemeClr w14:val="tx1"/>
            </w14:solidFill>
          </w14:textFill>
        </w:rPr>
        <w:t>1.</w:t>
      </w:r>
      <w:r>
        <w:rPr>
          <w:rFonts w:hint="eastAsia" w:ascii="宋体" w:hAnsi="宋体" w:eastAsia="宋体" w:cs="宋体"/>
          <w:color w:val="000000" w:themeColor="text1"/>
          <w:sz w:val="24"/>
          <w:szCs w:val="18"/>
          <w:highlight w:val="none"/>
          <w14:textFill>
            <w14:solidFill>
              <w14:schemeClr w14:val="tx1"/>
            </w14:solidFill>
          </w14:textFill>
        </w:rPr>
        <w:t>以上设施中第1、2、3、4项在约定交付日未达到交付条件的，甲方按照本合同第十二条的约定承担逾期交付责任。</w:t>
      </w:r>
    </w:p>
    <w:p>
      <w:pPr>
        <w:widowControl/>
        <w:spacing w:line="360" w:lineRule="auto"/>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 xml:space="preserve">    第5项未按时达到交付使用条件的，甲方按日向乙方支付</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14:textFill>
            <w14:solidFill>
              <w14:schemeClr w14:val="tx1"/>
            </w14:solidFill>
          </w14:textFill>
        </w:rPr>
        <w:t>元的违约金；第6项未按时达到交付使用条件的，甲方按日向乙方支付</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14:textFill>
            <w14:solidFill>
              <w14:schemeClr w14:val="tx1"/>
            </w14:solidFill>
          </w14:textFill>
        </w:rPr>
        <w:t>元的违约金；第7项未按时达到交付使用条件的，甲方按日向乙方支付</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14:textFill>
            <w14:solidFill>
              <w14:schemeClr w14:val="tx1"/>
            </w14:solidFill>
          </w14:textFill>
        </w:rPr>
        <w:t>元的违约金。甲方采取措施保证相关设施于约定交付日后</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14:textFill>
            <w14:solidFill>
              <w14:schemeClr w14:val="tx1"/>
            </w14:solidFill>
          </w14:textFill>
        </w:rPr>
        <w:t>日之内达到交付使用条件。</w:t>
      </w:r>
    </w:p>
    <w:p>
      <w:pPr>
        <w:widowControl/>
        <w:tabs>
          <w:tab w:val="left" w:pos="7740"/>
        </w:tabs>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（二）公共服务及其他配套设施（以建设工程规划许可为准）</w:t>
      </w:r>
    </w:p>
    <w:p>
      <w:pPr>
        <w:widowControl/>
        <w:spacing w:line="360" w:lineRule="auto"/>
        <w:ind w:firstLine="48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1.小区内绿地率为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，建筑面积为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，位于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，应于</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日前达到交用条件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2.小区内非市政道路应于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日前达到交用条件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3.规划的车位、车库应于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日前达到交用条件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4.物业服务用房应于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日前达到</w:t>
      </w:r>
      <w:r>
        <w:rPr>
          <w:rFonts w:hint="eastAsia" w:ascii="宋体" w:hAnsi="宋体" w:eastAsia="宋体" w:cs="宋体"/>
          <w:color w:val="000000" w:themeColor="text1"/>
          <w:sz w:val="24"/>
          <w:highlight w:val="none"/>
          <w:u w:val="none"/>
          <w14:textFill>
            <w14:solidFill>
              <w14:schemeClr w14:val="tx1"/>
            </w14:solidFill>
          </w14:textFill>
        </w:rPr>
        <w:t>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szCs w:val="21"/>
          <w:highlight w:val="none"/>
          <w14:textFill>
            <w14:solidFill>
              <w14:schemeClr w14:val="tx1"/>
            </w14:solidFill>
          </w14:textFill>
        </w:rPr>
        <w:t>医疗卫生机构</w:t>
      </w:r>
      <w:r>
        <w:rPr>
          <w:rFonts w:hint="eastAsia" w:ascii="宋体" w:hAnsi="宋体" w:eastAsia="宋体" w:cs="宋体"/>
          <w:color w:val="000000" w:themeColor="text1"/>
          <w:sz w:val="24"/>
          <w:highlight w:val="none"/>
          <w14:textFill>
            <w14:solidFill>
              <w14:schemeClr w14:val="tx1"/>
            </w14:solidFill>
          </w14:textFill>
        </w:rPr>
        <w:t>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日前达到交用条件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6.幼儿园应于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日前达到交用条件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7.学校应于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8.配套生活垃圾分类设施应于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日达到交用条件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9.社区菜市场或社区菜店应于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日达到交用条件</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以上设施未达到上述条件的</w:t>
      </w:r>
      <w:r>
        <w:rPr>
          <w:rFonts w:hint="eastAsia" w:ascii="宋体" w:hAnsi="宋体" w:eastAsia="宋体" w:cs="宋体"/>
          <w:color w:val="000000" w:themeColor="text1"/>
          <w:sz w:val="24"/>
          <w:highlight w:val="none"/>
          <w14:textFill>
            <w14:solidFill>
              <w14:schemeClr w14:val="tx1"/>
            </w14:solidFill>
          </w14:textFill>
        </w:rPr>
        <w:t xml:space="preserve">，双方同意按照以下方式处理： </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1.小区内绿地率未达到上述约定条件的，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2.小区内非市政道路未达到上述约定条件的，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3.规划的车位、车库未达到上述约定条件的，</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4.物业服务用房未达到上述约定条件的，</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lang w:eastAsia="zh-CN"/>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5.其他设施未达到上述约定条件的，</w:t>
      </w:r>
      <w:r>
        <w:rPr>
          <w:rFonts w:hint="eastAsia" w:ascii="宋体" w:hAnsi="宋体" w:eastAsia="宋体" w:cs="宋体"/>
          <w:color w:val="000000" w:themeColor="text1"/>
          <w:sz w:val="24"/>
          <w:szCs w:val="18"/>
          <w:highlight w:val="none"/>
          <w:u w:val="single"/>
          <w14:textFill>
            <w14:solidFill>
              <w14:schemeClr w14:val="tx1"/>
            </w14:solidFill>
          </w14:textFill>
        </w:rPr>
        <w:t xml:space="preserve">                                     </w:t>
      </w:r>
      <w:r>
        <w:rPr>
          <w:rFonts w:hint="eastAsia" w:ascii="宋体" w:hAnsi="宋体" w:eastAsia="宋体" w:cs="宋体"/>
          <w:color w:val="000000" w:themeColor="text1"/>
          <w:sz w:val="24"/>
          <w:szCs w:val="18"/>
          <w:highlight w:val="none"/>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 xml:space="preserve">关于本项目内相关设施设备的具体约定见附件五。 </w:t>
      </w:r>
    </w:p>
    <w:p>
      <w:pPr>
        <w:widowControl/>
        <w:spacing w:line="360" w:lineRule="auto"/>
        <w:ind w:firstLine="480"/>
        <w:jc w:val="left"/>
        <w:rPr>
          <w:rFonts w:ascii="新宋体" w:hAnsi="新宋体" w:eastAsia="新宋体"/>
          <w:b/>
          <w:color w:val="000000" w:themeColor="text1"/>
          <w:kern w:val="0"/>
          <w:sz w:val="24"/>
          <w:highlight w:val="none"/>
          <w14:textFill>
            <w14:solidFill>
              <w14:schemeClr w14:val="tx1"/>
            </w14:solidFill>
          </w14:textFill>
        </w:rPr>
      </w:pPr>
      <w:r>
        <w:rPr>
          <w:rFonts w:hint="eastAsia" w:ascii="新宋体" w:hAnsi="新宋体" w:eastAsia="新宋体"/>
          <w:b/>
          <w:color w:val="000000" w:themeColor="text1"/>
          <w:kern w:val="0"/>
          <w:sz w:val="24"/>
          <w:highlight w:val="none"/>
          <w14:textFill>
            <w14:solidFill>
              <w14:schemeClr w14:val="tx1"/>
            </w14:solidFill>
          </w14:textFill>
        </w:rPr>
        <w:t>第十一条  交付时间和手续</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应当</w:t>
      </w:r>
      <w:r>
        <w:rPr>
          <w:rFonts w:hint="eastAsia" w:ascii="宋体" w:hAnsi="宋体"/>
          <w:color w:val="000000" w:themeColor="text1"/>
          <w:sz w:val="24"/>
          <w:highlight w:val="none"/>
          <w14:textFill>
            <w14:solidFill>
              <w14:schemeClr w14:val="tx1"/>
            </w14:solidFill>
          </w14:textFill>
        </w:rPr>
        <w:t>于</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日前向</w:t>
      </w:r>
      <w:r>
        <w:rPr>
          <w:rFonts w:hint="eastAsia" w:ascii="宋体" w:hAnsi="宋体"/>
          <w:color w:val="000000" w:themeColor="text1"/>
          <w:sz w:val="24"/>
          <w:highlight w:val="none"/>
          <w14:textFill>
            <w14:solidFill>
              <w14:schemeClr w14:val="tx1"/>
            </w14:solidFill>
          </w14:textFill>
        </w:rPr>
        <w:t>乙方</w:t>
      </w:r>
      <w:r>
        <w:rPr>
          <w:rFonts w:ascii="宋体" w:hAnsi="宋体"/>
          <w:color w:val="000000" w:themeColor="text1"/>
          <w:sz w:val="24"/>
          <w:highlight w:val="none"/>
          <w14:textFill>
            <w14:solidFill>
              <w14:schemeClr w14:val="tx1"/>
            </w14:solidFill>
          </w14:textFill>
        </w:rPr>
        <w:t>交付该</w:t>
      </w:r>
      <w:r>
        <w:rPr>
          <w:rFonts w:hint="eastAsia" w:ascii="宋体" w:hAnsi="宋体"/>
          <w:color w:val="000000" w:themeColor="text1"/>
          <w:sz w:val="24"/>
          <w:highlight w:val="none"/>
          <w14:textFill>
            <w14:solidFill>
              <w14:schemeClr w14:val="tx1"/>
            </w14:solidFill>
          </w14:textFill>
        </w:rPr>
        <w:t>共有产权住房</w:t>
      </w:r>
      <w:r>
        <w:rPr>
          <w:rFonts w:ascii="宋体" w:hAnsi="宋体"/>
          <w:color w:val="000000" w:themeColor="text1"/>
          <w:sz w:val="24"/>
          <w:highlight w:val="none"/>
          <w14:textFill>
            <w14:solidFill>
              <w14:schemeClr w14:val="tx1"/>
            </w14:solidFill>
          </w14:textFill>
        </w:rPr>
        <w:t>。</w:t>
      </w:r>
    </w:p>
    <w:p>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（二）该共有产权住房达到第</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条</w:t>
      </w:r>
      <w:r>
        <w:rPr>
          <w:rFonts w:hint="eastAsia" w:ascii="宋体" w:hAnsi="宋体"/>
          <w:color w:val="000000" w:themeColor="text1"/>
          <w:sz w:val="24"/>
          <w:szCs w:val="21"/>
          <w:highlight w:val="none"/>
          <w14:textFill>
            <w14:solidFill>
              <w14:schemeClr w14:val="tx1"/>
            </w14:solidFill>
          </w14:textFill>
        </w:rPr>
        <w:t>、第</w:t>
      </w:r>
      <w:r>
        <w:rPr>
          <w:rFonts w:hint="eastAsia" w:ascii="宋体" w:hAnsi="宋体"/>
          <w:color w:val="000000" w:themeColor="text1"/>
          <w:sz w:val="24"/>
          <w:szCs w:val="21"/>
          <w:highlight w:val="none"/>
          <w:lang w:val="en-US" w:eastAsia="zh-CN"/>
          <w14:textFill>
            <w14:solidFill>
              <w14:schemeClr w14:val="tx1"/>
            </w14:solidFill>
          </w14:textFill>
        </w:rPr>
        <w:t>十</w:t>
      </w:r>
      <w:r>
        <w:rPr>
          <w:rFonts w:hint="eastAsia" w:ascii="宋体" w:hAnsi="宋体"/>
          <w:color w:val="000000" w:themeColor="text1"/>
          <w:sz w:val="24"/>
          <w:szCs w:val="21"/>
          <w:highlight w:val="none"/>
          <w14:textFill>
            <w14:solidFill>
              <w14:schemeClr w14:val="tx1"/>
            </w14:solidFill>
          </w14:textFill>
        </w:rPr>
        <w:t>条</w:t>
      </w:r>
      <w:r>
        <w:rPr>
          <w:rFonts w:hint="eastAsia" w:ascii="宋体" w:hAnsi="宋体"/>
          <w:color w:val="000000" w:themeColor="text1"/>
          <w:sz w:val="24"/>
          <w:highlight w:val="none"/>
          <w14:textFill>
            <w14:solidFill>
              <w14:schemeClr w14:val="tx1"/>
            </w14:solidFill>
          </w14:textFill>
        </w:rPr>
        <w:t>约定的交付条件后，甲方应当于交付日期届满前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不少于10日）将查验房屋的时间、办理交付手续的时间地点以及应当携带的证件材料的通知书面送达乙方。乙方未收到交付通知书的，以本合同约定的交付日期届满之日为办理交付手续的时间，以该共有产权住房所在地为办理交付手续的地点。</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付该共有产权住房时，甲方应当出示满足第九条约定的证明文件。甲方不出示证明文件或出示的证明文件不齐全，不能满足第九条约定条件的，乙方有权拒绝接收，由此产生的逾期交付责任由甲方承担，并按照第十二条处理。</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（三）查验房屋</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1.办理交付手续前，乙方有权对该共有产权住房进行查验，甲方不得以缴纳相关税费（住宅专项维修资金除外）或签署物业管理文件作为乙方查验和办理交付手续的前提条件。</w:t>
      </w:r>
    </w:p>
    <w:p>
      <w:pPr>
        <w:widowControl/>
        <w:tabs>
          <w:tab w:val="left" w:pos="7560"/>
          <w:tab w:val="left" w:pos="7920"/>
          <w:tab w:val="left" w:pos="8100"/>
        </w:tabs>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2.乙方查验的该共有产权住房存在下列除地基基础和主体结构外的其他质量问题的，由甲方按照有关工程和产品质量规范、标准自查验次日起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日内负责修复，并承担修复费用，修复后再行交付。</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（1）屋面、墙面、地面渗漏或开裂等</w:t>
      </w:r>
      <w:r>
        <w:rPr>
          <w:rFonts w:hint="eastAsia" w:ascii="宋体" w:hAnsi="宋体"/>
          <w:color w:val="000000" w:themeColor="text1"/>
          <w:sz w:val="24"/>
          <w:szCs w:val="20"/>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（2）管道堵塞</w:t>
      </w:r>
      <w:r>
        <w:rPr>
          <w:rFonts w:hint="eastAsia" w:ascii="宋体" w:hAnsi="宋体"/>
          <w:color w:val="000000" w:themeColor="text1"/>
          <w:sz w:val="24"/>
          <w:szCs w:val="20"/>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（3）门窗翘裂、五金件损坏</w:t>
      </w:r>
      <w:r>
        <w:rPr>
          <w:rFonts w:hint="eastAsia" w:ascii="宋体" w:hAnsi="宋体"/>
          <w:color w:val="000000" w:themeColor="text1"/>
          <w:sz w:val="24"/>
          <w:szCs w:val="20"/>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（4）灯具、电器等电气设备不能正常使用</w:t>
      </w:r>
      <w:r>
        <w:rPr>
          <w:rFonts w:hint="eastAsia" w:ascii="宋体" w:hAnsi="宋体"/>
          <w:color w:val="000000" w:themeColor="text1"/>
          <w:sz w:val="24"/>
          <w:szCs w:val="20"/>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3.该共有产权住房查验合格后，</w:t>
      </w:r>
      <w:r>
        <w:rPr>
          <w:rFonts w:hint="eastAsia" w:ascii="宋体" w:hAnsi="宋体"/>
          <w:color w:val="000000" w:themeColor="text1"/>
          <w:sz w:val="24"/>
          <w:highlight w:val="none"/>
          <w:lang w:eastAsia="zh-CN"/>
          <w14:textFill>
            <w14:solidFill>
              <w14:schemeClr w14:val="tx1"/>
            </w14:solidFill>
          </w14:textFill>
        </w:rPr>
        <w:t>甲、乙</w:t>
      </w:r>
      <w:r>
        <w:rPr>
          <w:rFonts w:hint="eastAsia" w:ascii="宋体" w:hAnsi="宋体"/>
          <w:color w:val="000000" w:themeColor="text1"/>
          <w:sz w:val="24"/>
          <w:highlight w:val="none"/>
          <w14:textFill>
            <w14:solidFill>
              <w14:schemeClr w14:val="tx1"/>
            </w14:solidFill>
          </w14:textFill>
        </w:rPr>
        <w:t>双方应当签署共有产权住房交接单。由于乙方原因导致该共有产权住房未能按期交付的，双方同意按照以下方式处理：</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tabs>
          <w:tab w:val="left" w:pos="8280"/>
        </w:tabs>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u w:val="single"/>
          <w14:textFill>
            <w14:solidFill>
              <w14:schemeClr w14:val="tx1"/>
            </w14:solidFill>
          </w14:textFill>
        </w:rPr>
        <w:t xml:space="preserve">                                            </w:t>
      </w:r>
      <w:r>
        <w:rPr>
          <w:rFonts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w:t>
      </w:r>
    </w:p>
    <w:p>
      <w:pPr>
        <w:spacing w:line="360" w:lineRule="auto"/>
        <w:textAlignment w:val="baseline"/>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 xml:space="preserve">第十二条  </w:t>
      </w:r>
      <w:r>
        <w:rPr>
          <w:rFonts w:ascii="宋体" w:hAnsi="宋体"/>
          <w:b/>
          <w:color w:val="000000" w:themeColor="text1"/>
          <w:sz w:val="24"/>
          <w:highlight w:val="none"/>
          <w14:textFill>
            <w14:solidFill>
              <w14:schemeClr w14:val="tx1"/>
            </w14:solidFill>
          </w14:textFill>
        </w:rPr>
        <w:t>逾期交</w:t>
      </w:r>
      <w:r>
        <w:rPr>
          <w:rFonts w:hint="eastAsia" w:ascii="宋体" w:hAnsi="宋体"/>
          <w:b/>
          <w:color w:val="000000" w:themeColor="text1"/>
          <w:sz w:val="24"/>
          <w:highlight w:val="none"/>
          <w14:textFill>
            <w14:solidFill>
              <w14:schemeClr w14:val="tx1"/>
            </w14:solidFill>
          </w14:textFill>
        </w:rPr>
        <w:t>付</w:t>
      </w:r>
      <w:r>
        <w:rPr>
          <w:rFonts w:ascii="宋体" w:hAnsi="宋体"/>
          <w:b/>
          <w:color w:val="000000" w:themeColor="text1"/>
          <w:sz w:val="24"/>
          <w:highlight w:val="none"/>
          <w14:textFill>
            <w14:solidFill>
              <w14:schemeClr w14:val="tx1"/>
            </w14:solidFill>
          </w14:textFill>
        </w:rPr>
        <w:t>责任</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除</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外，</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未按</w:t>
      </w:r>
      <w:r>
        <w:rPr>
          <w:rFonts w:hint="eastAsia" w:ascii="宋体" w:hAnsi="宋体"/>
          <w:color w:val="000000" w:themeColor="text1"/>
          <w:sz w:val="24"/>
          <w:highlight w:val="none"/>
          <w14:textFill>
            <w14:solidFill>
              <w14:schemeClr w14:val="tx1"/>
            </w14:solidFill>
          </w14:textFill>
        </w:rPr>
        <w:t>照第十一条约</w:t>
      </w:r>
      <w:r>
        <w:rPr>
          <w:rFonts w:ascii="宋体" w:hAnsi="宋体"/>
          <w:color w:val="000000" w:themeColor="text1"/>
          <w:sz w:val="24"/>
          <w:highlight w:val="none"/>
          <w14:textFill>
            <w14:solidFill>
              <w14:schemeClr w14:val="tx1"/>
            </w14:solidFill>
          </w14:textFill>
        </w:rPr>
        <w:t>定</w:t>
      </w:r>
      <w:r>
        <w:rPr>
          <w:rFonts w:hint="eastAsia" w:ascii="宋体" w:hAnsi="宋体"/>
          <w:color w:val="000000" w:themeColor="text1"/>
          <w:sz w:val="24"/>
          <w:highlight w:val="none"/>
          <w14:textFill>
            <w14:solidFill>
              <w14:schemeClr w14:val="tx1"/>
            </w14:solidFill>
          </w14:textFill>
        </w:rPr>
        <w:t>的时间将该共有产权住房交付乙方的，双方同意按照下列第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种方式处理： </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（一）按照逾期时间，分别处理 (1和2不作累加) 。</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逾期在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日之内（该期限应当不多于第八条第（一）1项中的期限），自第十一条约定的交付期限届满之次日起至实际交付之日止，甲方按日计算向乙方支付全部房价款万分之</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的违约金（该违约金比率应当不低于第八条第（一）1项中的比率）。 </w:t>
      </w:r>
    </w:p>
    <w:p>
      <w:pPr>
        <w:widowControl/>
        <w:spacing w:line="360" w:lineRule="auto"/>
        <w:ind w:firstLine="480" w:firstLineChars="200"/>
        <w:jc w:val="lef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逾期超过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该</w:t>
      </w:r>
      <w:r>
        <w:rPr>
          <w:rFonts w:hint="eastAsia" w:ascii="宋体" w:hAnsi="宋体"/>
          <w:color w:val="000000" w:themeColor="text1"/>
          <w:sz w:val="24"/>
          <w:highlight w:val="none"/>
          <w14:textFill>
            <w14:solidFill>
              <w14:schemeClr w14:val="tx1"/>
            </w14:solidFill>
          </w14:textFill>
        </w:rPr>
        <w:t>期限应当</w:t>
      </w:r>
      <w:r>
        <w:rPr>
          <w:rFonts w:ascii="宋体" w:hAnsi="宋体"/>
          <w:color w:val="000000" w:themeColor="text1"/>
          <w:sz w:val="24"/>
          <w:highlight w:val="none"/>
          <w14:textFill>
            <w14:solidFill>
              <w14:schemeClr w14:val="tx1"/>
            </w14:solidFill>
          </w14:textFill>
        </w:rPr>
        <w:t>与</w:t>
      </w:r>
      <w:r>
        <w:rPr>
          <w:rFonts w:hint="eastAsia" w:ascii="宋体" w:hAnsi="宋体"/>
          <w:color w:val="000000" w:themeColor="text1"/>
          <w:sz w:val="24"/>
          <w:highlight w:val="none"/>
          <w14:textFill>
            <w14:solidFill>
              <w14:schemeClr w14:val="tx1"/>
            </w14:solidFill>
          </w14:textFill>
        </w:rPr>
        <w:t>本条</w:t>
      </w:r>
      <w:r>
        <w:rPr>
          <w:rFonts w:ascii="宋体" w:hAnsi="宋体"/>
          <w:color w:val="000000" w:themeColor="text1"/>
          <w:sz w:val="24"/>
          <w:highlight w:val="none"/>
          <w14:textFill>
            <w14:solidFill>
              <w14:schemeClr w14:val="tx1"/>
            </w14:solidFill>
          </w14:textFill>
        </w:rPr>
        <w:t>第1项中的</w:t>
      </w:r>
      <w:r>
        <w:rPr>
          <w:rFonts w:hint="eastAsia" w:ascii="宋体" w:hAnsi="宋体"/>
          <w:color w:val="000000" w:themeColor="text1"/>
          <w:sz w:val="24"/>
          <w:highlight w:val="none"/>
          <w14:textFill>
            <w14:solidFill>
              <w14:schemeClr w14:val="tx1"/>
            </w14:solidFill>
          </w14:textFill>
        </w:rPr>
        <w:t>期限</w:t>
      </w:r>
      <w:r>
        <w:rPr>
          <w:rFonts w:ascii="宋体" w:hAnsi="宋体"/>
          <w:color w:val="000000" w:themeColor="text1"/>
          <w:sz w:val="24"/>
          <w:highlight w:val="none"/>
          <w14:textFill>
            <w14:solidFill>
              <w14:schemeClr w14:val="tx1"/>
            </w14:solidFill>
          </w14:textFill>
        </w:rPr>
        <w:t>相同</w:t>
      </w:r>
      <w:r>
        <w:rPr>
          <w:rFonts w:hint="eastAsia" w:ascii="宋体" w:hAnsi="宋体"/>
          <w:color w:val="000000" w:themeColor="text1"/>
          <w:sz w:val="24"/>
          <w:highlight w:val="none"/>
          <w14:textFill>
            <w14:solidFill>
              <w14:schemeClr w14:val="tx1"/>
            </w14:solidFill>
          </w14:textFill>
        </w:rPr>
        <w:t>），乙方有权解除合同。乙方解除合同的，应当书面通知甲方</w:t>
      </w:r>
      <w:r>
        <w:rPr>
          <w:rFonts w:hint="eastAsia" w:ascii="宋体" w:hAnsi="宋体"/>
          <w:color w:val="000000" w:themeColor="text1"/>
          <w:sz w:val="24"/>
          <w:highlight w:val="none"/>
          <w:lang w:eastAsia="zh-CN"/>
          <w14:textFill>
            <w14:solidFill>
              <w14:schemeClr w14:val="tx1"/>
            </w14:solidFill>
          </w14:textFill>
        </w:rPr>
        <w:t>、丙方</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14:textFill>
            <w14:solidFill>
              <w14:schemeClr w14:val="tx1"/>
            </w14:solidFill>
          </w14:textFill>
        </w:rPr>
        <w:t>解除合同</w:t>
      </w:r>
      <w:r>
        <w:rPr>
          <w:rFonts w:ascii="宋体" w:hAnsi="宋体"/>
          <w:color w:val="000000" w:themeColor="text1"/>
          <w:sz w:val="24"/>
          <w:highlight w:val="none"/>
          <w14:textFill>
            <w14:solidFill>
              <w14:schemeClr w14:val="tx1"/>
            </w14:solidFill>
          </w14:textFill>
        </w:rPr>
        <w:t>通知送达之日起</w:t>
      </w:r>
      <w:r>
        <w:rPr>
          <w:rFonts w:hint="eastAsia" w:ascii="宋体" w:hAnsi="宋体"/>
          <w:color w:val="000000" w:themeColor="text1"/>
          <w:sz w:val="24"/>
          <w:highlight w:val="none"/>
          <w:lang w:val="en-US" w:eastAsia="zh-CN"/>
          <w14:textFill>
            <w14:solidFill>
              <w14:schemeClr w14:val="tx1"/>
            </w14:solidFill>
          </w14:textFill>
        </w:rPr>
        <w:t>15</w:t>
      </w:r>
      <w:r>
        <w:rPr>
          <w:rFonts w:ascii="宋体" w:hAnsi="宋体"/>
          <w:color w:val="000000" w:themeColor="text1"/>
          <w:sz w:val="24"/>
          <w:highlight w:val="none"/>
          <w14:textFill>
            <w14:solidFill>
              <w14:schemeClr w14:val="tx1"/>
            </w14:solidFill>
          </w14:textFill>
        </w:rPr>
        <w:t>日内退还</w:t>
      </w:r>
      <w:r>
        <w:rPr>
          <w:rFonts w:hint="eastAsia" w:ascii="宋体" w:hAnsi="宋体"/>
          <w:color w:val="000000" w:themeColor="text1"/>
          <w:sz w:val="24"/>
          <w:highlight w:val="none"/>
          <w14:textFill>
            <w14:solidFill>
              <w14:schemeClr w14:val="tx1"/>
            </w14:solidFill>
          </w14:textFill>
        </w:rPr>
        <w:t>乙方已付全部房价款（含已付贷款部分），并自乙方付款之日起，按</w:t>
      </w:r>
      <w:r>
        <w:rPr>
          <w:rFonts w:hint="eastAsia" w:ascii="宋体" w:hAnsi="宋体"/>
          <w:color w:val="000000" w:themeColor="text1"/>
          <w:sz w:val="24"/>
          <w:highlight w:val="none"/>
          <w:lang w:eastAsia="zh-CN"/>
          <w14:textFill>
            <w14:solidFill>
              <w14:schemeClr w14:val="tx1"/>
            </w14:solidFill>
          </w14:textFill>
        </w:rPr>
        <w:t>照</w:t>
      </w:r>
    </w:p>
    <w:p>
      <w:pPr>
        <w:widowControl/>
        <w:spacing w:line="360" w:lineRule="auto"/>
        <w:ind w:firstLine="0" w:firstLineChars="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%（不低于同期全国银行间同业拆借中心公布的一年期贷款市场报价利率）计算给付利息；同时，甲方</w:t>
      </w:r>
      <w:r>
        <w:rPr>
          <w:rFonts w:ascii="宋体" w:hAnsi="宋体"/>
          <w:color w:val="000000" w:themeColor="text1"/>
          <w:sz w:val="24"/>
          <w:szCs w:val="18"/>
          <w:highlight w:val="none"/>
          <w14:textFill>
            <w14:solidFill>
              <w14:schemeClr w14:val="tx1"/>
            </w14:solidFill>
          </w14:textFill>
        </w:rPr>
        <w:t>按照</w:t>
      </w:r>
      <w:r>
        <w:rPr>
          <w:rFonts w:hint="eastAsia" w:ascii="宋体" w:hAnsi="宋体"/>
          <w:color w:val="000000" w:themeColor="text1"/>
          <w:sz w:val="24"/>
          <w:szCs w:val="18"/>
          <w:highlight w:val="none"/>
          <w14:textFill>
            <w14:solidFill>
              <w14:schemeClr w14:val="tx1"/>
            </w14:solidFill>
          </w14:textFill>
        </w:rPr>
        <w:t>乙方支付的房价</w:t>
      </w:r>
      <w:r>
        <w:rPr>
          <w:rFonts w:ascii="宋体" w:hAnsi="宋体"/>
          <w:color w:val="000000" w:themeColor="text1"/>
          <w:sz w:val="24"/>
          <w:szCs w:val="18"/>
          <w:highlight w:val="none"/>
          <w14:textFill>
            <w14:solidFill>
              <w14:schemeClr w14:val="tx1"/>
            </w14:solidFill>
          </w14:textFill>
        </w:rPr>
        <w:t>款的</w:t>
      </w:r>
      <w:r>
        <w:rPr>
          <w:rFonts w:ascii="宋体" w:hAnsi="宋体"/>
          <w:color w:val="000000" w:themeColor="text1"/>
          <w:sz w:val="24"/>
          <w:szCs w:val="18"/>
          <w:highlight w:val="none"/>
          <w:u w:val="single"/>
          <w14:textFill>
            <w14:solidFill>
              <w14:schemeClr w14:val="tx1"/>
            </w14:solidFill>
          </w14:textFill>
        </w:rPr>
        <w:t xml:space="preserve">  </w:t>
      </w:r>
      <w:r>
        <w:rPr>
          <w:rFonts w:hint="eastAsia" w:ascii="宋体" w:hAnsi="宋体"/>
          <w:color w:val="000000" w:themeColor="text1"/>
          <w:sz w:val="24"/>
          <w:szCs w:val="18"/>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18"/>
          <w:highlight w:val="none"/>
          <w:u w:val="single"/>
          <w14:textFill>
            <w14:solidFill>
              <w14:schemeClr w14:val="tx1"/>
            </w14:solidFill>
          </w14:textFill>
        </w:rPr>
        <w:t xml:space="preserve"> </w:t>
      </w:r>
      <w:r>
        <w:rPr>
          <w:rFonts w:ascii="宋体" w:hAnsi="宋体"/>
          <w:color w:val="000000" w:themeColor="text1"/>
          <w:sz w:val="24"/>
          <w:szCs w:val="18"/>
          <w:highlight w:val="none"/>
          <w14:textFill>
            <w14:solidFill>
              <w14:schemeClr w14:val="tx1"/>
            </w14:solidFill>
          </w14:textFill>
        </w:rPr>
        <w:t>%向乙方支付违约金</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乙方不解除合同的，合同继续履行，甲方按日计算向乙方支付全部房价款万分之</w:t>
      </w:r>
    </w:p>
    <w:p>
      <w:pPr>
        <w:widowControl/>
        <w:spacing w:line="360" w:lineRule="auto"/>
        <w:ind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（该比率应当不低于本条第1项中的比率）的违约金。</w:t>
      </w:r>
    </w:p>
    <w:p>
      <w:pPr>
        <w:spacing w:line="360" w:lineRule="auto"/>
        <w:ind w:firstLine="435"/>
        <w:textAlignment w:val="baseline"/>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spacing w:line="360" w:lineRule="auto"/>
        <w:jc w:val="center"/>
        <w:rPr>
          <w:rFonts w:hint="eastAsia" w:ascii="宋体" w:hAnsi="宋体"/>
          <w:color w:val="000000" w:themeColor="text1"/>
          <w:sz w:val="24"/>
          <w:highlight w:val="none"/>
          <w14:textFill>
            <w14:solidFill>
              <w14:schemeClr w14:val="tx1"/>
            </w14:solidFill>
          </w14:textFill>
        </w:rPr>
      </w:pPr>
    </w:p>
    <w:p>
      <w:pPr>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 xml:space="preserve">第五章  </w:t>
      </w:r>
      <w:r>
        <w:rPr>
          <w:rFonts w:hint="eastAsia" w:ascii="黑体" w:hAnsi="黑体" w:eastAsia="黑体"/>
          <w:bCs/>
          <w:color w:val="000000" w:themeColor="text1"/>
          <w:sz w:val="30"/>
          <w:szCs w:val="30"/>
          <w:highlight w:val="none"/>
          <w14:textFill>
            <w14:solidFill>
              <w14:schemeClr w14:val="tx1"/>
            </w14:solidFill>
          </w14:textFill>
        </w:rPr>
        <w:t>共有产权住房质量和保修责任</w:t>
      </w:r>
    </w:p>
    <w:p>
      <w:pPr>
        <w:widowControl/>
        <w:spacing w:line="360" w:lineRule="auto"/>
        <w:ind w:firstLine="480"/>
        <w:jc w:val="left"/>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第十</w:t>
      </w:r>
      <w:r>
        <w:rPr>
          <w:rFonts w:hint="eastAsia" w:ascii="宋体" w:hAnsi="宋体"/>
          <w:b/>
          <w:bCs/>
          <w:color w:val="000000" w:themeColor="text1"/>
          <w:sz w:val="24"/>
          <w:highlight w:val="none"/>
          <w14:textFill>
            <w14:solidFill>
              <w14:schemeClr w14:val="tx1"/>
            </w14:solidFill>
          </w14:textFill>
        </w:rPr>
        <w:t>三</w:t>
      </w:r>
      <w:r>
        <w:rPr>
          <w:rFonts w:ascii="宋体" w:hAnsi="宋体"/>
          <w:b/>
          <w:bCs/>
          <w:color w:val="000000" w:themeColor="text1"/>
          <w:sz w:val="24"/>
          <w:highlight w:val="none"/>
          <w14:textFill>
            <w14:solidFill>
              <w14:schemeClr w14:val="tx1"/>
            </w14:solidFill>
          </w14:textFill>
        </w:rPr>
        <w:t>条</w:t>
      </w:r>
      <w:r>
        <w:rPr>
          <w:rFonts w:hint="eastAsia" w:ascii="宋体" w:hAnsi="宋体"/>
          <w:b/>
          <w:bCs/>
          <w:color w:val="000000" w:themeColor="text1"/>
          <w:sz w:val="24"/>
          <w:highlight w:val="none"/>
          <w14:textFill>
            <w14:solidFill>
              <w14:schemeClr w14:val="tx1"/>
            </w14:solidFill>
          </w14:textFill>
        </w:rPr>
        <w:t xml:space="preserve">  共有产权住房</w:t>
      </w:r>
      <w:r>
        <w:rPr>
          <w:rFonts w:ascii="宋体" w:hAnsi="宋体"/>
          <w:b/>
          <w:bCs/>
          <w:color w:val="000000" w:themeColor="text1"/>
          <w:sz w:val="24"/>
          <w:highlight w:val="none"/>
          <w14:textFill>
            <w14:solidFill>
              <w14:schemeClr w14:val="tx1"/>
            </w14:solidFill>
          </w14:textFill>
        </w:rPr>
        <w:t xml:space="preserve">质量 </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（一）地基基础和主体结构</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甲方承诺该共有产权住房地基基础和主体结构符合国家、本市及相关行业标准和施工图设计文件的要求。</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经质量检测机构检测不合格的，乙方</w:t>
      </w:r>
      <w:r>
        <w:rPr>
          <w:rFonts w:ascii="宋体" w:hAnsi="宋体"/>
          <w:color w:val="000000" w:themeColor="text1"/>
          <w:sz w:val="24"/>
          <w:highlight w:val="none"/>
          <w14:textFill>
            <w14:solidFill>
              <w14:schemeClr w14:val="tx1"/>
            </w14:solidFill>
          </w14:textFill>
        </w:rPr>
        <w:t>有权</w:t>
      </w:r>
      <w:r>
        <w:rPr>
          <w:rFonts w:hint="eastAsia" w:ascii="宋体" w:hAnsi="宋体"/>
          <w:color w:val="000000" w:themeColor="text1"/>
          <w:sz w:val="24"/>
          <w:highlight w:val="none"/>
          <w14:textFill>
            <w14:solidFill>
              <w14:schemeClr w14:val="tx1"/>
            </w14:solidFill>
          </w14:textFill>
        </w:rPr>
        <w:t>解除合同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乙方解除合同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应当书面通知甲方</w:t>
      </w:r>
      <w:r>
        <w:rPr>
          <w:rFonts w:hint="eastAsia" w:ascii="宋体" w:hAnsi="宋体"/>
          <w:color w:val="000000" w:themeColor="text1"/>
          <w:sz w:val="24"/>
          <w:highlight w:val="none"/>
          <w:lang w:eastAsia="zh-CN"/>
          <w14:textFill>
            <w14:solidFill>
              <w14:schemeClr w14:val="tx1"/>
            </w14:solidFill>
          </w14:textFill>
        </w:rPr>
        <w:t>、丙方</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14:textFill>
            <w14:solidFill>
              <w14:schemeClr w14:val="tx1"/>
            </w14:solidFill>
          </w14:textFill>
        </w:rPr>
        <w:t>解除合同</w:t>
      </w:r>
      <w:r>
        <w:rPr>
          <w:rFonts w:ascii="宋体" w:hAnsi="宋体"/>
          <w:color w:val="000000" w:themeColor="text1"/>
          <w:sz w:val="24"/>
          <w:highlight w:val="none"/>
          <w14:textFill>
            <w14:solidFill>
              <w14:schemeClr w14:val="tx1"/>
            </w14:solidFill>
          </w14:textFill>
        </w:rPr>
        <w:t>通知送达之日起</w:t>
      </w:r>
      <w:r>
        <w:rPr>
          <w:rFonts w:hint="eastAsia" w:ascii="宋体" w:hAnsi="宋体"/>
          <w:color w:val="000000" w:themeColor="text1"/>
          <w:sz w:val="24"/>
          <w:highlight w:val="none"/>
          <w:lang w:val="en-US" w:eastAsia="zh-CN"/>
          <w14:textFill>
            <w14:solidFill>
              <w14:schemeClr w14:val="tx1"/>
            </w14:solidFill>
          </w14:textFill>
        </w:rPr>
        <w:t>15</w:t>
      </w:r>
      <w:r>
        <w:rPr>
          <w:rFonts w:ascii="宋体" w:hAnsi="宋体"/>
          <w:color w:val="000000" w:themeColor="text1"/>
          <w:sz w:val="24"/>
          <w:highlight w:val="none"/>
          <w14:textFill>
            <w14:solidFill>
              <w14:schemeClr w14:val="tx1"/>
            </w14:solidFill>
          </w14:textFill>
        </w:rPr>
        <w:t>日内退还</w:t>
      </w:r>
      <w:r>
        <w:rPr>
          <w:rFonts w:hint="eastAsia" w:ascii="宋体" w:hAnsi="宋体"/>
          <w:color w:val="000000" w:themeColor="text1"/>
          <w:sz w:val="24"/>
          <w:highlight w:val="none"/>
          <w14:textFill>
            <w14:solidFill>
              <w14:schemeClr w14:val="tx1"/>
            </w14:solidFill>
          </w14:textFill>
        </w:rPr>
        <w:t>乙方已付全部房价款（含已付贷款部分），并自乙方付款之日起，按照</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%（不低于同期全国银行间同业拆借中心公布的一年期贷款市场报价利率）计算给付利息。</w:t>
      </w:r>
      <w:r>
        <w:rPr>
          <w:rFonts w:ascii="宋体" w:hAnsi="宋体"/>
          <w:color w:val="000000" w:themeColor="text1"/>
          <w:sz w:val="24"/>
          <w:highlight w:val="none"/>
          <w14:textFill>
            <w14:solidFill>
              <w14:schemeClr w14:val="tx1"/>
            </w14:solidFill>
          </w14:textFill>
        </w:rPr>
        <w:t>给</w:t>
      </w:r>
      <w:r>
        <w:rPr>
          <w:rFonts w:hint="eastAsia" w:ascii="宋体" w:hAnsi="宋体"/>
          <w:color w:val="000000" w:themeColor="text1"/>
          <w:sz w:val="24"/>
          <w:highlight w:val="none"/>
          <w14:textFill>
            <w14:solidFill>
              <w14:schemeClr w14:val="tx1"/>
            </w14:solidFill>
          </w14:textFill>
        </w:rPr>
        <w:t>乙方</w:t>
      </w:r>
      <w:r>
        <w:rPr>
          <w:rFonts w:ascii="宋体" w:hAnsi="宋体"/>
          <w:color w:val="000000" w:themeColor="text1"/>
          <w:sz w:val="24"/>
          <w:highlight w:val="none"/>
          <w14:textFill>
            <w14:solidFill>
              <w14:schemeClr w14:val="tx1"/>
            </w14:solidFill>
          </w14:textFill>
        </w:rPr>
        <w:t>造成损失的</w:t>
      </w:r>
      <w:r>
        <w:rPr>
          <w:rFonts w:hint="eastAsia" w:ascii="宋体" w:hAnsi="宋体"/>
          <w:color w:val="000000" w:themeColor="text1"/>
          <w:sz w:val="24"/>
          <w:highlight w:val="none"/>
          <w14:textFill>
            <w14:solidFill>
              <w14:schemeClr w14:val="tx1"/>
            </w14:solidFill>
          </w14:textFill>
        </w:rPr>
        <w:t>，甲方还应当承担赔偿责任，赔偿金额为【已付房价款一倍】</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。因此而发生的</w:t>
      </w:r>
      <w:r>
        <w:rPr>
          <w:rFonts w:ascii="宋体" w:hAnsi="宋体"/>
          <w:color w:val="000000" w:themeColor="text1"/>
          <w:sz w:val="24"/>
          <w:highlight w:val="none"/>
          <w14:textFill>
            <w14:solidFill>
              <w14:schemeClr w14:val="tx1"/>
            </w14:solidFill>
          </w14:textFill>
        </w:rPr>
        <w:t>检测费用由</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乙方不解除合同的，</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numPr>
          <w:ilvl w:val="0"/>
          <w:numId w:val="4"/>
        </w:numPr>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其他质量问题</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该</w:t>
      </w:r>
      <w:r>
        <w:rPr>
          <w:rFonts w:hint="eastAsia" w:ascii="宋体" w:hAnsi="宋体"/>
          <w:color w:val="000000" w:themeColor="text1"/>
          <w:sz w:val="24"/>
          <w:highlight w:val="none"/>
          <w14:textFill>
            <w14:solidFill>
              <w14:schemeClr w14:val="tx1"/>
            </w14:solidFill>
          </w14:textFill>
        </w:rPr>
        <w:t>共有产权住房</w:t>
      </w:r>
      <w:r>
        <w:rPr>
          <w:rFonts w:ascii="宋体" w:hAnsi="宋体"/>
          <w:color w:val="000000" w:themeColor="text1"/>
          <w:sz w:val="24"/>
          <w:highlight w:val="none"/>
          <w14:textFill>
            <w14:solidFill>
              <w14:schemeClr w14:val="tx1"/>
            </w14:solidFill>
          </w14:textFill>
        </w:rPr>
        <w:t>质量</w:t>
      </w:r>
      <w:r>
        <w:rPr>
          <w:rFonts w:hint="eastAsia" w:ascii="宋体" w:hAnsi="宋体"/>
          <w:color w:val="000000" w:themeColor="text1"/>
          <w:sz w:val="24"/>
          <w:highlight w:val="none"/>
          <w14:textFill>
            <w14:solidFill>
              <w14:schemeClr w14:val="tx1"/>
            </w14:solidFill>
          </w14:textFill>
        </w:rPr>
        <w:t>应当</w:t>
      </w:r>
      <w:r>
        <w:rPr>
          <w:rFonts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14:textFill>
            <w14:solidFill>
              <w14:schemeClr w14:val="tx1"/>
            </w14:solidFill>
          </w14:textFill>
        </w:rPr>
        <w:t>国家、本市及相关行业</w:t>
      </w:r>
      <w:r>
        <w:rPr>
          <w:rFonts w:ascii="宋体" w:hAnsi="宋体"/>
          <w:color w:val="000000" w:themeColor="text1"/>
          <w:sz w:val="24"/>
          <w:highlight w:val="none"/>
          <w14:textFill>
            <w14:solidFill>
              <w14:schemeClr w14:val="tx1"/>
            </w14:solidFill>
          </w14:textFill>
        </w:rPr>
        <w:t>标准和施工图设计文件的要求</w:t>
      </w:r>
      <w:r>
        <w:rPr>
          <w:rFonts w:hint="eastAsia" w:ascii="宋体" w:hAnsi="宋体"/>
          <w:color w:val="000000" w:themeColor="text1"/>
          <w:sz w:val="24"/>
          <w:highlight w:val="none"/>
          <w14:textFill>
            <w14:solidFill>
              <w14:schemeClr w14:val="tx1"/>
            </w14:solidFill>
          </w14:textFill>
        </w:rPr>
        <w:t>。经质量检测机构检测，发现除地基基础和主体结构外质量问题的，双方按照以下方式处理：</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1.及时更换、修理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如给乙方造成损失的，还应当承担相应赔偿责任。</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2.经过更换、修理，仍然严重影响正常使用的，乙方</w:t>
      </w:r>
      <w:r>
        <w:rPr>
          <w:rFonts w:ascii="宋体" w:hAnsi="宋体"/>
          <w:color w:val="000000" w:themeColor="text1"/>
          <w:sz w:val="24"/>
          <w:highlight w:val="none"/>
          <w14:textFill>
            <w14:solidFill>
              <w14:schemeClr w14:val="tx1"/>
            </w14:solidFill>
          </w14:textFill>
        </w:rPr>
        <w:t>有权</w:t>
      </w:r>
      <w:r>
        <w:rPr>
          <w:rFonts w:hint="eastAsia" w:ascii="宋体" w:hAnsi="宋体"/>
          <w:color w:val="000000" w:themeColor="text1"/>
          <w:sz w:val="24"/>
          <w:highlight w:val="none"/>
          <w14:textFill>
            <w14:solidFill>
              <w14:schemeClr w14:val="tx1"/>
            </w14:solidFill>
          </w14:textFill>
        </w:rPr>
        <w:t>解除合同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乙方解除合同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应当书面通知甲方</w:t>
      </w:r>
      <w:r>
        <w:rPr>
          <w:rFonts w:hint="eastAsia" w:ascii="宋体" w:hAnsi="宋体"/>
          <w:color w:val="000000" w:themeColor="text1"/>
          <w:sz w:val="24"/>
          <w:highlight w:val="none"/>
          <w:lang w:eastAsia="zh-CN"/>
          <w14:textFill>
            <w14:solidFill>
              <w14:schemeClr w14:val="tx1"/>
            </w14:solidFill>
          </w14:textFill>
        </w:rPr>
        <w:t>、丙方</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14:textFill>
            <w14:solidFill>
              <w14:schemeClr w14:val="tx1"/>
            </w14:solidFill>
          </w14:textFill>
        </w:rPr>
        <w:t>解除合同</w:t>
      </w:r>
      <w:r>
        <w:rPr>
          <w:rFonts w:ascii="宋体" w:hAnsi="宋体"/>
          <w:color w:val="000000" w:themeColor="text1"/>
          <w:sz w:val="24"/>
          <w:highlight w:val="none"/>
          <w14:textFill>
            <w14:solidFill>
              <w14:schemeClr w14:val="tx1"/>
            </w14:solidFill>
          </w14:textFill>
        </w:rPr>
        <w:t>通知送达之日起</w:t>
      </w:r>
      <w:r>
        <w:rPr>
          <w:rFonts w:hint="eastAsia" w:ascii="宋体" w:hAnsi="宋体"/>
          <w:color w:val="000000" w:themeColor="text1"/>
          <w:sz w:val="24"/>
          <w:highlight w:val="none"/>
          <w:lang w:val="en-US" w:eastAsia="zh-CN"/>
          <w14:textFill>
            <w14:solidFill>
              <w14:schemeClr w14:val="tx1"/>
            </w14:solidFill>
          </w14:textFill>
        </w:rPr>
        <w:t>15</w:t>
      </w:r>
      <w:r>
        <w:rPr>
          <w:rFonts w:ascii="宋体" w:hAnsi="宋体"/>
          <w:color w:val="000000" w:themeColor="text1"/>
          <w:sz w:val="24"/>
          <w:highlight w:val="none"/>
          <w14:textFill>
            <w14:solidFill>
              <w14:schemeClr w14:val="tx1"/>
            </w14:solidFill>
          </w14:textFill>
        </w:rPr>
        <w:t>日内退还</w:t>
      </w:r>
      <w:r>
        <w:rPr>
          <w:rFonts w:hint="eastAsia" w:ascii="宋体" w:hAnsi="宋体"/>
          <w:color w:val="000000" w:themeColor="text1"/>
          <w:sz w:val="24"/>
          <w:highlight w:val="none"/>
          <w14:textFill>
            <w14:solidFill>
              <w14:schemeClr w14:val="tx1"/>
            </w14:solidFill>
          </w14:textFill>
        </w:rPr>
        <w:t>乙方已付</w:t>
      </w:r>
      <w:r>
        <w:rPr>
          <w:rFonts w:hint="eastAsia" w:ascii="宋体" w:hAnsi="宋体"/>
          <w:bCs/>
          <w:color w:val="000000" w:themeColor="text1"/>
          <w:sz w:val="24"/>
          <w:highlight w:val="none"/>
          <w14:textFill>
            <w14:solidFill>
              <w14:schemeClr w14:val="tx1"/>
            </w14:solidFill>
          </w14:textFill>
        </w:rPr>
        <w:t>全</w:t>
      </w:r>
      <w:r>
        <w:rPr>
          <w:rFonts w:hint="eastAsia" w:ascii="宋体" w:hAnsi="宋体"/>
          <w:color w:val="000000" w:themeColor="text1"/>
          <w:sz w:val="24"/>
          <w:highlight w:val="none"/>
          <w14:textFill>
            <w14:solidFill>
              <w14:schemeClr w14:val="tx1"/>
            </w14:solidFill>
          </w14:textFill>
        </w:rPr>
        <w:t>部房价款（含已付贷款部分），并自乙方付款之日起，按照</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%（不低于同期全国银行间同业拆借中心公布的一年期贷款市场报价利率）计算给付利息。</w:t>
      </w:r>
      <w:r>
        <w:rPr>
          <w:rFonts w:ascii="宋体" w:hAnsi="宋体"/>
          <w:color w:val="000000" w:themeColor="text1"/>
          <w:sz w:val="24"/>
          <w:highlight w:val="none"/>
          <w14:textFill>
            <w14:solidFill>
              <w14:schemeClr w14:val="tx1"/>
            </w14:solidFill>
          </w14:textFill>
        </w:rPr>
        <w:t>给</w:t>
      </w:r>
      <w:r>
        <w:rPr>
          <w:rFonts w:hint="eastAsia" w:ascii="宋体" w:hAnsi="宋体"/>
          <w:color w:val="000000" w:themeColor="text1"/>
          <w:sz w:val="24"/>
          <w:highlight w:val="none"/>
          <w14:textFill>
            <w14:solidFill>
              <w14:schemeClr w14:val="tx1"/>
            </w14:solidFill>
          </w14:textFill>
        </w:rPr>
        <w:t>乙方</w:t>
      </w:r>
      <w:r>
        <w:rPr>
          <w:rFonts w:ascii="宋体" w:hAnsi="宋体"/>
          <w:color w:val="000000" w:themeColor="text1"/>
          <w:sz w:val="24"/>
          <w:highlight w:val="none"/>
          <w14:textFill>
            <w14:solidFill>
              <w14:schemeClr w14:val="tx1"/>
            </w14:solidFill>
          </w14:textFill>
        </w:rPr>
        <w:t>造成损失的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由</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相应</w:t>
      </w:r>
      <w:r>
        <w:rPr>
          <w:rFonts w:ascii="宋体" w:hAnsi="宋体"/>
          <w:color w:val="000000" w:themeColor="text1"/>
          <w:sz w:val="24"/>
          <w:highlight w:val="none"/>
          <w14:textFill>
            <w14:solidFill>
              <w14:schemeClr w14:val="tx1"/>
            </w14:solidFill>
          </w14:textFill>
        </w:rPr>
        <w:t>赔偿责任。</w:t>
      </w:r>
      <w:r>
        <w:rPr>
          <w:rFonts w:hint="eastAsia" w:ascii="宋体" w:hAnsi="宋体"/>
          <w:color w:val="000000" w:themeColor="text1"/>
          <w:sz w:val="24"/>
          <w:highlight w:val="none"/>
          <w14:textFill>
            <w14:solidFill>
              <w14:schemeClr w14:val="tx1"/>
            </w14:solidFill>
          </w14:textFill>
        </w:rPr>
        <w:t>因此而发生的</w:t>
      </w:r>
      <w:r>
        <w:rPr>
          <w:rFonts w:ascii="宋体" w:hAnsi="宋体"/>
          <w:color w:val="000000" w:themeColor="text1"/>
          <w:sz w:val="24"/>
          <w:highlight w:val="none"/>
          <w14:textFill>
            <w14:solidFill>
              <w14:schemeClr w14:val="tx1"/>
            </w14:solidFill>
          </w14:textFill>
        </w:rPr>
        <w:t>检测费用由</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乙方不解除合同的，</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（三）装饰装修及设备标准</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该</w:t>
      </w:r>
      <w:r>
        <w:rPr>
          <w:rFonts w:hint="eastAsia" w:ascii="宋体" w:hAnsi="宋体"/>
          <w:color w:val="000000" w:themeColor="text1"/>
          <w:sz w:val="24"/>
          <w:szCs w:val="20"/>
          <w:highlight w:val="none"/>
          <w14:textFill>
            <w14:solidFill>
              <w14:schemeClr w14:val="tx1"/>
            </w14:solidFill>
          </w14:textFill>
        </w:rPr>
        <w:t>共有产权住房应当使用合格的</w:t>
      </w:r>
      <w:r>
        <w:rPr>
          <w:rFonts w:ascii="宋体" w:hAnsi="宋体"/>
          <w:color w:val="000000" w:themeColor="text1"/>
          <w:sz w:val="24"/>
          <w:szCs w:val="20"/>
          <w:highlight w:val="none"/>
          <w14:textFill>
            <w14:solidFill>
              <w14:schemeClr w14:val="tx1"/>
            </w14:solidFill>
          </w14:textFill>
        </w:rPr>
        <w:t>建筑材料、构配件</w:t>
      </w:r>
      <w:r>
        <w:rPr>
          <w:rFonts w:hint="eastAsia" w:ascii="宋体" w:hAnsi="宋体"/>
          <w:color w:val="000000" w:themeColor="text1"/>
          <w:sz w:val="24"/>
          <w:szCs w:val="20"/>
          <w:highlight w:val="none"/>
          <w14:textFill>
            <w14:solidFill>
              <w14:schemeClr w14:val="tx1"/>
            </w14:solidFill>
          </w14:textFill>
        </w:rPr>
        <w:t>和设备，装置、装修、装饰所用材料的产品质量必须符合国家和本市</w:t>
      </w:r>
      <w:r>
        <w:rPr>
          <w:rFonts w:hint="eastAsia" w:ascii="宋体" w:hAnsi="宋体"/>
          <w:color w:val="000000" w:themeColor="text1"/>
          <w:sz w:val="24"/>
          <w:highlight w:val="none"/>
          <w14:textFill>
            <w14:solidFill>
              <w14:schemeClr w14:val="tx1"/>
            </w14:solidFill>
          </w14:textFill>
        </w:rPr>
        <w:t>关于质量、安全、节能、绿色建筑等方面</w:t>
      </w:r>
      <w:r>
        <w:rPr>
          <w:rFonts w:hint="eastAsia" w:ascii="宋体" w:hAnsi="宋体"/>
          <w:color w:val="000000" w:themeColor="text1"/>
          <w:sz w:val="24"/>
          <w:szCs w:val="20"/>
          <w:highlight w:val="none"/>
          <w14:textFill>
            <w14:solidFill>
              <w14:schemeClr w14:val="tx1"/>
            </w14:solidFill>
          </w14:textFill>
        </w:rPr>
        <w:t>的强制性标准及</w:t>
      </w:r>
      <w:r>
        <w:rPr>
          <w:rFonts w:ascii="宋体" w:hAnsi="宋体"/>
          <w:color w:val="000000" w:themeColor="text1"/>
          <w:sz w:val="24"/>
          <w:szCs w:val="20"/>
          <w:highlight w:val="none"/>
          <w14:textFill>
            <w14:solidFill>
              <w14:schemeClr w14:val="tx1"/>
            </w14:solidFill>
          </w14:textFill>
        </w:rPr>
        <w:t>双方约定的标准</w:t>
      </w:r>
      <w:r>
        <w:rPr>
          <w:rFonts w:hint="eastAsia" w:ascii="宋体" w:hAnsi="宋体"/>
          <w:color w:val="000000" w:themeColor="text1"/>
          <w:sz w:val="24"/>
          <w:szCs w:val="20"/>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经质量检测机构检测，</w:t>
      </w:r>
      <w:r>
        <w:rPr>
          <w:rFonts w:hint="eastAsia" w:ascii="宋体" w:hAnsi="宋体"/>
          <w:color w:val="000000" w:themeColor="text1"/>
          <w:sz w:val="24"/>
          <w:szCs w:val="20"/>
          <w:highlight w:val="none"/>
          <w14:textFill>
            <w14:solidFill>
              <w14:schemeClr w14:val="tx1"/>
            </w14:solidFill>
          </w14:textFill>
        </w:rPr>
        <w:t>不符合上述</w:t>
      </w:r>
      <w:r>
        <w:rPr>
          <w:rFonts w:ascii="宋体" w:hAnsi="宋体"/>
          <w:color w:val="000000" w:themeColor="text1"/>
          <w:sz w:val="24"/>
          <w:szCs w:val="20"/>
          <w:highlight w:val="none"/>
          <w14:textFill>
            <w14:solidFill>
              <w14:schemeClr w14:val="tx1"/>
            </w14:solidFill>
          </w14:textFill>
        </w:rPr>
        <w:t>标准的，</w:t>
      </w:r>
      <w:r>
        <w:rPr>
          <w:rFonts w:hint="eastAsia" w:ascii="宋体" w:hAnsi="宋体"/>
          <w:color w:val="000000" w:themeColor="text1"/>
          <w:sz w:val="24"/>
          <w:szCs w:val="20"/>
          <w:highlight w:val="none"/>
          <w14:textFill>
            <w14:solidFill>
              <w14:schemeClr w14:val="tx1"/>
            </w14:solidFill>
          </w14:textFill>
        </w:rPr>
        <w:t>乙方有权要求甲方</w:t>
      </w:r>
      <w:r>
        <w:rPr>
          <w:rFonts w:ascii="宋体" w:hAnsi="宋体"/>
          <w:color w:val="000000" w:themeColor="text1"/>
          <w:sz w:val="24"/>
          <w:szCs w:val="20"/>
          <w:highlight w:val="none"/>
          <w14:textFill>
            <w14:solidFill>
              <w14:schemeClr w14:val="tx1"/>
            </w14:solidFill>
          </w14:textFill>
        </w:rPr>
        <w:t>按照下列</w:t>
      </w:r>
      <w:r>
        <w:rPr>
          <w:rFonts w:hint="eastAsia" w:ascii="宋体" w:hAnsi="宋体"/>
          <w:color w:val="000000" w:themeColor="text1"/>
          <w:sz w:val="24"/>
          <w:szCs w:val="20"/>
          <w:highlight w:val="none"/>
          <w14:textFill>
            <w14:solidFill>
              <w14:schemeClr w14:val="tx1"/>
            </w14:solidFill>
          </w14:textFill>
        </w:rPr>
        <w:t>第1、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方式处理</w:t>
      </w:r>
      <w:r>
        <w:rPr>
          <w:rFonts w:hint="eastAsia" w:ascii="宋体" w:hAnsi="宋体"/>
          <w:color w:val="000000" w:themeColor="text1"/>
          <w:sz w:val="24"/>
          <w:szCs w:val="20"/>
          <w:highlight w:val="none"/>
          <w14:textFill>
            <w14:solidFill>
              <w14:schemeClr w14:val="tx1"/>
            </w14:solidFill>
          </w14:textFill>
        </w:rPr>
        <w:t>（可多选）</w:t>
      </w:r>
      <w:r>
        <w:rPr>
          <w:rFonts w:ascii="宋体" w:hAnsi="宋体"/>
          <w:color w:val="000000" w:themeColor="text1"/>
          <w:sz w:val="24"/>
          <w:szCs w:val="20"/>
          <w:highlight w:val="none"/>
          <w14:textFill>
            <w14:solidFill>
              <w14:schemeClr w14:val="tx1"/>
            </w14:solidFill>
          </w14:textFill>
        </w:rPr>
        <w:t>：</w:t>
      </w:r>
    </w:p>
    <w:p>
      <w:pPr>
        <w:widowControl/>
        <w:spacing w:line="360" w:lineRule="auto"/>
        <w:ind w:firstLine="48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.及时更换、修理</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p>
    <w:p>
      <w:pPr>
        <w:widowControl/>
        <w:spacing w:line="360" w:lineRule="auto"/>
        <w:ind w:firstLine="480"/>
        <w:jc w:val="left"/>
        <w:outlineLvl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w:t>
      </w:r>
      <w:r>
        <w:rPr>
          <w:rFonts w:ascii="宋体" w:hAnsi="宋体"/>
          <w:color w:val="000000" w:themeColor="text1"/>
          <w:sz w:val="24"/>
          <w:highlight w:val="none"/>
          <w14:textFill>
            <w14:solidFill>
              <w14:schemeClr w14:val="tx1"/>
            </w14:solidFill>
          </w14:textFill>
        </w:rPr>
        <w:t>赔偿双倍的装饰、设备差价</w:t>
      </w:r>
      <w:r>
        <w:rPr>
          <w:rFonts w:hint="eastAsia" w:ascii="宋体" w:hAnsi="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szCs w:val="20"/>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widowControl/>
        <w:spacing w:line="360" w:lineRule="auto"/>
        <w:ind w:firstLine="420" w:firstLineChars="200"/>
        <w:jc w:val="left"/>
        <w:rPr>
          <w:rFonts w:ascii="宋体" w:hAnsi="宋体"/>
          <w:color w:val="000000" w:themeColor="text1"/>
          <w:sz w:val="24"/>
          <w:highlight w:val="none"/>
          <w14:textFill>
            <w14:solidFill>
              <w14:schemeClr w14:val="tx1"/>
            </w14:solidFill>
          </w14:textFill>
        </w:rPr>
      </w:pPr>
      <w:r>
        <w:rPr>
          <w:color w:val="000000" w:themeColor="text1"/>
          <w:szCs w:val="18"/>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甲方应在项目摇号前，将装修菜单内容进行公示，并配备样板间。样板间应向全体乙方开放，并保留至交房后六个月，其使用的材料、部品、设备等应当与本合同约定一致。</w:t>
      </w:r>
      <w:r>
        <w:rPr>
          <w:color w:val="000000" w:themeColor="text1"/>
          <w:szCs w:val="18"/>
          <w:highlight w:val="none"/>
          <w14:textFill>
            <w14:solidFill>
              <w14:schemeClr w14:val="tx1"/>
            </w14:solidFill>
          </w14:textFill>
        </w:rPr>
        <w:t>】</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具体装饰</w:t>
      </w:r>
      <w:r>
        <w:rPr>
          <w:rFonts w:hint="eastAsia" w:ascii="宋体" w:hAnsi="宋体"/>
          <w:color w:val="000000" w:themeColor="text1"/>
          <w:sz w:val="24"/>
          <w:highlight w:val="none"/>
          <w14:textFill>
            <w14:solidFill>
              <w14:schemeClr w14:val="tx1"/>
            </w14:solidFill>
          </w14:textFill>
        </w:rPr>
        <w:t>装修及相关</w:t>
      </w:r>
      <w:r>
        <w:rPr>
          <w:rFonts w:ascii="宋体" w:hAnsi="宋体"/>
          <w:color w:val="000000" w:themeColor="text1"/>
          <w:sz w:val="24"/>
          <w:highlight w:val="none"/>
          <w14:textFill>
            <w14:solidFill>
              <w14:schemeClr w14:val="tx1"/>
            </w14:solidFill>
          </w14:textFill>
        </w:rPr>
        <w:t>设备标准的约定见附件</w:t>
      </w:r>
      <w:r>
        <w:rPr>
          <w:rFonts w:hint="eastAsia" w:ascii="宋体" w:hAnsi="宋体"/>
          <w:color w:val="000000" w:themeColor="text1"/>
          <w:sz w:val="24"/>
          <w:highlight w:val="none"/>
          <w14:textFill>
            <w14:solidFill>
              <w14:schemeClr w14:val="tx1"/>
            </w14:solidFill>
          </w14:textFill>
        </w:rPr>
        <w:t>六</w:t>
      </w:r>
      <w:r>
        <w:rPr>
          <w:rFonts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（四）民用建筑节能措施</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1.甲方承诺该共有产权住房在民用建筑节能和绿色建筑方面合格，并</w:t>
      </w:r>
      <w:r>
        <w:rPr>
          <w:rFonts w:hint="eastAsia" w:ascii="宋体" w:hAnsi="宋体"/>
          <w:color w:val="000000" w:themeColor="text1"/>
          <w:sz w:val="24"/>
          <w:highlight w:val="none"/>
          <w14:textFill>
            <w14:solidFill>
              <w14:schemeClr w14:val="tx1"/>
            </w14:solidFill>
          </w14:textFill>
        </w:rPr>
        <w:t>符合</w:t>
      </w:r>
      <w:r>
        <w:rPr>
          <w:rFonts w:hint="eastAsia"/>
          <w:color w:val="000000" w:themeColor="text1"/>
          <w:sz w:val="24"/>
          <w:highlight w:val="none"/>
          <w14:textFill>
            <w14:solidFill>
              <w14:schemeClr w14:val="tx1"/>
            </w14:solidFill>
          </w14:textFill>
        </w:rPr>
        <w:t>国家、本市及相关行业标准。</w:t>
      </w:r>
      <w:r>
        <w:rPr>
          <w:rFonts w:hint="eastAsia" w:ascii="宋体" w:hAnsi="宋体"/>
          <w:color w:val="000000" w:themeColor="text1"/>
          <w:sz w:val="24"/>
          <w:highlight w:val="none"/>
          <w14:textFill>
            <w14:solidFill>
              <w14:schemeClr w14:val="tx1"/>
            </w14:solidFill>
          </w14:textFill>
        </w:rPr>
        <w:t>经质量检测机构检测，</w:t>
      </w:r>
      <w:r>
        <w:rPr>
          <w:rFonts w:hint="eastAsia" w:ascii="宋体" w:hAnsi="宋体"/>
          <w:color w:val="000000" w:themeColor="text1"/>
          <w:sz w:val="24"/>
          <w:szCs w:val="20"/>
          <w:highlight w:val="none"/>
          <w14:textFill>
            <w14:solidFill>
              <w14:schemeClr w14:val="tx1"/>
            </w14:solidFill>
          </w14:textFill>
        </w:rPr>
        <w:t>未达到标准的，甲方应当按照相应标准要求补做节能措施，并承担全部费用；给乙方造成损失的，甲方应当承担相应赔偿责任。</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绿色建筑执行标准及星级情况</w:t>
      </w:r>
    </w:p>
    <w:p>
      <w:pPr>
        <w:widowControl/>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绿色建筑符合【国家】</w:t>
      </w:r>
      <w:r>
        <w:rPr>
          <w:rFonts w:hint="eastAsia" w:ascii="宋体" w:hAnsi="宋体"/>
          <w:color w:val="000000" w:themeColor="text1"/>
          <w:sz w:val="24"/>
          <w:highlight w:val="none"/>
          <w14:textFill>
            <w14:solidFill>
              <w14:schemeClr w14:val="tx1"/>
            </w14:solidFill>
          </w14:textFill>
        </w:rPr>
        <w:t>【地方】</w:t>
      </w:r>
      <w:r>
        <w:rPr>
          <w:rFonts w:hint="eastAsia" w:ascii="宋体" w:hAnsi="宋体"/>
          <w:color w:val="000000" w:themeColor="text1"/>
          <w:sz w:val="24"/>
          <w:szCs w:val="20"/>
          <w:highlight w:val="none"/>
          <w14:textFill>
            <w14:solidFill>
              <w14:schemeClr w14:val="tx1"/>
            </w14:solidFill>
          </w14:textFill>
        </w:rPr>
        <w:t>标准，标准名称：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，标准文号：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绿色建筑星级等级：【一星级】【二星级】【三星级】。</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（2）建筑节能设计标准</w:t>
      </w:r>
    </w:p>
    <w:p>
      <w:pPr>
        <w:widowControl/>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符合【国家】</w:t>
      </w:r>
      <w:r>
        <w:rPr>
          <w:rFonts w:hint="eastAsia" w:ascii="宋体" w:hAnsi="宋体"/>
          <w:color w:val="000000" w:themeColor="text1"/>
          <w:sz w:val="24"/>
          <w:highlight w:val="none"/>
          <w14:textFill>
            <w14:solidFill>
              <w14:schemeClr w14:val="tx1"/>
            </w14:solidFill>
          </w14:textFill>
        </w:rPr>
        <w:t>【地方】</w:t>
      </w:r>
      <w:r>
        <w:rPr>
          <w:rFonts w:hint="eastAsia" w:ascii="宋体" w:hAnsi="宋体"/>
          <w:color w:val="000000" w:themeColor="text1"/>
          <w:sz w:val="24"/>
          <w:szCs w:val="20"/>
          <w:highlight w:val="none"/>
          <w14:textFill>
            <w14:solidFill>
              <w14:schemeClr w14:val="tx1"/>
            </w14:solidFill>
          </w14:textFill>
        </w:rPr>
        <w:t>标准，标准名称：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，标准文号：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lang w:eastAsia="zh-CN"/>
          <w14:textFill>
            <w14:solidFill>
              <w14:schemeClr w14:val="tx1"/>
            </w14:solidFill>
          </w14:textFill>
        </w:rPr>
        <w:t>。</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【是】【否】超低能耗建筑，标准名称：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,标准文号</w:t>
      </w:r>
      <w:r>
        <w:rPr>
          <w:rFonts w:hint="eastAsia" w:ascii="宋体" w:hAnsi="宋体"/>
          <w:color w:val="000000" w:themeColor="text1"/>
          <w:sz w:val="24"/>
          <w:highlight w:val="none"/>
          <w:u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供暖系统形式：【集中采暖】【分户采暖】【</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】；供暖单位：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室内系统：【散热器】【地面辐射】【顶板辐射】【其他</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供热计量收费方式：</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lang w:eastAsia="zh-CN"/>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可再生能源利用情况：</w:t>
      </w:r>
      <w:r>
        <w:rPr>
          <w:rFonts w:hint="eastAsia" w:ascii="宋体" w:hAnsi="宋体"/>
          <w:color w:val="000000" w:themeColor="text1"/>
          <w:sz w:val="24"/>
          <w:highlight w:val="none"/>
          <w14:textFill>
            <w14:solidFill>
              <w14:schemeClr w14:val="tx1"/>
            </w14:solidFill>
          </w14:textFill>
        </w:rPr>
        <w:t>【太阳能热水】：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；【太阳能光伏发电】：</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；【地源热泵】：</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；【空气源热泵】：</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2.室内空气质量与建筑隔声措施。</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甲方承诺该共有产权住房在室内空气质量方面符合【国家】【地方】标准，标准名称：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，标准文号：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w:t>
      </w:r>
    </w:p>
    <w:p>
      <w:pPr>
        <w:widowControl/>
        <w:spacing w:line="360" w:lineRule="auto"/>
        <w:ind w:right="-76"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该共有产权住房建筑隔声情况符合《民用建筑隔声设计规范》（GB50118）、《住宅设计规范》（DB11/1740）等国家及本市相关隔声标准要求、建筑室内振动符合《住宅建筑室内振动限值及其测量方法标准》（GB/T50355）标准。共有产权住房建筑设计文件所标注的建筑隔声情况、环境影响评价文件所表征的声环境状况及受固定噪声/振动源影响情况见附件七。</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该共有产权住房室内空气质量或建筑隔声情况经质量检测机构检测，不符合标准</w:t>
      </w:r>
      <w:r>
        <w:rPr>
          <w:rFonts w:hint="eastAsia" w:ascii="宋体" w:hAnsi="宋体"/>
          <w:color w:val="000000" w:themeColor="text1"/>
          <w:sz w:val="24"/>
          <w:highlight w:val="none"/>
          <w14:textFill>
            <w14:solidFill>
              <w14:schemeClr w14:val="tx1"/>
            </w14:solidFill>
          </w14:textFill>
        </w:rPr>
        <w:t>或附件七所列情况与事实不符的</w:t>
      </w:r>
      <w:r>
        <w:rPr>
          <w:rFonts w:hint="eastAsia" w:ascii="宋体" w:hAnsi="宋体"/>
          <w:color w:val="000000" w:themeColor="text1"/>
          <w:sz w:val="24"/>
          <w:szCs w:val="20"/>
          <w:highlight w:val="none"/>
          <w14:textFill>
            <w14:solidFill>
              <w14:schemeClr w14:val="tx1"/>
            </w14:solidFill>
          </w14:textFill>
        </w:rPr>
        <w:t>，由甲方负责整改，整改后仍不符合标准的，乙方有权解除合同。乙方解除合同的，应当书面通知甲方</w:t>
      </w:r>
      <w:r>
        <w:rPr>
          <w:rFonts w:hint="eastAsia" w:ascii="宋体" w:hAnsi="宋体"/>
          <w:color w:val="000000" w:themeColor="text1"/>
          <w:sz w:val="24"/>
          <w:szCs w:val="20"/>
          <w:highlight w:val="none"/>
          <w:lang w:eastAsia="zh-CN"/>
          <w14:textFill>
            <w14:solidFill>
              <w14:schemeClr w14:val="tx1"/>
            </w14:solidFill>
          </w14:textFill>
        </w:rPr>
        <w:t>、丙方</w:t>
      </w:r>
      <w:r>
        <w:rPr>
          <w:rFonts w:hint="eastAsia" w:ascii="宋体" w:hAnsi="宋体"/>
          <w:color w:val="000000" w:themeColor="text1"/>
          <w:sz w:val="24"/>
          <w:szCs w:val="20"/>
          <w:highlight w:val="none"/>
          <w14:textFill>
            <w14:solidFill>
              <w14:schemeClr w14:val="tx1"/>
            </w14:solidFill>
          </w14:textFill>
        </w:rPr>
        <w:t>。甲方应当自解除合同通知送达之日起</w:t>
      </w:r>
      <w:r>
        <w:rPr>
          <w:rFonts w:hint="eastAsia" w:ascii="宋体" w:hAnsi="宋体"/>
          <w:color w:val="000000" w:themeColor="text1"/>
          <w:sz w:val="24"/>
          <w:szCs w:val="20"/>
          <w:highlight w:val="none"/>
          <w:lang w:val="en-US" w:eastAsia="zh-CN"/>
          <w14:textFill>
            <w14:solidFill>
              <w14:schemeClr w14:val="tx1"/>
            </w14:solidFill>
          </w14:textFill>
        </w:rPr>
        <w:t>15</w:t>
      </w:r>
      <w:r>
        <w:rPr>
          <w:rFonts w:hint="eastAsia" w:ascii="宋体" w:hAnsi="宋体"/>
          <w:color w:val="000000" w:themeColor="text1"/>
          <w:sz w:val="24"/>
          <w:szCs w:val="20"/>
          <w:highlight w:val="none"/>
          <w14:textFill>
            <w14:solidFill>
              <w14:schemeClr w14:val="tx1"/>
            </w14:solidFill>
          </w14:textFill>
        </w:rPr>
        <w:t>日内退还乙方已付全部房价款（含已付贷款部分），并自乙方付款之日起，按照</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不低于同期全国银行间同业拆借中心公布的一年期贷款市场报价利率）计算给付利息。给乙方造成损失的，由甲方承担相应赔偿责任。经检测不符合标准的，检测费用由甲方承担，整改后再次检测发生的费用仍由甲方承担。因整改导致该共有产权住房逾期交付的，甲方应当</w:t>
      </w:r>
      <w:r>
        <w:rPr>
          <w:rFonts w:hint="eastAsia" w:ascii="宋体" w:hAnsi="宋体"/>
          <w:color w:val="000000" w:themeColor="text1"/>
          <w:sz w:val="24"/>
          <w:highlight w:val="none"/>
          <w14:textFill>
            <w14:solidFill>
              <w14:schemeClr w14:val="tx1"/>
            </w14:solidFill>
          </w14:textFill>
        </w:rPr>
        <w:t>按照本合同第十二条约定</w:t>
      </w:r>
      <w:r>
        <w:rPr>
          <w:rFonts w:hint="eastAsia" w:ascii="宋体" w:hAnsi="宋体"/>
          <w:color w:val="000000" w:themeColor="text1"/>
          <w:sz w:val="24"/>
          <w:szCs w:val="20"/>
          <w:highlight w:val="none"/>
          <w14:textFill>
            <w14:solidFill>
              <w14:schemeClr w14:val="tx1"/>
            </w14:solidFill>
          </w14:textFill>
        </w:rPr>
        <w:t>承担逾期交付责任。</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第十四条 </w:t>
      </w:r>
      <w:r>
        <w:rPr>
          <w:rFonts w:ascii="宋体" w:hAnsi="宋体"/>
          <w:b/>
          <w:bCs/>
          <w:color w:val="000000" w:themeColor="text1"/>
          <w:sz w:val="24"/>
          <w:highlight w:val="none"/>
          <w14:textFill>
            <w14:solidFill>
              <w14:schemeClr w14:val="tx1"/>
            </w14:solidFill>
          </w14:textFill>
        </w:rPr>
        <w:t xml:space="preserve"> 保修责任 </w:t>
      </w:r>
    </w:p>
    <w:p>
      <w:pPr>
        <w:widowControl/>
        <w:spacing w:line="360" w:lineRule="auto"/>
        <w:ind w:firstLine="480" w:firstLineChars="200"/>
        <w:jc w:val="left"/>
        <w:rPr>
          <w:rFonts w:hint="eastAsia"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lang w:val="en-US" w:eastAsia="zh-CN"/>
          <w14:textFill>
            <w14:solidFill>
              <w14:schemeClr w14:val="tx1"/>
            </w14:solidFill>
          </w14:textFill>
        </w:rPr>
        <w:t>（一）共有产权住房实行质量保修制度。甲方应当在建设工程质量保修范围和保修期限内履行保修义务。甲方自该共有产权住房交付之日起，</w:t>
      </w:r>
      <w:r>
        <w:rPr>
          <w:rFonts w:hint="eastAsia" w:ascii="宋体" w:hAnsi="宋体" w:eastAsia="宋体" w:cs="Times New Roman"/>
          <w:b w:val="0"/>
          <w:bCs w:val="0"/>
          <w:color w:val="000000" w:themeColor="text1"/>
          <w:sz w:val="24"/>
          <w:szCs w:val="20"/>
          <w:highlight w:val="none"/>
          <w:u w:val="none"/>
          <w:lang w:val="en-US" w:eastAsia="zh-CN"/>
          <w14:textFill>
            <w14:solidFill>
              <w14:schemeClr w14:val="tx1"/>
            </w14:solidFill>
          </w14:textFill>
        </w:rPr>
        <w:t>按照</w:t>
      </w:r>
      <w:r>
        <w:rPr>
          <w:rFonts w:hint="eastAsia" w:ascii="宋体" w:hAnsi="宋体" w:eastAsia="宋体" w:cs="Times New Roman"/>
          <w:b w:val="0"/>
          <w:bCs w:val="0"/>
          <w:i w:val="0"/>
          <w:iCs w:val="0"/>
          <w:color w:val="000000" w:themeColor="text1"/>
          <w:sz w:val="24"/>
          <w:szCs w:val="20"/>
          <w:highlight w:val="none"/>
          <w:u w:val="none"/>
          <w:lang w:val="en-US" w:eastAsia="zh-CN"/>
          <w14:textFill>
            <w14:solidFill>
              <w14:schemeClr w14:val="tx1"/>
            </w14:solidFill>
          </w14:textFill>
        </w:rPr>
        <w:t>附件八约定</w:t>
      </w:r>
      <w:r>
        <w:rPr>
          <w:rFonts w:hint="eastAsia" w:ascii="宋体" w:hAnsi="宋体" w:eastAsia="宋体" w:cs="Times New Roman"/>
          <w:b w:val="0"/>
          <w:bCs w:val="0"/>
          <w:color w:val="000000" w:themeColor="text1"/>
          <w:sz w:val="24"/>
          <w:szCs w:val="20"/>
          <w:highlight w:val="none"/>
          <w:u w:val="none"/>
          <w:lang w:val="en-US" w:eastAsia="zh-CN"/>
          <w14:textFill>
            <w14:solidFill>
              <w14:schemeClr w14:val="tx1"/>
            </w14:solidFill>
          </w14:textFill>
        </w:rPr>
        <w:t>和《北京市住宅工程质量保证书》承诺的内容承担相应的保修责任</w:t>
      </w:r>
      <w:r>
        <w:rPr>
          <w:rFonts w:hint="eastAsia" w:ascii="宋体" w:hAnsi="宋体" w:eastAsia="宋体" w:cs="Times New Roman"/>
          <w:color w:val="000000" w:themeColor="text1"/>
          <w:sz w:val="24"/>
          <w:szCs w:val="20"/>
          <w:highlight w:val="none"/>
          <w:lang w:val="en-US" w:eastAsia="zh-CN"/>
          <w14:textFill>
            <w14:solidFill>
              <w14:schemeClr w14:val="tx1"/>
            </w14:solidFill>
          </w14:textFill>
        </w:rPr>
        <w:t>。《北京市住宅工程质量保证书》中关于工程质量保修范围、保修期限及保修要求等不得低于国家和本市有关法律法规的规定。</w:t>
      </w:r>
    </w:p>
    <w:p>
      <w:pPr>
        <w:widowControl/>
        <w:spacing w:line="360" w:lineRule="auto"/>
        <w:ind w:firstLine="480" w:firstLineChars="200"/>
        <w:jc w:val="left"/>
        <w:rPr>
          <w:rFonts w:hint="eastAsia"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（二）</w:t>
      </w:r>
      <w:r>
        <w:rPr>
          <w:rFonts w:hint="eastAsia" w:ascii="宋体" w:hAnsi="宋体"/>
          <w:color w:val="000000" w:themeColor="text1"/>
          <w:sz w:val="24"/>
          <w:szCs w:val="20"/>
          <w:highlight w:val="none"/>
          <w14:textFill>
            <w14:solidFill>
              <w14:schemeClr w14:val="tx1"/>
            </w14:solidFill>
          </w14:textFill>
        </w:rPr>
        <w:t>甲方应当按照北京市有关规定投保建设工程质量潜在</w:t>
      </w:r>
      <w:r>
        <w:rPr>
          <w:rFonts w:hint="eastAsia" w:ascii="宋体" w:hAnsi="宋体"/>
          <w:color w:val="000000" w:themeColor="text1"/>
          <w:sz w:val="24"/>
          <w:highlight w:val="none"/>
          <w14:textFill>
            <w14:solidFill>
              <w14:schemeClr w14:val="tx1"/>
            </w14:solidFill>
          </w14:textFill>
        </w:rPr>
        <w:t>缺</w:t>
      </w:r>
      <w:r>
        <w:rPr>
          <w:rFonts w:hint="eastAsia" w:ascii="宋体" w:hAnsi="宋体"/>
          <w:color w:val="000000" w:themeColor="text1"/>
          <w:sz w:val="24"/>
          <w:szCs w:val="20"/>
          <w:highlight w:val="none"/>
          <w14:textFill>
            <w14:solidFill>
              <w14:schemeClr w14:val="tx1"/>
            </w14:solidFill>
          </w14:textFill>
        </w:rPr>
        <w:t>陷责任保险。与保险公司签订书面保险合同，并在销售区域给予公示，并在乙方办理房屋交付手续时，将《工程质量潜在缺陷保险告知书》交付乙方。保险范围包括地基基础和主体结构工程、保温和防水工程，地基基础和主体结构的保险期间为10年，保温和防水工程的保险期间为5年。</w:t>
      </w:r>
      <w:r>
        <w:rPr>
          <w:rFonts w:hint="eastAsia" w:ascii="宋体" w:hAnsi="宋体"/>
          <w:color w:val="000000" w:themeColor="text1"/>
          <w:sz w:val="24"/>
          <w:szCs w:val="20"/>
          <w:highlight w:val="none"/>
          <w:lang w:eastAsia="zh-CN"/>
          <w14:textFill>
            <w14:solidFill>
              <w14:schemeClr w14:val="tx1"/>
            </w14:solidFill>
          </w14:textFill>
        </w:rPr>
        <w:t>甲方</w:t>
      </w:r>
      <w:r>
        <w:rPr>
          <w:rFonts w:hint="eastAsia" w:ascii="宋体" w:hAnsi="宋体"/>
          <w:color w:val="000000" w:themeColor="text1"/>
          <w:sz w:val="24"/>
          <w:szCs w:val="20"/>
          <w:highlight w:val="none"/>
          <w14:textFill>
            <w14:solidFill>
              <w14:schemeClr w14:val="tx1"/>
            </w14:solidFill>
          </w14:textFill>
        </w:rPr>
        <w:t>在房屋销售前，应当按照北京市有关规定办理住宅工程质量保修担保。</w:t>
      </w:r>
    </w:p>
    <w:p>
      <w:pPr>
        <w:spacing w:line="360" w:lineRule="auto"/>
        <w:ind w:right="105" w:rightChars="50" w:firstLine="480" w:firstLineChars="200"/>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三</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下列情形，甲方不承担保修责任：</w:t>
      </w:r>
    </w:p>
    <w:p>
      <w:pPr>
        <w:spacing w:line="360" w:lineRule="auto"/>
        <w:ind w:right="105" w:rightChar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1.因不可抗力造成的房屋及其附属设施的损害</w:t>
      </w:r>
      <w:r>
        <w:rPr>
          <w:rFonts w:hint="eastAsia" w:ascii="宋体" w:hAnsi="宋体"/>
          <w:color w:val="000000" w:themeColor="text1"/>
          <w:sz w:val="24"/>
          <w:szCs w:val="20"/>
          <w:highlight w:val="none"/>
          <w:lang w:eastAsia="zh-CN"/>
          <w14:textFill>
            <w14:solidFill>
              <w14:schemeClr w14:val="tx1"/>
            </w14:solidFill>
          </w14:textFill>
        </w:rPr>
        <w:t>。</w:t>
      </w:r>
    </w:p>
    <w:p>
      <w:pPr>
        <w:spacing w:line="360" w:lineRule="auto"/>
        <w:ind w:right="105" w:rightChars="50" w:firstLine="48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2.因乙方不当使用造成的房屋及其附属设施的损害</w:t>
      </w:r>
      <w:r>
        <w:rPr>
          <w:rFonts w:hint="eastAsia" w:ascii="宋体" w:hAnsi="宋体"/>
          <w:color w:val="000000" w:themeColor="text1"/>
          <w:sz w:val="24"/>
          <w:szCs w:val="20"/>
          <w:highlight w:val="none"/>
          <w:lang w:eastAsia="zh-CN"/>
          <w14:textFill>
            <w14:solidFill>
              <w14:schemeClr w14:val="tx1"/>
            </w14:solidFill>
          </w14:textFill>
        </w:rPr>
        <w:t>。</w:t>
      </w:r>
    </w:p>
    <w:p>
      <w:pPr>
        <w:spacing w:line="360" w:lineRule="auto"/>
        <w:ind w:right="105" w:rightChars="50" w:firstLine="48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w:t>
      </w:r>
      <w:r>
        <w:rPr>
          <w:rFonts w:hint="eastAsia" w:ascii="宋体" w:hAnsi="宋体"/>
          <w:color w:val="000000" w:themeColor="text1"/>
          <w:sz w:val="24"/>
          <w:szCs w:val="20"/>
          <w:highlight w:val="none"/>
          <w:u w:val="singl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w:t>
      </w:r>
    </w:p>
    <w:p>
      <w:pPr>
        <w:widowControl/>
        <w:spacing w:line="360" w:lineRule="auto"/>
        <w:ind w:right="0" w:rightChars="0" w:firstLine="480" w:firstLineChars="200"/>
        <w:jc w:val="left"/>
        <w:rPr>
          <w:rFonts w:hint="eastAsia"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因第2项原因造成房屋及附属设施损害的，丙方有权要求乙方修复房屋，并承担全部维修费用。</w:t>
      </w:r>
    </w:p>
    <w:p>
      <w:pPr>
        <w:spacing w:line="360" w:lineRule="auto"/>
        <w:ind w:firstLine="480" w:firstLineChars="200"/>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（四）在保修期内，乙方要求维修的书面通知送达甲方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日内，甲方既不履行保修义务也不提出书面异议的，乙方可以自行或委托他人进行维修，维修费用及维修期间造成的其他损失由甲方承担。对于紧急情况维修的，乙方与甲方可通过协商处理，</w:t>
      </w:r>
      <w:r>
        <w:rPr>
          <w:rFonts w:hint="eastAsia" w:ascii="宋体" w:hAnsi="宋体"/>
          <w:color w:val="000000" w:themeColor="text1"/>
          <w:sz w:val="24"/>
          <w:szCs w:val="20"/>
          <w:highlight w:val="none"/>
          <w:u w:val="singl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w:t>
      </w:r>
    </w:p>
    <w:p>
      <w:pPr>
        <w:spacing w:line="360" w:lineRule="auto"/>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 xml:space="preserve">    第十五条  质量担保</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甲方不按照第十三条、第十四条约定承担相关责任的，由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承担连带责任。</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关于质量担保的具体约定见附件九。</w:t>
      </w:r>
    </w:p>
    <w:p>
      <w:pPr>
        <w:tabs>
          <w:tab w:val="left" w:pos="420"/>
        </w:tabs>
        <w:spacing w:line="360" w:lineRule="auto"/>
        <w:textAlignment w:val="baseline"/>
        <w:rPr>
          <w:rFonts w:hint="eastAsia"/>
          <w:color w:val="000000" w:themeColor="text1"/>
          <w:highlight w:val="none"/>
          <w14:textFill>
            <w14:solidFill>
              <w14:schemeClr w14:val="tx1"/>
            </w14:solidFill>
          </w14:textFill>
        </w:rPr>
      </w:pPr>
    </w:p>
    <w:p>
      <w:pPr>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第六章  不动产登记</w:t>
      </w:r>
    </w:p>
    <w:p>
      <w:pPr>
        <w:widowControl/>
        <w:spacing w:line="360" w:lineRule="auto"/>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第十六条  不动产登记</w:t>
      </w:r>
    </w:p>
    <w:p>
      <w:pPr>
        <w:pStyle w:val="11"/>
        <w:shd w:val="clear" w:color="auto" w:fill="FFFFFF"/>
        <w:spacing w:before="0" w:beforeAutospacing="0" w:after="0" w:afterAutospacing="0" w:line="540" w:lineRule="exact"/>
        <w:ind w:firstLine="48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（一）甲方和乙方、丙方共同向不动产登记机构申请办理</w:t>
      </w:r>
      <w:r>
        <w:rPr>
          <w:rFonts w:hint="eastAsia"/>
          <w:color w:val="000000" w:themeColor="text1"/>
          <w:highlight w:val="none"/>
          <w:lang w:eastAsia="zh-CN"/>
          <w14:textFill>
            <w14:solidFill>
              <w14:schemeClr w14:val="tx1"/>
            </w14:solidFill>
          </w14:textFill>
        </w:rPr>
        <w:t>该共有产权住房的</w:t>
      </w:r>
      <w:r>
        <w:rPr>
          <w:rFonts w:hint="eastAsia"/>
          <w:color w:val="000000" w:themeColor="text1"/>
          <w:highlight w:val="none"/>
          <w14:textFill>
            <w14:solidFill>
              <w14:schemeClr w14:val="tx1"/>
            </w14:solidFill>
          </w14:textFill>
        </w:rPr>
        <w:t>不动产转移登记。</w:t>
      </w:r>
    </w:p>
    <w:p>
      <w:pPr>
        <w:pStyle w:val="11"/>
        <w:shd w:val="clear" w:color="auto" w:fill="FFFFFF"/>
        <w:spacing w:before="0" w:beforeAutospacing="0" w:after="0" w:afterAutospacing="0" w:line="54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办理所有权初始登记或不动产首次登记,并办理完毕不动产转移登记备案手续后，乙方和丙方可自行向不动产登记机构申请办理不动产转移登记。房屋交接时，甲方应当将该房屋的房屋登记表、房产平面图各两份交付乙方和丙方。房屋坐落、面积和价款发生变化的，甲方还应当将与乙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丙方签订的补充协议交付乙方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丙方。</w:t>
      </w:r>
    </w:p>
    <w:p>
      <w:pPr>
        <w:autoSpaceDE w:val="0"/>
        <w:autoSpaceDN w:val="0"/>
        <w:adjustRightInd w:val="0"/>
        <w:spacing w:line="360" w:lineRule="auto"/>
        <w:ind w:left="1" w:firstLine="470" w:firstLineChars="196"/>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（二）因甲方的原因，乙方和丙方未能在该共有产权住房交付之日起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日内取得该共有产权住房的不动产权证书的，各方同意按照下列第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种方式处理：</w:t>
      </w:r>
    </w:p>
    <w:p>
      <w:pPr>
        <w:autoSpaceDE w:val="0"/>
        <w:autoSpaceDN w:val="0"/>
        <w:adjustRightInd w:val="0"/>
        <w:spacing w:line="360" w:lineRule="auto"/>
        <w:ind w:left="1" w:firstLine="470" w:firstLineChars="196"/>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丙方</w:t>
      </w:r>
      <w:r>
        <w:rPr>
          <w:rFonts w:hint="eastAsia" w:ascii="宋体" w:hAnsi="宋体"/>
          <w:color w:val="000000" w:themeColor="text1"/>
          <w:sz w:val="24"/>
          <w:highlight w:val="none"/>
          <w:lang w:eastAsia="zh-CN"/>
          <w14:textFill>
            <w14:solidFill>
              <w14:schemeClr w14:val="tx1"/>
            </w14:solidFill>
          </w14:textFill>
        </w:rPr>
        <w:t>任一方</w:t>
      </w:r>
      <w:r>
        <w:rPr>
          <w:rFonts w:hint="eastAsia" w:ascii="宋体" w:hAnsi="宋体"/>
          <w:color w:val="000000" w:themeColor="text1"/>
          <w:sz w:val="24"/>
          <w:highlight w:val="none"/>
          <w14:textFill>
            <w14:solidFill>
              <w14:schemeClr w14:val="tx1"/>
            </w14:solidFill>
          </w14:textFill>
        </w:rPr>
        <w:t>有权解除合同。乙方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丙方</w:t>
      </w:r>
      <w:r>
        <w:rPr>
          <w:rFonts w:hint="eastAsia" w:ascii="宋体" w:hAnsi="宋体"/>
          <w:color w:val="000000" w:themeColor="text1"/>
          <w:sz w:val="24"/>
          <w:highlight w:val="none"/>
          <w:lang w:eastAsia="zh-CN"/>
          <w14:textFill>
            <w14:solidFill>
              <w14:schemeClr w14:val="tx1"/>
            </w14:solidFill>
          </w14:textFill>
        </w:rPr>
        <w:t>任一方</w:t>
      </w:r>
      <w:r>
        <w:rPr>
          <w:rFonts w:hint="eastAsia" w:ascii="宋体" w:hAnsi="宋体"/>
          <w:color w:val="000000" w:themeColor="text1"/>
          <w:sz w:val="24"/>
          <w:highlight w:val="none"/>
          <w14:textFill>
            <w14:solidFill>
              <w14:schemeClr w14:val="tx1"/>
            </w14:solidFill>
          </w14:textFill>
        </w:rPr>
        <w:t>解除合同的，应当书面通知甲方。甲方应当自解除合同通知送达之日起</w:t>
      </w:r>
      <w:r>
        <w:rPr>
          <w:rFonts w:hint="eastAsia" w:ascii="宋体" w:hAnsi="宋体"/>
          <w:color w:val="000000" w:themeColor="text1"/>
          <w:sz w:val="24"/>
          <w:highlight w:val="non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日内退还乙方已付全部房价款（含已付贷款部分） ，并自乙方付款之日起，按照</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%（不低于同期全国银行间同业拆借中心公布的一年期贷款市场报价利率）计算给付利息。</w:t>
      </w:r>
    </w:p>
    <w:p>
      <w:pPr>
        <w:autoSpaceDE w:val="0"/>
        <w:autoSpaceDN w:val="0"/>
        <w:adjustRightInd w:val="0"/>
        <w:spacing w:line="360" w:lineRule="auto"/>
        <w:ind w:left="1" w:firstLine="470" w:firstLineChars="196"/>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丙方不解除合同的，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autoSpaceDE w:val="0"/>
        <w:autoSpaceDN w:val="0"/>
        <w:adjustRightInd w:val="0"/>
        <w:spacing w:line="360" w:lineRule="auto"/>
        <w:ind w:left="1"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（三）因乙方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丙方的原因未能在约定期限内完成</w:t>
      </w:r>
      <w:r>
        <w:rPr>
          <w:rFonts w:hint="eastAsia" w:ascii="宋体" w:hAnsi="宋体"/>
          <w:color w:val="000000" w:themeColor="text1"/>
          <w:sz w:val="24"/>
          <w:highlight w:val="none"/>
          <w:lang w:eastAsia="zh-CN"/>
          <w14:textFill>
            <w14:solidFill>
              <w14:schemeClr w14:val="tx1"/>
            </w14:solidFill>
          </w14:textFill>
        </w:rPr>
        <w:t>该共有产权住房</w:t>
      </w:r>
      <w:r>
        <w:rPr>
          <w:rFonts w:hint="eastAsia" w:ascii="宋体" w:hAnsi="宋体"/>
          <w:color w:val="000000" w:themeColor="text1"/>
          <w:sz w:val="24"/>
          <w:highlight w:val="none"/>
          <w14:textFill>
            <w14:solidFill>
              <w14:schemeClr w14:val="tx1"/>
            </w14:solidFill>
          </w14:textFill>
        </w:rPr>
        <w:t>不动产转移登记的，甲方不承担责任。</w:t>
      </w:r>
    </w:p>
    <w:p>
      <w:pPr>
        <w:spacing w:line="360" w:lineRule="auto"/>
        <w:textAlignment w:val="baseline"/>
        <w:rPr>
          <w:rFonts w:hint="eastAsia"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   </w:t>
      </w:r>
    </w:p>
    <w:p>
      <w:pPr>
        <w:snapToGrid w:val="0"/>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第七章</w:t>
      </w:r>
      <w:r>
        <w:rPr>
          <w:rFonts w:ascii="黑体" w:hAnsi="黑体" w:eastAsia="黑体"/>
          <w:color w:val="000000" w:themeColor="text1"/>
          <w:sz w:val="30"/>
          <w:szCs w:val="30"/>
          <w:highlight w:val="none"/>
          <w14:textFill>
            <w14:solidFill>
              <w14:schemeClr w14:val="tx1"/>
            </w14:solidFill>
          </w14:textFill>
        </w:rPr>
        <w:t xml:space="preserve"> </w:t>
      </w:r>
      <w:r>
        <w:rPr>
          <w:rFonts w:hint="eastAsia" w:ascii="黑体" w:hAnsi="黑体" w:eastAsia="黑体"/>
          <w:color w:val="000000" w:themeColor="text1"/>
          <w:sz w:val="30"/>
          <w:szCs w:val="30"/>
          <w:highlight w:val="none"/>
          <w14:textFill>
            <w14:solidFill>
              <w14:schemeClr w14:val="tx1"/>
            </w14:solidFill>
          </w14:textFill>
        </w:rPr>
        <w:t xml:space="preserve"> </w:t>
      </w:r>
      <w:r>
        <w:rPr>
          <w:rFonts w:hint="eastAsia" w:ascii="黑体" w:hAnsi="黑体" w:eastAsia="黑体"/>
          <w:color w:val="000000" w:themeColor="text1"/>
          <w:sz w:val="30"/>
          <w:szCs w:val="30"/>
          <w:highlight w:val="none"/>
          <w:lang w:eastAsia="zh-CN"/>
          <w14:textFill>
            <w14:solidFill>
              <w14:schemeClr w14:val="tx1"/>
            </w14:solidFill>
          </w14:textFill>
        </w:rPr>
        <w:t>前期</w:t>
      </w:r>
      <w:r>
        <w:rPr>
          <w:rFonts w:hint="eastAsia" w:ascii="黑体" w:hAnsi="黑体" w:eastAsia="黑体"/>
          <w:color w:val="000000" w:themeColor="text1"/>
          <w:sz w:val="30"/>
          <w:szCs w:val="30"/>
          <w:highlight w:val="none"/>
          <w14:textFill>
            <w14:solidFill>
              <w14:schemeClr w14:val="tx1"/>
            </w14:solidFill>
          </w14:textFill>
        </w:rPr>
        <w:t>物业管理</w:t>
      </w:r>
    </w:p>
    <w:p>
      <w:pPr>
        <w:widowControl/>
        <w:spacing w:line="360" w:lineRule="auto"/>
        <w:ind w:firstLine="49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第十七条  </w:t>
      </w:r>
      <w:r>
        <w:rPr>
          <w:rFonts w:hint="eastAsia" w:ascii="宋体" w:hAnsi="宋体" w:eastAsia="宋体" w:cs="宋体"/>
          <w:b/>
          <w:color w:val="000000" w:themeColor="text1"/>
          <w:sz w:val="24"/>
          <w:highlight w:val="none"/>
          <w:lang w:eastAsia="zh-CN"/>
          <w14:textFill>
            <w14:solidFill>
              <w14:schemeClr w14:val="tx1"/>
            </w14:solidFill>
          </w14:textFill>
        </w:rPr>
        <w:t>前期</w:t>
      </w:r>
      <w:r>
        <w:rPr>
          <w:rFonts w:hint="eastAsia" w:ascii="宋体" w:hAnsi="宋体" w:eastAsia="宋体" w:cs="宋体"/>
          <w:b/>
          <w:bCs/>
          <w:color w:val="000000" w:themeColor="text1"/>
          <w:sz w:val="24"/>
          <w:highlight w:val="none"/>
          <w14:textFill>
            <w14:solidFill>
              <w14:schemeClr w14:val="tx1"/>
            </w14:solidFill>
          </w14:textFill>
        </w:rPr>
        <w:t>物业管理</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（一）</w:t>
      </w:r>
      <w:r>
        <w:rPr>
          <w:rFonts w:hint="eastAsia" w:ascii="宋体" w:hAnsi="宋体" w:eastAsia="宋体" w:cs="宋体"/>
          <w:color w:val="000000" w:themeColor="text1"/>
          <w:kern w:val="0"/>
          <w:sz w:val="24"/>
          <w:highlight w:val="none"/>
          <w14:textFill>
            <w14:solidFill>
              <w14:schemeClr w14:val="tx1"/>
            </w14:solidFill>
          </w14:textFill>
        </w:rPr>
        <w:t>物业管理区域划分四至为：</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东至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西至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南至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line="360" w:lineRule="auto"/>
        <w:ind w:left="479" w:leftChars="228"/>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北至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物业服务用房建筑面积为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平方米，其中地上建筑面积为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平方米，位于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【号楼】【幢】【座】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号；地下建筑面积为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平方米，位于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【号楼】【幢】【座】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号；其中业主大会及业主委员会办公用房建筑面积为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平方米，位于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【号楼】【幢】【座】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层</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0" w:firstLine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号。（注：物业服务用房为多处时，双方可自行增加以上内容）</w:t>
      </w:r>
    </w:p>
    <w:p>
      <w:pPr>
        <w:numPr>
          <w:ilvl w:val="0"/>
          <w:numId w:val="0"/>
        </w:num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物业服务期限自</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至</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ind w:firstLine="720" w:firstLineChars="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前期物业管理期间，本物业管理区域内的物业服务费标准为：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元/平方米·月。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三）该共有产权住房与商品住房分区域实施物业管理的，甲方应当按照本市规划设计指标，分区域建设公共建筑和公用设施，分别配套设备设施；实施统一物业管理的，甲方不得通过增设围栏、绿植等方式将同一个物业管理区域内的共有产权住房与商品住房分割。</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（四）</w:t>
      </w:r>
      <w:r>
        <w:rPr>
          <w:rFonts w:hint="eastAsia" w:ascii="宋体" w:hAnsi="宋体" w:eastAsia="宋体" w:cs="宋体"/>
          <w:color w:val="000000" w:themeColor="text1"/>
          <w:kern w:val="0"/>
          <w:sz w:val="24"/>
          <w:highlight w:val="none"/>
          <w14:textFill>
            <w14:solidFill>
              <w14:schemeClr w14:val="tx1"/>
            </w14:solidFill>
          </w14:textFill>
        </w:rPr>
        <w:t>物业管理区域内规划用于停放车辆的车库、车位，甲方承诺按照本市有关规定进行销售，不向本物业管理区域业主以外的其他人销售。甲方出租物业管理区域内规划用于停放车辆的车库、车位的，应当优先出租给本物业管理区域业主。在满足本物业管理区域</w:t>
      </w:r>
      <w:r>
        <w:rPr>
          <w:rFonts w:hint="eastAsia" w:ascii="宋体" w:hAnsi="宋体" w:eastAsia="宋体" w:cs="宋体"/>
          <w:color w:val="000000" w:themeColor="text1"/>
          <w:kern w:val="0"/>
          <w:sz w:val="24"/>
          <w:highlight w:val="none"/>
          <w:lang w:eastAsia="zh-CN"/>
          <w14:textFill>
            <w14:solidFill>
              <w14:schemeClr w14:val="tx1"/>
            </w14:solidFill>
          </w14:textFill>
        </w:rPr>
        <w:t>业主</w:t>
      </w:r>
      <w:r>
        <w:rPr>
          <w:rFonts w:hint="eastAsia" w:ascii="宋体" w:hAnsi="宋体" w:eastAsia="宋体" w:cs="宋体"/>
          <w:color w:val="000000" w:themeColor="text1"/>
          <w:kern w:val="0"/>
          <w:sz w:val="24"/>
          <w:highlight w:val="none"/>
          <w14:textFill>
            <w14:solidFill>
              <w14:schemeClr w14:val="tx1"/>
            </w14:solidFill>
          </w14:textFill>
        </w:rPr>
        <w:t>需要后，甲方可将空余车库、车位临时按月出租给本</w:t>
      </w:r>
      <w:r>
        <w:rPr>
          <w:rFonts w:hint="eastAsia" w:ascii="宋体" w:hAnsi="宋体" w:eastAsia="宋体" w:cs="宋体"/>
          <w:color w:val="000000" w:themeColor="text1"/>
          <w:kern w:val="0"/>
          <w:sz w:val="24"/>
          <w:highlight w:val="none"/>
          <w:lang w:eastAsia="zh-CN"/>
          <w14:textFill>
            <w14:solidFill>
              <w14:schemeClr w14:val="tx1"/>
            </w14:solidFill>
          </w14:textFill>
        </w:rPr>
        <w:t>物业管理</w:t>
      </w:r>
      <w:r>
        <w:rPr>
          <w:rFonts w:hint="eastAsia" w:ascii="宋体" w:hAnsi="宋体" w:eastAsia="宋体" w:cs="宋体"/>
          <w:color w:val="000000" w:themeColor="text1"/>
          <w:kern w:val="0"/>
          <w:sz w:val="24"/>
          <w:highlight w:val="none"/>
          <w14:textFill>
            <w14:solidFill>
              <w14:schemeClr w14:val="tx1"/>
            </w14:solidFill>
          </w14:textFill>
        </w:rPr>
        <w:t>区域外的其他人。</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占用该共有产权房所在建筑区划内的道路（属于城镇公共道路的除外）、绿地（属于城镇公共绿地或明示属于个人的除外）、业主共有的道路或其他场地用于停放汽车的车位由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（停车管理单位）负责管理，停车费用为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月，停车收益归全体业主共有；停车管理单位及停车费用调整的，应当由专有部分面积占比三分之二以上的业主且人数占比三分之二以上的业主参与表决，并经参与表决专有部分面积过半数的业主且参与表决人数过半数的业主同意。</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（五）</w:t>
      </w:r>
      <w:r>
        <w:rPr>
          <w:rFonts w:hint="eastAsia" w:ascii="宋体" w:hAnsi="宋体" w:eastAsia="宋体" w:cs="宋体"/>
          <w:color w:val="000000" w:themeColor="text1"/>
          <w:kern w:val="0"/>
          <w:sz w:val="24"/>
          <w:highlight w:val="none"/>
          <w14:textFill>
            <w14:solidFill>
              <w14:schemeClr w14:val="tx1"/>
            </w14:solidFill>
          </w14:textFill>
        </w:rPr>
        <w:t>乙方已详细阅读前期物业服务合同和临时管理规约，同意甲方提供的前期物业服务，遵守临时管理规约。</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业主委员会</w:t>
      </w:r>
      <w:r>
        <w:rPr>
          <w:rFonts w:hint="eastAsia" w:ascii="宋体" w:hAnsi="宋体" w:eastAsia="宋体" w:cs="宋体"/>
          <w:color w:val="000000" w:themeColor="text1"/>
          <w:kern w:val="0"/>
          <w:sz w:val="24"/>
          <w:highlight w:val="none"/>
          <w:lang w:val="en-US" w:eastAsia="zh-CN"/>
          <w14:textFill>
            <w14:solidFill>
              <w14:schemeClr w14:val="tx1"/>
            </w14:solidFill>
          </w14:textFill>
        </w:rPr>
        <w:t>(物业管理委员会）</w:t>
      </w:r>
      <w:r>
        <w:rPr>
          <w:rFonts w:hint="eastAsia" w:ascii="宋体" w:hAnsi="宋体" w:eastAsia="宋体" w:cs="宋体"/>
          <w:color w:val="000000" w:themeColor="text1"/>
          <w:kern w:val="0"/>
          <w:sz w:val="24"/>
          <w:highlight w:val="none"/>
          <w14:textFill>
            <w14:solidFill>
              <w14:schemeClr w14:val="tx1"/>
            </w14:solidFill>
          </w14:textFill>
        </w:rPr>
        <w:t>成立后，由业主大会决定选聘或续聘物业服务企业。</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（六）</w:t>
      </w:r>
      <w:r>
        <w:rPr>
          <w:rFonts w:hint="eastAsia" w:ascii="宋体" w:hAnsi="宋体" w:eastAsia="宋体" w:cs="宋体"/>
          <w:color w:val="000000" w:themeColor="text1"/>
          <w:kern w:val="0"/>
          <w:sz w:val="24"/>
          <w:highlight w:val="none"/>
          <w14:textFill>
            <w14:solidFill>
              <w14:schemeClr w14:val="tx1"/>
            </w14:solidFill>
          </w14:textFill>
        </w:rPr>
        <w:t>甲方应当按照前期物业服务合同的约定承担前期物业服务责任。前期物业服务合同、临时管理规约及其他约定见附件十。</w:t>
      </w:r>
    </w:p>
    <w:p>
      <w:pPr>
        <w:widowControl/>
        <w:spacing w:line="360" w:lineRule="auto"/>
        <w:ind w:firstLine="480"/>
        <w:jc w:val="left"/>
        <w:rPr>
          <w:rFonts w:hint="eastAsia" w:ascii="新宋体" w:hAnsi="新宋体" w:eastAsia="新宋体"/>
          <w:b/>
          <w:bCs/>
          <w:color w:val="000000" w:themeColor="text1"/>
          <w:kern w:val="0"/>
          <w:sz w:val="24"/>
          <w:highlight w:val="none"/>
          <w14:textFill>
            <w14:solidFill>
              <w14:schemeClr w14:val="tx1"/>
            </w14:solidFill>
          </w14:textFill>
        </w:rPr>
      </w:pPr>
      <w:r>
        <w:rPr>
          <w:rFonts w:ascii="新宋体" w:hAnsi="新宋体" w:eastAsia="新宋体"/>
          <w:b/>
          <w:bCs/>
          <w:color w:val="000000" w:themeColor="text1"/>
          <w:kern w:val="0"/>
          <w:sz w:val="24"/>
          <w:highlight w:val="none"/>
          <w14:textFill>
            <w14:solidFill>
              <w14:schemeClr w14:val="tx1"/>
            </w14:solidFill>
          </w14:textFill>
        </w:rPr>
        <w:t>第</w:t>
      </w:r>
      <w:r>
        <w:rPr>
          <w:rFonts w:hint="eastAsia" w:ascii="新宋体" w:hAnsi="新宋体" w:eastAsia="新宋体"/>
          <w:b/>
          <w:bCs/>
          <w:color w:val="000000" w:themeColor="text1"/>
          <w:kern w:val="0"/>
          <w:sz w:val="24"/>
          <w:highlight w:val="none"/>
          <w14:textFill>
            <w14:solidFill>
              <w14:schemeClr w14:val="tx1"/>
            </w14:solidFill>
          </w14:textFill>
        </w:rPr>
        <w:t>十八</w:t>
      </w:r>
      <w:r>
        <w:rPr>
          <w:rFonts w:ascii="新宋体" w:hAnsi="新宋体" w:eastAsia="新宋体"/>
          <w:b/>
          <w:bCs/>
          <w:color w:val="000000" w:themeColor="text1"/>
          <w:kern w:val="0"/>
          <w:sz w:val="24"/>
          <w:highlight w:val="none"/>
          <w14:textFill>
            <w14:solidFill>
              <w14:schemeClr w14:val="tx1"/>
            </w14:solidFill>
          </w14:textFill>
        </w:rPr>
        <w:t>条</w:t>
      </w:r>
      <w:r>
        <w:rPr>
          <w:rFonts w:hint="eastAsia" w:ascii="新宋体" w:hAnsi="新宋体" w:eastAsia="新宋体"/>
          <w:b/>
          <w:bCs/>
          <w:color w:val="000000" w:themeColor="text1"/>
          <w:kern w:val="0"/>
          <w:sz w:val="24"/>
          <w:highlight w:val="none"/>
          <w14:textFill>
            <w14:solidFill>
              <w14:schemeClr w14:val="tx1"/>
            </w14:solidFill>
          </w14:textFill>
        </w:rPr>
        <w:t xml:space="preserve"> </w:t>
      </w:r>
      <w:r>
        <w:rPr>
          <w:rFonts w:ascii="新宋体" w:hAnsi="新宋体" w:eastAsia="新宋体"/>
          <w:b/>
          <w:bCs/>
          <w:color w:val="000000" w:themeColor="text1"/>
          <w:kern w:val="0"/>
          <w:sz w:val="24"/>
          <w:highlight w:val="none"/>
          <w14:textFill>
            <w14:solidFill>
              <w14:schemeClr w14:val="tx1"/>
            </w14:solidFill>
          </w14:textFill>
        </w:rPr>
        <w:t xml:space="preserve"> 专项维修资金 </w:t>
      </w:r>
    </w:p>
    <w:p>
      <w:pPr>
        <w:pStyle w:val="10"/>
        <w:spacing w:before="0" w:beforeAutospacing="0" w:after="0" w:afterAutospacing="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甲方应于办理该共有产权住房首次登记前，到市住房资金管理中心完成商品住宅</w:t>
      </w:r>
      <w:r>
        <w:rPr>
          <w:rFonts w:hint="eastAsia" w:eastAsia="宋体" w:cs="宋体"/>
          <w:bCs/>
          <w:color w:val="000000" w:themeColor="text1"/>
          <w:highlight w:val="none"/>
          <w:lang w:eastAsia="zh-CN"/>
          <w14:textFill>
            <w14:solidFill>
              <w14:schemeClr w14:val="tx1"/>
            </w14:solidFill>
          </w14:textFill>
        </w:rPr>
        <w:t>专项</w:t>
      </w:r>
      <w:r>
        <w:rPr>
          <w:rFonts w:hint="eastAsia" w:ascii="宋体" w:hAnsi="宋体" w:eastAsia="宋体" w:cs="宋体"/>
          <w:bCs/>
          <w:color w:val="000000" w:themeColor="text1"/>
          <w:highlight w:val="none"/>
          <w14:textFill>
            <w14:solidFill>
              <w14:schemeClr w14:val="tx1"/>
            </w14:solidFill>
          </w14:textFill>
        </w:rPr>
        <w:t>维修资金账户建立。乙方应于办理该共有产权住房入住手续（房屋交付日期</w:t>
      </w:r>
      <w:r>
        <w:rPr>
          <w:rFonts w:hint="eastAsia" w:ascii="宋体" w:hAnsi="宋体" w:eastAsia="宋体" w:cs="宋体"/>
          <w:bCs/>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年</w:t>
      </w:r>
      <w:r>
        <w:rPr>
          <w:rFonts w:hint="eastAsia" w:ascii="宋体" w:hAnsi="宋体" w:eastAsia="宋体" w:cs="宋体"/>
          <w:bCs/>
          <w:color w:val="000000" w:themeColor="text1"/>
          <w:highlight w:val="none"/>
          <w:u w:val="single"/>
          <w14:textFill>
            <w14:solidFill>
              <w14:schemeClr w14:val="tx1"/>
            </w14:solidFill>
          </w14:textFill>
        </w:rPr>
        <w:t xml:space="preserve">  </w:t>
      </w:r>
    </w:p>
    <w:p>
      <w:pPr>
        <w:pStyle w:val="10"/>
        <w:spacing w:before="0" w:beforeAutospacing="0" w:after="0" w:afterAutospacing="0"/>
        <w:ind w:firstLine="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月</w:t>
      </w:r>
      <w:r>
        <w:rPr>
          <w:rFonts w:hint="eastAsia" w:ascii="宋体" w:hAnsi="宋体" w:eastAsia="宋体" w:cs="宋体"/>
          <w:bCs/>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日）前，按照有关规定到市住房资金管理中心</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区管理部（地址：</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；联系电话：</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）交存首期住宅专项维修资金。</w:t>
      </w:r>
    </w:p>
    <w:p>
      <w:pPr>
        <w:pStyle w:val="10"/>
        <w:spacing w:before="0" w:beforeAutospacing="0" w:after="0" w:afterAutospacing="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未交纳专项维修资金的，甲方不得向乙方交付该共有产权住房</w:t>
      </w:r>
      <w:r>
        <w:rPr>
          <w:rFonts w:hint="eastAsia" w:eastAsia="宋体" w:cs="宋体"/>
          <w:b w:val="0"/>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由此产生的延期交付情况，</w:t>
      </w:r>
      <w:r>
        <w:rPr>
          <w:rFonts w:hint="eastAsia" w:ascii="宋体" w:hAnsi="宋体" w:eastAsia="宋体" w:cs="宋体"/>
          <w:b w:val="0"/>
          <w:bCs/>
          <w:color w:val="000000" w:themeColor="text1"/>
          <w:highlight w:val="none"/>
          <w14:textFill>
            <w14:solidFill>
              <w14:schemeClr w14:val="tx1"/>
            </w14:solidFill>
          </w14:textFill>
        </w:rPr>
        <w:t>甲方不承担相应法律责任。</w:t>
      </w:r>
    </w:p>
    <w:p>
      <w:pPr>
        <w:pStyle w:val="10"/>
        <w:spacing w:before="0" w:beforeAutospacing="0" w:after="0" w:afterAutospacing="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乙方委托甲方代交专项维修资金的，甲方自接受委托之日起</w:t>
      </w:r>
      <w:r>
        <w:rPr>
          <w:rFonts w:hint="eastAsia" w:ascii="宋体" w:hAnsi="宋体" w:eastAsia="宋体" w:cs="宋体"/>
          <w:bCs/>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日（不超过15日）内，向乙方提交北京市住宅专项维修资金专用收据。 </w:t>
      </w:r>
    </w:p>
    <w:p>
      <w:pPr>
        <w:pStyle w:val="10"/>
        <w:spacing w:before="0" w:beforeAutospacing="0" w:after="0" w:afterAutospacing="0"/>
        <w:rPr>
          <w:rFonts w:hint="eastAsia" w:ascii="新宋体" w:hAnsi="新宋体" w:eastAsia="新宋体"/>
          <w:color w:val="000000" w:themeColor="text1"/>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lang w:eastAsia="zh-CN"/>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第八章  其他</w:t>
      </w:r>
      <w:r>
        <w:rPr>
          <w:rFonts w:hint="eastAsia" w:ascii="黑体" w:hAnsi="黑体" w:eastAsia="黑体"/>
          <w:color w:val="000000" w:themeColor="text1"/>
          <w:sz w:val="30"/>
          <w:szCs w:val="30"/>
          <w:highlight w:val="none"/>
          <w:lang w:eastAsia="zh-CN"/>
          <w14:textFill>
            <w14:solidFill>
              <w14:schemeClr w14:val="tx1"/>
            </w14:solidFill>
          </w14:textFill>
        </w:rPr>
        <w:t>约定</w:t>
      </w:r>
    </w:p>
    <w:p>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第十九条  </w:t>
      </w:r>
      <w:r>
        <w:rPr>
          <w:rFonts w:hint="eastAsia" w:ascii="宋体" w:hAnsi="宋体"/>
          <w:b/>
          <w:bCs/>
          <w:color w:val="000000" w:themeColor="text1"/>
          <w:sz w:val="24"/>
          <w:highlight w:val="none"/>
          <w14:textFill>
            <w14:solidFill>
              <w14:schemeClr w14:val="tx1"/>
            </w14:solidFill>
          </w14:textFill>
        </w:rPr>
        <w:t>建筑物区分所有权</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（一）乙方对其建筑物专有部分享有占有、使用、收益和处分的权利。</w:t>
      </w:r>
    </w:p>
    <w:p>
      <w:pPr>
        <w:widowControl/>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（二）以下部位为共有部分：</w:t>
      </w:r>
    </w:p>
    <w:p>
      <w:pPr>
        <w:widowControl/>
        <w:spacing w:line="360" w:lineRule="auto"/>
        <w:ind w:firstLine="48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1.建筑物的基础、承重结构、外墙、屋顶等基本结构部分，通道、楼梯、大堂等公共通行部分，消防、公共照明等附属设施、设备，避难层、设备层或设备间等结构部分</w:t>
      </w:r>
      <w:r>
        <w:rPr>
          <w:rFonts w:hint="eastAsia" w:ascii="宋体" w:hAnsi="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2.该共有产权住房所在建筑区划内的道路（属于城镇公共道路的除外）、绿地（属于城镇公共绿地或明示属于个人的除外）、占用业主共有的道路或其他场地用于停放汽车的车位、物业服务用房</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 xml:space="preserve"> </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w:t>
      </w:r>
      <w:r>
        <w:rPr>
          <w:rFonts w:hint="eastAsia" w:ascii="宋体" w:hAnsi="宋体"/>
          <w:color w:val="000000" w:themeColor="text1"/>
          <w:sz w:val="24"/>
          <w:highlight w:val="none"/>
          <w:lang w:eastAsia="zh-CN"/>
          <w14:textFill>
            <w14:solidFill>
              <w14:schemeClr w14:val="tx1"/>
            </w14:solidFill>
          </w14:textFill>
        </w:rPr>
        <w:t>三方</w:t>
      </w:r>
      <w:r>
        <w:rPr>
          <w:rFonts w:hint="eastAsia" w:ascii="宋体" w:hAnsi="宋体"/>
          <w:color w:val="000000" w:themeColor="text1"/>
          <w:sz w:val="24"/>
          <w:highlight w:val="none"/>
          <w14:textFill>
            <w14:solidFill>
              <w14:schemeClr w14:val="tx1"/>
            </w14:solidFill>
          </w14:textFill>
        </w:rPr>
        <w:t>对其他配套设施约定如下：</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1.规划的车位、车库：</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w:t>
      </w:r>
    </w:p>
    <w:p>
      <w:pPr>
        <w:widowControl/>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pPr>
        <w:widowControl/>
        <w:spacing w:line="360" w:lineRule="auto"/>
        <w:ind w:firstLine="480"/>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（四）合同当事人均不得侵占使用建筑区划内绿地、道路、人防、共有车位等共有部位。</w:t>
      </w:r>
    </w:p>
    <w:p>
      <w:pPr>
        <w:widowControl/>
        <w:spacing w:line="360" w:lineRule="auto"/>
        <w:jc w:val="left"/>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第二十条  税费</w:t>
      </w:r>
    </w:p>
    <w:p>
      <w:pPr>
        <w:widowControl/>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甲方、乙方</w:t>
      </w:r>
      <w:r>
        <w:rPr>
          <w:rFonts w:hint="eastAsia" w:ascii="宋体" w:hAnsi="宋体"/>
          <w:color w:val="000000" w:themeColor="text1"/>
          <w:sz w:val="24"/>
          <w:highlight w:val="none"/>
          <w:lang w:eastAsia="zh-CN"/>
          <w14:textFill>
            <w14:solidFill>
              <w14:schemeClr w14:val="tx1"/>
            </w14:solidFill>
          </w14:textFill>
        </w:rPr>
        <w:t>、丙方</w:t>
      </w:r>
      <w:r>
        <w:rPr>
          <w:rFonts w:hint="eastAsia" w:ascii="宋体" w:hAnsi="宋体"/>
          <w:color w:val="000000" w:themeColor="text1"/>
          <w:sz w:val="24"/>
          <w:highlight w:val="none"/>
          <w14:textFill>
            <w14:solidFill>
              <w14:schemeClr w14:val="tx1"/>
            </w14:solidFill>
          </w14:textFill>
        </w:rPr>
        <w:t>应当按照国家</w:t>
      </w:r>
      <w:r>
        <w:rPr>
          <w:rFonts w:hint="eastAsia" w:ascii="宋体" w:hAnsi="宋体"/>
          <w:color w:val="000000" w:themeColor="text1"/>
          <w:sz w:val="24"/>
          <w:highlight w:val="none"/>
          <w:lang w:eastAsia="zh-CN"/>
          <w14:textFill>
            <w14:solidFill>
              <w14:schemeClr w14:val="tx1"/>
            </w14:solidFill>
          </w14:textFill>
        </w:rPr>
        <w:t>和本市</w:t>
      </w:r>
      <w:r>
        <w:rPr>
          <w:rFonts w:hint="eastAsia" w:ascii="宋体" w:hAnsi="宋体"/>
          <w:color w:val="000000" w:themeColor="text1"/>
          <w:sz w:val="24"/>
          <w:highlight w:val="none"/>
          <w14:textFill>
            <w14:solidFill>
              <w14:schemeClr w14:val="tx1"/>
            </w14:solidFill>
          </w14:textFill>
        </w:rPr>
        <w:t>有关规定，向相应部门缴纳因该共有产权住房买卖发生的税费，甲方不得代收、代缴应由乙方和丙方缴纳的税费。</w:t>
      </w:r>
    </w:p>
    <w:p>
      <w:pPr>
        <w:ind w:firstLine="482" w:firstLineChars="200"/>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bCs w:val="0"/>
          <w:color w:val="000000" w:themeColor="text1"/>
          <w:sz w:val="24"/>
          <w:highlight w:val="none"/>
          <w14:textFill>
            <w14:solidFill>
              <w14:schemeClr w14:val="tx1"/>
            </w14:solidFill>
          </w14:textFill>
        </w:rPr>
        <w:t xml:space="preserve">第二十一条 </w:t>
      </w:r>
      <w:r>
        <w:rPr>
          <w:rFonts w:hint="eastAsia" w:ascii="宋体" w:hAnsi="宋体" w:eastAsia="宋体" w:cs="Times New Roman"/>
          <w:b/>
          <w:color w:val="000000" w:themeColor="text1"/>
          <w:sz w:val="24"/>
          <w:highlight w:val="none"/>
          <w14:textFill>
            <w14:solidFill>
              <w14:schemeClr w14:val="tx1"/>
            </w14:solidFill>
          </w14:textFill>
        </w:rPr>
        <w:t xml:space="preserve"> 购房资格承诺</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通过隐瞒家庭信息、虚假申报、伪造证明材料等方式，骗购共有产权住房的，</w:t>
      </w:r>
      <w:r>
        <w:rPr>
          <w:rFonts w:hint="eastAsia" w:ascii="宋体" w:hAnsi="宋体" w:eastAsia="宋体" w:cs="Times New Roman"/>
          <w:b w:val="0"/>
          <w:color w:val="000000" w:themeColor="text1"/>
          <w:kern w:val="2"/>
          <w:sz w:val="24"/>
          <w:highlight w:val="none"/>
          <w14:textFill>
            <w14:solidFill>
              <w14:schemeClr w14:val="tx1"/>
            </w14:solidFill>
          </w14:textFill>
        </w:rPr>
        <w:t>或承诺腾退公租房、公房未在规定时间内腾退的，</w:t>
      </w:r>
      <w:r>
        <w:rPr>
          <w:rFonts w:hint="eastAsia"/>
          <w:color w:val="000000" w:themeColor="text1"/>
          <w:highlight w:val="none"/>
          <w14:textFill>
            <w14:solidFill>
              <w14:schemeClr w14:val="tx1"/>
            </w14:solidFill>
          </w14:textFill>
        </w:rPr>
        <w:t>应当承担相应经济和法律责任，且10年内乙方家庭不得在本市申请购买保障性住房、政策性住房。甲方有权向人民法院</w:t>
      </w:r>
      <w:r>
        <w:rPr>
          <w:color w:val="000000" w:themeColor="text1"/>
          <w:highlight w:val="none"/>
          <w14:textFill>
            <w14:solidFill>
              <w14:schemeClr w14:val="tx1"/>
            </w14:solidFill>
          </w14:textFill>
        </w:rPr>
        <w:t>申请</w:t>
      </w:r>
      <w:r>
        <w:rPr>
          <w:rFonts w:hint="eastAsia"/>
          <w:color w:val="000000" w:themeColor="text1"/>
          <w:highlight w:val="none"/>
          <w14:textFill>
            <w14:solidFill>
              <w14:schemeClr w14:val="tx1"/>
            </w14:solidFill>
          </w14:textFill>
        </w:rPr>
        <w:t>确认合同无效，乙方应当自合同被</w:t>
      </w:r>
      <w:r>
        <w:rPr>
          <w:color w:val="000000" w:themeColor="text1"/>
          <w:highlight w:val="none"/>
          <w14:textFill>
            <w14:solidFill>
              <w14:schemeClr w14:val="tx1"/>
            </w14:solidFill>
          </w14:textFill>
        </w:rPr>
        <w:t>确认</w:t>
      </w:r>
      <w:r>
        <w:rPr>
          <w:rFonts w:hint="eastAsia"/>
          <w:color w:val="000000" w:themeColor="text1"/>
          <w:highlight w:val="none"/>
          <w14:textFill>
            <w14:solidFill>
              <w14:schemeClr w14:val="tx1"/>
            </w14:solidFill>
          </w14:textFill>
        </w:rPr>
        <w:t>无效之日起</w:t>
      </w:r>
      <w:r>
        <w:rPr>
          <w:rFonts w:hint="eastAsia" w:eastAsia="宋体" w:cs="Times New Roman"/>
          <w:color w:val="000000" w:themeColor="text1"/>
          <w:highlight w:val="none"/>
          <w:u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日内按照全部房价款的【2%】【</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向甲方支付违约金或赔偿金。同时，甲方应当退还乙方已付全部房价款（含已付贷款部分）。</w:t>
      </w:r>
    </w:p>
    <w:p>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第二十二条  销售和使用承诺</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.甲方承诺对共有产权住房的销售，不涉及依法或依规划属于乙方和</w:t>
      </w:r>
      <w:r>
        <w:rPr>
          <w:rFonts w:ascii="宋体" w:hAnsi="宋体"/>
          <w:color w:val="000000" w:themeColor="text1"/>
          <w:sz w:val="24"/>
          <w:highlight w:val="none"/>
          <w14:textFill>
            <w14:solidFill>
              <w14:schemeClr w14:val="tx1"/>
            </w14:solidFill>
          </w14:textFill>
        </w:rPr>
        <w:t>丙方</w:t>
      </w:r>
      <w:r>
        <w:rPr>
          <w:rFonts w:hint="eastAsia" w:ascii="宋体" w:hAnsi="宋体"/>
          <w:color w:val="000000" w:themeColor="text1"/>
          <w:sz w:val="24"/>
          <w:highlight w:val="none"/>
          <w14:textFill>
            <w14:solidFill>
              <w14:schemeClr w14:val="tx1"/>
            </w14:solidFill>
          </w14:textFill>
        </w:rPr>
        <w:t>共有的共用部位和设施的处分。</w:t>
      </w:r>
    </w:p>
    <w:p>
      <w:pPr>
        <w:widowControl/>
        <w:spacing w:line="360" w:lineRule="auto"/>
        <w:ind w:firstLine="48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2</w:t>
      </w:r>
      <w:r>
        <w:rPr>
          <w:rFonts w:hint="eastAsia" w:ascii="宋体" w:hAnsi="宋体"/>
          <w:color w:val="000000" w:themeColor="text1"/>
          <w:kern w:val="0"/>
          <w:sz w:val="24"/>
          <w:szCs w:val="24"/>
          <w:highlight w:val="none"/>
          <w14:textFill>
            <w14:solidFill>
              <w14:schemeClr w14:val="tx1"/>
            </w14:solidFill>
          </w14:textFill>
        </w:rPr>
        <w:t>.甲方承诺已将遮挡或妨碍房屋正常使用的情况告知乙方。具体内容见附件十</w:t>
      </w:r>
      <w:r>
        <w:rPr>
          <w:rFonts w:hint="eastAsia" w:ascii="宋体" w:hAnsi="宋体"/>
          <w:color w:val="000000" w:themeColor="text1"/>
          <w:kern w:val="0"/>
          <w:sz w:val="24"/>
          <w:szCs w:val="24"/>
          <w:highlight w:val="none"/>
          <w:lang w:eastAsia="zh-CN"/>
          <w14:textFill>
            <w14:solidFill>
              <w14:schemeClr w14:val="tx1"/>
            </w14:solidFill>
          </w14:textFill>
        </w:rPr>
        <w:t>一</w:t>
      </w:r>
      <w:r>
        <w:rPr>
          <w:rFonts w:hint="eastAsia" w:ascii="宋体" w:hAnsi="宋体"/>
          <w:color w:val="000000" w:themeColor="text1"/>
          <w:kern w:val="0"/>
          <w:sz w:val="24"/>
          <w:szCs w:val="24"/>
          <w:highlight w:val="none"/>
          <w14:textFill>
            <w14:solidFill>
              <w14:schemeClr w14:val="tx1"/>
            </w14:solidFill>
          </w14:textFill>
        </w:rPr>
        <w:t>。</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.乙方</w:t>
      </w:r>
      <w:r>
        <w:rPr>
          <w:rFonts w:ascii="宋体" w:hAnsi="宋体"/>
          <w:color w:val="000000" w:themeColor="text1"/>
          <w:sz w:val="24"/>
          <w:highlight w:val="none"/>
          <w14:textFill>
            <w14:solidFill>
              <w14:schemeClr w14:val="tx1"/>
            </w14:solidFill>
          </w14:textFill>
        </w:rPr>
        <w:t>使用该</w:t>
      </w:r>
      <w:r>
        <w:rPr>
          <w:rFonts w:hint="eastAsia" w:ascii="宋体" w:hAnsi="宋体"/>
          <w:color w:val="000000" w:themeColor="text1"/>
          <w:sz w:val="24"/>
          <w:highlight w:val="none"/>
          <w14:textFill>
            <w14:solidFill>
              <w14:schemeClr w14:val="tx1"/>
            </w14:solidFill>
          </w14:textFill>
        </w:rPr>
        <w:t>共有产权住房</w:t>
      </w:r>
      <w:r>
        <w:rPr>
          <w:rFonts w:ascii="宋体" w:hAnsi="宋体"/>
          <w:color w:val="000000" w:themeColor="text1"/>
          <w:sz w:val="24"/>
          <w:highlight w:val="none"/>
          <w14:textFill>
            <w14:solidFill>
              <w14:schemeClr w14:val="tx1"/>
            </w14:solidFill>
          </w14:textFill>
        </w:rPr>
        <w:t>期间，不得擅自改变该</w:t>
      </w:r>
      <w:r>
        <w:rPr>
          <w:rFonts w:hint="eastAsia" w:ascii="宋体" w:hAnsi="宋体"/>
          <w:color w:val="000000" w:themeColor="text1"/>
          <w:sz w:val="24"/>
          <w:highlight w:val="none"/>
          <w14:textFill>
            <w14:solidFill>
              <w14:schemeClr w14:val="tx1"/>
            </w14:solidFill>
          </w14:textFill>
        </w:rPr>
        <w:t>共有产权住房</w:t>
      </w:r>
      <w:r>
        <w:rPr>
          <w:rFonts w:ascii="宋体" w:hAnsi="宋体"/>
          <w:color w:val="000000" w:themeColor="text1"/>
          <w:sz w:val="24"/>
          <w:highlight w:val="none"/>
          <w14:textFill>
            <w14:solidFill>
              <w14:schemeClr w14:val="tx1"/>
            </w14:solidFill>
          </w14:textFill>
        </w:rPr>
        <w:t>的用途</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建筑主体结构和承重结构。</w:t>
      </w:r>
    </w:p>
    <w:p>
      <w:pPr>
        <w:widowControl/>
        <w:spacing w:line="360" w:lineRule="auto"/>
        <w:ind w:firstLine="482"/>
        <w:jc w:val="lef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kern w:val="0"/>
          <w:sz w:val="24"/>
          <w:szCs w:val="20"/>
          <w:highlight w:val="none"/>
          <w:lang w:val="en-US" w:eastAsia="zh-CN"/>
          <w14:textFill>
            <w14:solidFill>
              <w14:schemeClr w14:val="tx1"/>
            </w14:solidFill>
          </w14:textFill>
        </w:rPr>
        <w:t>4</w:t>
      </w:r>
      <w:r>
        <w:rPr>
          <w:rFonts w:hint="eastAsia" w:ascii="宋体" w:hAnsi="宋体"/>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szCs w:val="20"/>
          <w:highlight w:val="none"/>
          <w:u w:val="singl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w:t>
      </w:r>
    </w:p>
    <w:p>
      <w:pPr>
        <w:widowControl/>
        <w:spacing w:line="480" w:lineRule="exact"/>
        <w:ind w:firstLine="48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第二十三条</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送达</w:t>
      </w:r>
    </w:p>
    <w:p>
      <w:pPr>
        <w:widowControl/>
        <w:spacing w:line="480" w:lineRule="exact"/>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甲方和乙方、丙方保证在本合同中记载的通讯地址、联系电话均真实有效。任何根据本合同发出的文件，均应当采用书面形式，以【邮政快递】【邮寄挂号信】【</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】方式送达对方。任何一方变更通讯地址、联系电话的，应当自变更之日起</w:t>
      </w:r>
      <w:r>
        <w:rPr>
          <w:rFonts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日内书面通知对方。变更的一方未履行通知义务导致送达不能的，应当承担相应的法律责任。</w:t>
      </w:r>
    </w:p>
    <w:p>
      <w:pPr>
        <w:widowControl/>
        <w:spacing w:line="480" w:lineRule="exact"/>
        <w:ind w:firstLine="480"/>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第二十四条  买受人信息保护</w:t>
      </w:r>
    </w:p>
    <w:p>
      <w:pPr>
        <w:widowControl/>
        <w:spacing w:line="480" w:lineRule="exact"/>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对乙方信息负有保密义务。非因法律、法规规定或国家安全机关、公安机关、检察机关、审判机关、纪检监察部门执行公务的需要，未经乙方书面同意，甲方及其销售人员和相关工作人员不得对外披露乙方信息，或将乙方信息用于履行本合同之外的其他用途。</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第二十五条  </w:t>
      </w:r>
      <w:r>
        <w:rPr>
          <w:rFonts w:ascii="宋体" w:hAnsi="宋体"/>
          <w:b/>
          <w:bCs/>
          <w:color w:val="000000" w:themeColor="text1"/>
          <w:sz w:val="24"/>
          <w:highlight w:val="none"/>
          <w14:textFill>
            <w14:solidFill>
              <w14:schemeClr w14:val="tx1"/>
            </w14:solidFill>
          </w14:textFill>
        </w:rPr>
        <w:t xml:space="preserve">争议解决方式 </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本合同在履行过程中发生的争议，由当事人协商解决，也可申请【中国】【北京】房地产业协会或消费者协会等相关机构调解，也可向有关行政部门投诉；或按照下列第</w:t>
      </w:r>
      <w:r>
        <w:rPr>
          <w:rFonts w:hint="eastAsia" w:ascii="宋体" w:hAnsi="宋体" w:eastAsia="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种方式解决。：</w:t>
      </w:r>
      <w:r>
        <w:rPr>
          <w:rFonts w:ascii="宋体" w:hAnsi="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依法向</w:t>
      </w:r>
      <w:r>
        <w:rPr>
          <w:rFonts w:hint="eastAsia" w:ascii="宋体" w:hAnsi="宋体"/>
          <w:color w:val="000000" w:themeColor="text1"/>
          <w:sz w:val="24"/>
          <w:highlight w:val="none"/>
          <w14:textFill>
            <w14:solidFill>
              <w14:schemeClr w14:val="tx1"/>
            </w14:solidFill>
          </w14:textFill>
        </w:rPr>
        <w:t>房屋所在地</w:t>
      </w:r>
      <w:r>
        <w:rPr>
          <w:rFonts w:ascii="宋体" w:hAnsi="宋体"/>
          <w:color w:val="000000" w:themeColor="text1"/>
          <w:sz w:val="24"/>
          <w:highlight w:val="none"/>
          <w14:textFill>
            <w14:solidFill>
              <w14:schemeClr w14:val="tx1"/>
            </w14:solidFill>
          </w14:textFill>
        </w:rPr>
        <w:t>人民法院起诉</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提交</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仲裁委员会仲裁。</w:t>
      </w:r>
    </w:p>
    <w:p>
      <w:pPr>
        <w:widowControl/>
        <w:spacing w:line="360" w:lineRule="auto"/>
        <w:jc w:val="left"/>
        <w:rPr>
          <w:rFonts w:hint="eastAsia" w:ascii="宋体" w:hAnsi="宋体"/>
          <w:b/>
          <w:color w:val="000000" w:themeColor="text1"/>
          <w:kern w:val="0"/>
          <w:sz w:val="24"/>
          <w:szCs w:val="20"/>
          <w:highlight w:val="none"/>
          <w14:textFill>
            <w14:solidFill>
              <w14:schemeClr w14:val="tx1"/>
            </w14:solidFill>
          </w14:textFill>
        </w:rPr>
      </w:pPr>
      <w:r>
        <w:rPr>
          <w:rFonts w:hint="eastAsia" w:ascii="宋体" w:hAnsi="宋体"/>
          <w:b/>
          <w:color w:val="000000" w:themeColor="text1"/>
          <w:kern w:val="0"/>
          <w:sz w:val="24"/>
          <w:szCs w:val="20"/>
          <w:highlight w:val="none"/>
          <w14:textFill>
            <w14:solidFill>
              <w14:schemeClr w14:val="tx1"/>
            </w14:solidFill>
          </w14:textFill>
        </w:rPr>
        <w:t xml:space="preserve">    第二十六条  合同生效</w:t>
      </w:r>
    </w:p>
    <w:p>
      <w:pPr>
        <w:widowControl/>
        <w:spacing w:line="360" w:lineRule="auto"/>
        <w:ind w:firstLine="420" w:firstLineChars="175"/>
        <w:jc w:val="left"/>
        <w:rPr>
          <w:rFonts w:ascii="宋体" w:hAnsi="宋体"/>
          <w:color w:val="000000" w:themeColor="text1"/>
          <w:kern w:val="0"/>
          <w:sz w:val="24"/>
          <w:szCs w:val="20"/>
          <w:highlight w:val="none"/>
          <w14:textFill>
            <w14:solidFill>
              <w14:schemeClr w14:val="tx1"/>
            </w14:solidFill>
          </w14:textFill>
        </w:rPr>
      </w:pPr>
      <w:r>
        <w:rPr>
          <w:rFonts w:ascii="宋体" w:hAnsi="宋体"/>
          <w:color w:val="000000" w:themeColor="text1"/>
          <w:kern w:val="0"/>
          <w:sz w:val="24"/>
          <w:szCs w:val="20"/>
          <w:highlight w:val="none"/>
          <w14:textFill>
            <w14:solidFill>
              <w14:schemeClr w14:val="tx1"/>
            </w14:solidFill>
          </w14:textFill>
        </w:rPr>
        <w:t>本合同自</w:t>
      </w:r>
      <w:r>
        <w:rPr>
          <w:rFonts w:hint="eastAsia" w:ascii="宋体" w:hAnsi="宋体"/>
          <w:color w:val="000000" w:themeColor="text1"/>
          <w:kern w:val="0"/>
          <w:sz w:val="24"/>
          <w:szCs w:val="20"/>
          <w:highlight w:val="none"/>
          <w14:textFill>
            <w14:solidFill>
              <w14:schemeClr w14:val="tx1"/>
            </w14:solidFill>
          </w14:textFill>
        </w:rPr>
        <w:t>三</w:t>
      </w:r>
      <w:r>
        <w:rPr>
          <w:rFonts w:ascii="宋体" w:hAnsi="宋体"/>
          <w:color w:val="000000" w:themeColor="text1"/>
          <w:kern w:val="0"/>
          <w:sz w:val="24"/>
          <w:szCs w:val="20"/>
          <w:highlight w:val="none"/>
          <w14:textFill>
            <w14:solidFill>
              <w14:schemeClr w14:val="tx1"/>
            </w14:solidFill>
          </w14:textFill>
        </w:rPr>
        <w:t>方签字</w:t>
      </w:r>
      <w:r>
        <w:rPr>
          <w:rFonts w:hint="eastAsia" w:ascii="宋体" w:hAnsi="宋体"/>
          <w:color w:val="000000" w:themeColor="text1"/>
          <w:kern w:val="0"/>
          <w:sz w:val="24"/>
          <w:szCs w:val="20"/>
          <w:highlight w:val="none"/>
          <w14:textFill>
            <w14:solidFill>
              <w14:schemeClr w14:val="tx1"/>
            </w14:solidFill>
          </w14:textFill>
        </w:rPr>
        <w:t>或</w:t>
      </w:r>
      <w:r>
        <w:rPr>
          <w:rFonts w:ascii="宋体" w:hAnsi="宋体"/>
          <w:color w:val="000000" w:themeColor="text1"/>
          <w:kern w:val="0"/>
          <w:sz w:val="24"/>
          <w:szCs w:val="20"/>
          <w:highlight w:val="none"/>
          <w14:textFill>
            <w14:solidFill>
              <w14:schemeClr w14:val="tx1"/>
            </w14:solidFill>
          </w14:textFill>
        </w:rPr>
        <w:t>盖章之日起生效。本合同</w:t>
      </w:r>
      <w:r>
        <w:rPr>
          <w:rFonts w:hint="eastAsia" w:ascii="宋体" w:hAnsi="宋体"/>
          <w:color w:val="000000" w:themeColor="text1"/>
          <w:kern w:val="0"/>
          <w:sz w:val="24"/>
          <w:szCs w:val="20"/>
          <w:highlight w:val="none"/>
          <w14:textFill>
            <w14:solidFill>
              <w14:schemeClr w14:val="tx1"/>
            </w14:solidFill>
          </w14:textFill>
        </w:rPr>
        <w:t>的</w:t>
      </w:r>
      <w:r>
        <w:rPr>
          <w:rFonts w:ascii="宋体" w:hAnsi="宋体"/>
          <w:color w:val="000000" w:themeColor="text1"/>
          <w:kern w:val="0"/>
          <w:sz w:val="24"/>
          <w:szCs w:val="20"/>
          <w:highlight w:val="none"/>
          <w14:textFill>
            <w14:solidFill>
              <w14:schemeClr w14:val="tx1"/>
            </w14:solidFill>
          </w14:textFill>
        </w:rPr>
        <w:t>解除应当采用书面形式。</w:t>
      </w:r>
    </w:p>
    <w:p>
      <w:pPr>
        <w:widowControl/>
        <w:spacing w:line="360" w:lineRule="auto"/>
        <w:ind w:firstLine="420" w:firstLineChars="175"/>
        <w:jc w:val="left"/>
        <w:rPr>
          <w:rFonts w:ascii="宋体" w:hAnsi="宋体"/>
          <w:color w:val="000000" w:themeColor="text1"/>
          <w:kern w:val="0"/>
          <w:sz w:val="24"/>
          <w:szCs w:val="20"/>
          <w:highlight w:val="none"/>
          <w14:textFill>
            <w14:solidFill>
              <w14:schemeClr w14:val="tx1"/>
            </w14:solidFill>
          </w14:textFill>
        </w:rPr>
      </w:pPr>
      <w:r>
        <w:rPr>
          <w:rFonts w:ascii="宋体" w:hAnsi="宋体"/>
          <w:color w:val="000000" w:themeColor="text1"/>
          <w:kern w:val="0"/>
          <w:sz w:val="24"/>
          <w:szCs w:val="20"/>
          <w:highlight w:val="none"/>
          <w14:textFill>
            <w14:solidFill>
              <w14:schemeClr w14:val="tx1"/>
            </w14:solidFill>
          </w14:textFill>
        </w:rPr>
        <w:t>本合同及附件共</w:t>
      </w:r>
      <w:r>
        <w:rPr>
          <w:rFonts w:hint="eastAsia" w:ascii="新宋体" w:hAnsi="新宋体" w:eastAsia="新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页，一式</w:t>
      </w:r>
      <w:r>
        <w:rPr>
          <w:rFonts w:hint="eastAsia" w:ascii="新宋体" w:hAnsi="新宋体" w:eastAsia="新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份</w:t>
      </w:r>
      <w:r>
        <w:rPr>
          <w:rFonts w:hint="eastAsia" w:ascii="宋体" w:hAnsi="宋体"/>
          <w:color w:val="000000" w:themeColor="text1"/>
          <w:kern w:val="0"/>
          <w:sz w:val="24"/>
          <w:szCs w:val="20"/>
          <w:highlight w:val="none"/>
          <w14:textFill>
            <w14:solidFill>
              <w14:schemeClr w14:val="tx1"/>
            </w14:solidFill>
          </w14:textFill>
        </w:rPr>
        <w:t>，</w:t>
      </w:r>
      <w:r>
        <w:rPr>
          <w:rFonts w:ascii="宋体" w:hAnsi="宋体"/>
          <w:color w:val="000000" w:themeColor="text1"/>
          <w:kern w:val="0"/>
          <w:sz w:val="24"/>
          <w:szCs w:val="20"/>
          <w:highlight w:val="none"/>
          <w14:textFill>
            <w14:solidFill>
              <w14:schemeClr w14:val="tx1"/>
            </w14:solidFill>
          </w14:textFill>
        </w:rPr>
        <w:t>其中</w:t>
      </w:r>
      <w:r>
        <w:rPr>
          <w:rFonts w:hint="eastAsia" w:ascii="宋体" w:hAnsi="宋体"/>
          <w:color w:val="000000" w:themeColor="text1"/>
          <w:kern w:val="0"/>
          <w:sz w:val="24"/>
          <w:szCs w:val="20"/>
          <w:highlight w:val="none"/>
          <w14:textFill>
            <w14:solidFill>
              <w14:schemeClr w14:val="tx1"/>
            </w14:solidFill>
          </w14:textFill>
        </w:rPr>
        <w:t>甲方</w:t>
      </w:r>
      <w:r>
        <w:rPr>
          <w:rFonts w:hint="eastAsia" w:ascii="新宋体" w:hAnsi="新宋体" w:eastAsia="新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份，</w:t>
      </w:r>
      <w:r>
        <w:rPr>
          <w:rFonts w:hint="eastAsia" w:ascii="宋体" w:hAnsi="宋体"/>
          <w:color w:val="000000" w:themeColor="text1"/>
          <w:kern w:val="0"/>
          <w:sz w:val="24"/>
          <w:szCs w:val="20"/>
          <w:highlight w:val="none"/>
          <w14:textFill>
            <w14:solidFill>
              <w14:schemeClr w14:val="tx1"/>
            </w14:solidFill>
          </w14:textFill>
        </w:rPr>
        <w:t>乙方</w:t>
      </w:r>
      <w:r>
        <w:rPr>
          <w:rFonts w:hint="eastAsia" w:ascii="新宋体" w:hAnsi="新宋体" w:eastAsia="新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份</w:t>
      </w:r>
      <w:r>
        <w:rPr>
          <w:rFonts w:hint="eastAsia" w:ascii="宋体" w:hAnsi="宋体"/>
          <w:color w:val="000000" w:themeColor="text1"/>
          <w:kern w:val="0"/>
          <w:sz w:val="24"/>
          <w:szCs w:val="20"/>
          <w:highlight w:val="none"/>
          <w14:textFill>
            <w14:solidFill>
              <w14:schemeClr w14:val="tx1"/>
            </w14:solidFill>
          </w14:textFill>
        </w:rPr>
        <w:t>，丙方</w:t>
      </w:r>
      <w:r>
        <w:rPr>
          <w:rFonts w:hint="eastAsia" w:ascii="宋体" w:hAnsi="宋体"/>
          <w:color w:val="000000" w:themeColor="text1"/>
          <w:kern w:val="0"/>
          <w:sz w:val="24"/>
          <w:szCs w:val="20"/>
          <w:highlight w:val="none"/>
          <w:u w:val="single"/>
          <w14:textFill>
            <w14:solidFill>
              <w14:schemeClr w14:val="tx1"/>
            </w14:solidFill>
          </w14:textFill>
        </w:rPr>
        <w:t xml:space="preserve">       </w:t>
      </w:r>
      <w:r>
        <w:rPr>
          <w:rFonts w:hint="eastAsia" w:ascii="宋体" w:hAnsi="宋体"/>
          <w:color w:val="000000" w:themeColor="text1"/>
          <w:kern w:val="0"/>
          <w:sz w:val="24"/>
          <w:szCs w:val="20"/>
          <w:highlight w:val="none"/>
          <w14:textFill>
            <w14:solidFill>
              <w14:schemeClr w14:val="tx1"/>
            </w14:solidFill>
          </w14:textFill>
        </w:rPr>
        <w:t>份</w:t>
      </w:r>
      <w:r>
        <w:rPr>
          <w:rFonts w:ascii="宋体" w:hAnsi="宋体"/>
          <w:color w:val="000000" w:themeColor="text1"/>
          <w:kern w:val="0"/>
          <w:sz w:val="24"/>
          <w:szCs w:val="20"/>
          <w:highlight w:val="none"/>
          <w14:textFill>
            <w14:solidFill>
              <w14:schemeClr w14:val="tx1"/>
            </w14:solidFill>
          </w14:textFill>
        </w:rPr>
        <w:t>。</w:t>
      </w:r>
      <w:r>
        <w:rPr>
          <w:rFonts w:hint="eastAsia" w:ascii="宋体" w:hAnsi="宋体"/>
          <w:color w:val="000000" w:themeColor="text1"/>
          <w:kern w:val="0"/>
          <w:sz w:val="24"/>
          <w:szCs w:val="20"/>
          <w:highlight w:val="none"/>
          <w14:textFill>
            <w14:solidFill>
              <w14:schemeClr w14:val="tx1"/>
            </w14:solidFill>
          </w14:textFill>
        </w:rPr>
        <w:t>合同附件与本合同具有同等法律效力。</w:t>
      </w:r>
      <w:r>
        <w:rPr>
          <w:rFonts w:ascii="宋体" w:hAnsi="宋体"/>
          <w:color w:val="000000" w:themeColor="text1"/>
          <w:kern w:val="0"/>
          <w:sz w:val="24"/>
          <w:szCs w:val="20"/>
          <w:highlight w:val="none"/>
          <w14:textFill>
            <w14:solidFill>
              <w14:schemeClr w14:val="tx1"/>
            </w14:solidFill>
          </w14:textFill>
        </w:rPr>
        <w:t xml:space="preserve"> </w:t>
      </w:r>
    </w:p>
    <w:p>
      <w:pPr>
        <w:spacing w:line="360" w:lineRule="auto"/>
        <w:ind w:right="-63" w:firstLine="482"/>
        <w:textAlignment w:val="baseline"/>
        <w:rPr>
          <w:rFonts w:ascii="宋体" w:hAnsi="宋体"/>
          <w:color w:val="000000" w:themeColor="text1"/>
          <w:sz w:val="24"/>
          <w:highlight w:val="none"/>
          <w14:textFill>
            <w14:solidFill>
              <w14:schemeClr w14:val="tx1"/>
            </w14:solidFill>
          </w14:textFill>
        </w:rPr>
      </w:pPr>
    </w:p>
    <w:p>
      <w:pPr>
        <w:pStyle w:val="2"/>
        <w:ind w:firstLine="480" w:firstLineChars="200"/>
        <w:rPr>
          <w:rFonts w:hint="eastAsia"/>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甲方</w:t>
      </w:r>
      <w:r>
        <w:rPr>
          <w:rFonts w:hint="eastAsia"/>
          <w:color w:val="000000" w:themeColor="text1"/>
          <w:highlight w:val="none"/>
          <w14:textFill>
            <w14:solidFill>
              <w14:schemeClr w14:val="tx1"/>
            </w14:solidFill>
          </w14:textFill>
        </w:rPr>
        <w:t xml:space="preserve">（名称）：                   </w:t>
      </w: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法定代表人签署：                 </w:t>
      </w: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委托代理人签署：    </w:t>
      </w:r>
    </w:p>
    <w:p>
      <w:pPr>
        <w:pStyle w:val="2"/>
        <w:rPr>
          <w:rFonts w:hint="eastAsia"/>
          <w:color w:val="000000" w:themeColor="text1"/>
          <w:highlight w:val="none"/>
          <w14:textFill>
            <w14:solidFill>
              <w14:schemeClr w14:val="tx1"/>
            </w14:solidFill>
          </w14:textFill>
        </w:rPr>
      </w:pPr>
    </w:p>
    <w:p>
      <w:pPr>
        <w:pStyle w:val="2"/>
        <w:ind w:firstLine="482"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甲方盖章：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日期：    年    月    日         </w:t>
      </w:r>
    </w:p>
    <w:p>
      <w:pPr>
        <w:pStyle w:val="2"/>
        <w:rPr>
          <w:rFonts w:hint="eastAsia"/>
          <w:color w:val="000000" w:themeColor="text1"/>
          <w:highlight w:val="none"/>
          <w14:textFill>
            <w14:solidFill>
              <w14:schemeClr w14:val="tx1"/>
            </w14:solidFill>
          </w14:textFill>
        </w:rPr>
      </w:pPr>
    </w:p>
    <w:p>
      <w:pPr>
        <w:pStyle w:val="2"/>
        <w:ind w:firstLine="480"/>
        <w:rPr>
          <w:rFonts w:hint="eastAsia"/>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乙方</w:t>
      </w:r>
      <w:r>
        <w:rPr>
          <w:rFonts w:hint="eastAsia"/>
          <w:color w:val="000000" w:themeColor="text1"/>
          <w:highlight w:val="none"/>
          <w14:textFill>
            <w14:solidFill>
              <w14:schemeClr w14:val="tx1"/>
            </w14:solidFill>
          </w14:textFill>
        </w:rPr>
        <w:t>（名字）：</w:t>
      </w: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乙方本人签署：</w:t>
      </w: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委托代理人/法定代理人签署：</w:t>
      </w: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乙方盖章：                          日期：    年    月    日</w:t>
      </w:r>
    </w:p>
    <w:p>
      <w:pPr>
        <w:pStyle w:val="2"/>
        <w:ind w:firstLine="480"/>
        <w:rPr>
          <w:rFonts w:hint="eastAsia"/>
          <w:b w:val="0"/>
          <w:color w:val="000000" w:themeColor="text1"/>
          <w:highlight w:val="none"/>
          <w14:textFill>
            <w14:solidFill>
              <w14:schemeClr w14:val="tx1"/>
            </w14:solidFill>
          </w14:textFill>
        </w:rPr>
      </w:pPr>
    </w:p>
    <w:p>
      <w:pPr>
        <w:pStyle w:val="2"/>
        <w:ind w:firstLine="480"/>
        <w:rPr>
          <w:rFonts w:hint="eastAsia"/>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丙方</w:t>
      </w:r>
      <w:r>
        <w:rPr>
          <w:rFonts w:hint="eastAsia"/>
          <w:color w:val="000000" w:themeColor="text1"/>
          <w:highlight w:val="none"/>
          <w14:textFill>
            <w14:solidFill>
              <w14:schemeClr w14:val="tx1"/>
            </w14:solidFill>
          </w14:textFill>
        </w:rPr>
        <w:t xml:space="preserve">（名称）：    </w:t>
      </w: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法定代表人签署</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委托代理人签署</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丙方盖章：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日期：    年    月    日</w:t>
      </w:r>
    </w:p>
    <w:p>
      <w:pPr>
        <w:pStyle w:val="2"/>
        <w:ind w:firstLine="0" w:firstLineChars="0"/>
        <w:rPr>
          <w:rFonts w:hint="eastAsia"/>
          <w:color w:val="000000" w:themeColor="text1"/>
          <w:highlight w:val="none"/>
          <w14:textFill>
            <w14:solidFill>
              <w14:schemeClr w14:val="tx1"/>
            </w14:solidFill>
          </w14:textFill>
        </w:rPr>
      </w:pPr>
    </w:p>
    <w:p>
      <w:pPr>
        <w:pStyle w:val="2"/>
        <w:jc w:val="center"/>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签约地点：</w:t>
      </w:r>
      <w:r>
        <w:rPr>
          <w:rFonts w:hint="eastAsia"/>
          <w:color w:val="000000" w:themeColor="text1"/>
          <w:highlight w:val="none"/>
          <w:u w:val="single"/>
          <w14:textFill>
            <w14:solidFill>
              <w14:schemeClr w14:val="tx1"/>
            </w14:solidFill>
          </w14:textFill>
        </w:rPr>
        <w:t xml:space="preserve">                  </w:t>
      </w:r>
    </w:p>
    <w:p>
      <w:pPr>
        <w:widowControl/>
        <w:tabs>
          <w:tab w:val="left" w:pos="4680"/>
        </w:tabs>
        <w:spacing w:line="360" w:lineRule="auto"/>
        <w:jc w:val="left"/>
        <w:rPr>
          <w:rFonts w:hint="eastAsia" w:ascii="宋体" w:hAnsi="宋体"/>
          <w:color w:val="000000" w:themeColor="text1"/>
          <w:spacing w:val="-12"/>
          <w:sz w:val="24"/>
          <w:highlight w:val="none"/>
          <w14:textFill>
            <w14:solidFill>
              <w14:schemeClr w14:val="tx1"/>
            </w14:solidFill>
          </w14:textFill>
        </w:rPr>
      </w:pPr>
      <w:r>
        <w:rPr>
          <w:rFonts w:ascii="宋体" w:hAnsi="宋体"/>
          <w:color w:val="000000" w:themeColor="text1"/>
          <w:spacing w:val="-12"/>
          <w:sz w:val="24"/>
          <w:highlight w:val="none"/>
          <w14:textFill>
            <w14:solidFill>
              <w14:schemeClr w14:val="tx1"/>
            </w14:solidFill>
          </w14:textFill>
        </w:rPr>
        <w:t xml:space="preserve"> </w:t>
      </w:r>
    </w:p>
    <w:p>
      <w:pPr>
        <w:widowControl/>
        <w:tabs>
          <w:tab w:val="left" w:pos="4680"/>
        </w:tabs>
        <w:spacing w:line="360" w:lineRule="auto"/>
        <w:jc w:val="left"/>
        <w:rPr>
          <w:rFonts w:hint="eastAsia" w:ascii="宋体" w:hAnsi="宋体"/>
          <w:color w:val="000000" w:themeColor="text1"/>
          <w:spacing w:val="-12"/>
          <w:sz w:val="24"/>
          <w:highlight w:val="none"/>
          <w14:textFill>
            <w14:solidFill>
              <w14:schemeClr w14:val="tx1"/>
            </w14:solidFill>
          </w14:textFill>
        </w:rPr>
      </w:pPr>
    </w:p>
    <w:p>
      <w:pPr>
        <w:widowControl/>
        <w:tabs>
          <w:tab w:val="left" w:pos="4680"/>
        </w:tabs>
        <w:spacing w:line="360" w:lineRule="auto"/>
        <w:jc w:val="left"/>
        <w:rPr>
          <w:rFonts w:hint="eastAsia" w:ascii="宋体" w:hAnsi="宋体"/>
          <w:color w:val="000000" w:themeColor="text1"/>
          <w:spacing w:val="-12"/>
          <w:sz w:val="24"/>
          <w:highlight w:val="none"/>
          <w14:textFill>
            <w14:solidFill>
              <w14:schemeClr w14:val="tx1"/>
            </w14:solidFill>
          </w14:textFill>
        </w:rPr>
      </w:pPr>
    </w:p>
    <w:p>
      <w:pPr>
        <w:spacing w:line="360" w:lineRule="auto"/>
        <w:jc w:val="left"/>
        <w:textAlignment w:val="baseline"/>
        <w:rPr>
          <w:rFonts w:ascii="宋体" w:hAnsi="宋体"/>
          <w:color w:val="000000" w:themeColor="text1"/>
          <w:sz w:val="24"/>
          <w:highlight w:val="none"/>
          <w14:textFill>
            <w14:solidFill>
              <w14:schemeClr w14:val="tx1"/>
            </w14:solidFill>
          </w14:textFill>
        </w:rPr>
        <w:sectPr>
          <w:footerReference r:id="rId13" w:type="first"/>
          <w:footerReference r:id="rId12" w:type="default"/>
          <w:pgSz w:w="11905" w:h="16837"/>
          <w:pgMar w:top="1440" w:right="1415" w:bottom="1440" w:left="1560" w:header="720" w:footer="720" w:gutter="0"/>
          <w:pgNumType w:fmt="decimal" w:start="1"/>
          <w:cols w:space="720" w:num="1"/>
          <w:titlePg/>
          <w:rtlGutter w:val="0"/>
          <w:docGrid w:type="lines" w:linePitch="312" w:charSpace="0"/>
        </w:sectPr>
      </w:pPr>
    </w:p>
    <w:p>
      <w:pPr>
        <w:jc w:val="center"/>
        <w:rPr>
          <w:rFonts w:hint="default" w:ascii="宋体" w:hAnsi="宋体" w:eastAsia="宋体" w:cs="Times New Roman"/>
          <w:b/>
          <w:color w:val="000000" w:themeColor="text1"/>
          <w:kern w:val="0"/>
          <w:sz w:val="30"/>
          <w:szCs w:val="30"/>
          <w:highlight w:val="none"/>
          <w14:textFill>
            <w14:solidFill>
              <w14:schemeClr w14:val="tx1"/>
            </w14:solidFill>
          </w14:textFill>
        </w:rPr>
      </w:pPr>
      <w:r>
        <w:rPr>
          <w:rFonts w:hint="default" w:ascii="宋体" w:hAnsi="宋体" w:eastAsia="宋体" w:cs="Times New Roman"/>
          <w:b/>
          <w:color w:val="000000" w:themeColor="text1"/>
          <w:kern w:val="0"/>
          <w:sz w:val="30"/>
          <w:szCs w:val="30"/>
          <w:highlight w:val="none"/>
          <w14:textFill>
            <w14:solidFill>
              <w14:schemeClr w14:val="tx1"/>
            </w14:solidFill>
          </w14:textFill>
        </w:rPr>
        <w:t>合同附件</w:t>
      </w:r>
    </w:p>
    <w:p>
      <w:pPr>
        <w:spacing w:line="360" w:lineRule="auto"/>
        <w:jc w:val="left"/>
        <w:textAlignment w:val="baseline"/>
        <w:rPr>
          <w:rFonts w:hint="eastAsia" w:ascii="等线" w:hAnsi="等线" w:eastAsia="等线"/>
          <w:b/>
          <w:color w:val="000000" w:themeColor="text1"/>
          <w:kern w:val="0"/>
          <w:sz w:val="24"/>
          <w:szCs w:val="21"/>
          <w:highlight w:val="none"/>
          <w14:textFill>
            <w14:solidFill>
              <w14:schemeClr w14:val="tx1"/>
            </w14:solidFill>
          </w14:textFill>
        </w:rPr>
      </w:pPr>
      <w:r>
        <w:rPr>
          <w:rFonts w:ascii="宋体" w:hAnsi="宋体" w:eastAsia="宋体" w:cs="Times New Roman"/>
          <w:b/>
          <w:color w:val="000000" w:themeColor="text1"/>
          <w:kern w:val="2"/>
          <w:sz w:val="24"/>
          <w:szCs w:val="24"/>
          <w:highlight w:val="none"/>
          <w14:textFill>
            <w14:solidFill>
              <w14:schemeClr w14:val="tx1"/>
            </w14:solidFill>
          </w14:textFill>
        </w:rPr>
        <w:t>附件</w:t>
      </w:r>
      <w:r>
        <w:rPr>
          <w:rFonts w:hint="default" w:ascii="宋体" w:hAnsi="宋体" w:eastAsia="宋体" w:cs="Times New Roman"/>
          <w:b/>
          <w:color w:val="000000" w:themeColor="text1"/>
          <w:kern w:val="2"/>
          <w:sz w:val="24"/>
          <w:szCs w:val="24"/>
          <w:highlight w:val="none"/>
          <w14:textFill>
            <w14:solidFill>
              <w14:schemeClr w14:val="tx1"/>
            </w14:solidFill>
          </w14:textFill>
        </w:rPr>
        <w:t xml:space="preserve">一    </w:t>
      </w:r>
      <w:r>
        <w:rPr>
          <w:rFonts w:hint="eastAsia" w:ascii="等线" w:hAnsi="等线" w:eastAsia="等线"/>
          <w:b/>
          <w:color w:val="000000" w:themeColor="text1"/>
          <w:kern w:val="0"/>
          <w:sz w:val="24"/>
          <w:szCs w:val="21"/>
          <w:highlight w:val="none"/>
          <w14:textFill>
            <w14:solidFill>
              <w14:schemeClr w14:val="tx1"/>
            </w14:solidFill>
          </w14:textFill>
        </w:rPr>
        <w:t xml:space="preserve">           </w:t>
      </w:r>
    </w:p>
    <w:p>
      <w:pPr>
        <w:pStyle w:val="12"/>
        <w:ind w:left="2" w:hanging="2" w:firstLineChars="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黑体" w:hAnsi="黑体" w:eastAsia="黑体"/>
          <w:color w:val="000000" w:themeColor="text1"/>
          <w:sz w:val="28"/>
          <w:szCs w:val="24"/>
          <w:highlight w:val="none"/>
          <w14:textFill>
            <w14:solidFill>
              <w14:schemeClr w14:val="tx1"/>
            </w14:solidFill>
          </w14:textFill>
        </w:rPr>
        <w:t>北京市</w:t>
      </w:r>
      <w:r>
        <w:rPr>
          <w:rFonts w:hint="eastAsia" w:ascii="黑体" w:hAnsi="黑体" w:eastAsia="黑体"/>
          <w:color w:val="000000" w:themeColor="text1"/>
          <w:sz w:val="28"/>
          <w:szCs w:val="24"/>
          <w:highlight w:val="none"/>
          <w:lang w:val="en-US" w:eastAsia="zh-CN"/>
          <w14:textFill>
            <w14:solidFill>
              <w14:schemeClr w14:val="tx1"/>
            </w14:solidFill>
          </w14:textFill>
        </w:rPr>
        <w:t>大兴区集体经营性建设用地上</w:t>
      </w:r>
      <w:r>
        <w:rPr>
          <w:rFonts w:hint="eastAsia" w:ascii="黑体" w:hAnsi="黑体" w:eastAsia="黑体"/>
          <w:color w:val="000000" w:themeColor="text1"/>
          <w:sz w:val="28"/>
          <w:szCs w:val="24"/>
          <w:highlight w:val="none"/>
          <w14:textFill>
            <w14:solidFill>
              <w14:schemeClr w14:val="tx1"/>
            </w14:solidFill>
          </w14:textFill>
        </w:rPr>
        <w:t>共有产权住房使用</w:t>
      </w:r>
      <w:r>
        <w:rPr>
          <w:rFonts w:hint="eastAsia" w:ascii="黑体" w:hAnsi="黑体" w:eastAsia="黑体"/>
          <w:color w:val="000000" w:themeColor="text1"/>
          <w:sz w:val="28"/>
          <w:szCs w:val="24"/>
          <w:highlight w:val="none"/>
          <w:lang w:eastAsia="zh-CN"/>
          <w14:textFill>
            <w14:solidFill>
              <w14:schemeClr w14:val="tx1"/>
            </w14:solidFill>
          </w14:textFill>
        </w:rPr>
        <w:t>承诺书</w:t>
      </w:r>
    </w:p>
    <w:p>
      <w:pPr>
        <w:pStyle w:val="12"/>
        <w:spacing w:line="360" w:lineRule="auto"/>
        <w:ind w:firstLine="482" w:firstLineChars="0"/>
        <w:jc w:val="left"/>
        <w:rPr>
          <w:rFonts w:hint="eastAsia"/>
          <w:color w:val="000000" w:themeColor="text1"/>
          <w:sz w:val="24"/>
          <w:szCs w:val="24"/>
          <w:highlight w:val="none"/>
          <w14:textFill>
            <w14:solidFill>
              <w14:schemeClr w14:val="tx1"/>
            </w14:solidFill>
          </w14:textFill>
        </w:rPr>
      </w:pPr>
    </w:p>
    <w:p>
      <w:pPr>
        <w:pStyle w:val="12"/>
        <w:spacing w:line="360" w:lineRule="auto"/>
        <w:ind w:firstLine="0" w:firstLineChars="0"/>
        <w:jc w:val="left"/>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lang w:val="en-US" w:eastAsia="zh-CN"/>
          <w14:textFill>
            <w14:solidFill>
              <w14:schemeClr w14:val="tx1"/>
            </w14:solidFill>
          </w14:textFill>
        </w:rPr>
        <w:t xml:space="preserve"> </w:t>
      </w:r>
      <w:r>
        <w:rPr>
          <w:rFonts w:hint="eastAsia"/>
          <w:b/>
          <w:color w:val="000000" w:themeColor="text1"/>
          <w:sz w:val="24"/>
          <w:szCs w:val="24"/>
          <w:highlight w:val="none"/>
          <w:lang w:eastAsia="zh-CN"/>
          <w14:textFill>
            <w14:solidFill>
              <w14:schemeClr w14:val="tx1"/>
            </w14:solidFill>
          </w14:textFill>
        </w:rPr>
        <w:t>承诺人：</w:t>
      </w:r>
      <w:r>
        <w:rPr>
          <w:rFonts w:hint="eastAsia"/>
          <w:b/>
          <w:color w:val="000000" w:themeColor="text1"/>
          <w:sz w:val="24"/>
          <w:szCs w:val="24"/>
          <w:highlight w:val="none"/>
          <w14:textFill>
            <w14:solidFill>
              <w14:schemeClr w14:val="tx1"/>
            </w14:solidFill>
          </w14:textFill>
        </w:rPr>
        <w:t>共有产权住房购房人</w:t>
      </w:r>
      <w:r>
        <w:rPr>
          <w:rFonts w:hint="eastAsia"/>
          <w:b/>
          <w:color w:val="000000" w:themeColor="text1"/>
          <w:sz w:val="24"/>
          <w:szCs w:val="24"/>
          <w:highlight w:val="none"/>
          <w:lang w:eastAsia="zh-CN"/>
          <w14:textFill>
            <w14:solidFill>
              <w14:schemeClr w14:val="tx1"/>
            </w14:solidFill>
          </w14:textFill>
        </w:rPr>
        <w:t>（</w:t>
      </w:r>
      <w:r>
        <w:rPr>
          <w:rFonts w:hint="eastAsia"/>
          <w:b/>
          <w:color w:val="000000" w:themeColor="text1"/>
          <w:sz w:val="24"/>
          <w:szCs w:val="24"/>
          <w:highlight w:val="none"/>
          <w14:textFill>
            <w14:solidFill>
              <w14:schemeClr w14:val="tx1"/>
            </w14:solidFill>
          </w14:textFill>
        </w:rPr>
        <w:t>乙方</w:t>
      </w:r>
      <w:r>
        <w:rPr>
          <w:rFonts w:hint="eastAsia"/>
          <w:b/>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承诺</w:t>
      </w:r>
      <w:r>
        <w:rPr>
          <w:rFonts w:hint="eastAsia"/>
          <w:color w:val="000000" w:themeColor="text1"/>
          <w:sz w:val="24"/>
          <w:highlight w:val="none"/>
          <w14:textFill>
            <w14:solidFill>
              <w14:schemeClr w14:val="tx1"/>
            </w14:solidFill>
          </w14:textFill>
        </w:rPr>
        <w:t>人一：________________________________________________</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hint="eastAsia" w:cs="Microsoft JhengHei"/>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cs="Microsoft JhengHei"/>
          <w:color w:val="000000" w:themeColor="text1"/>
          <w:spacing w:val="14"/>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ind w:firstLineChars="200"/>
        <w:rPr>
          <w:rFonts w:hint="eastAsia"/>
          <w:color w:val="000000" w:themeColor="text1"/>
          <w:highlight w:val="none"/>
          <w:u w:val="singl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【法定代理人】</w:t>
      </w:r>
      <w:r>
        <w:rPr>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spacing w:line="360" w:lineRule="auto"/>
        <w:ind w:firstLine="480" w:firstLineChars="200"/>
        <w:jc w:val="left"/>
        <w:rPr>
          <w:color w:val="000000" w:themeColor="text1"/>
          <w:sz w:val="24"/>
          <w:highlight w:val="none"/>
          <w14:textFill>
            <w14:solidFill>
              <w14:schemeClr w14:val="tx1"/>
            </w14:solidFill>
          </w14:textFill>
        </w:rPr>
      </w:pPr>
    </w:p>
    <w:p>
      <w:pPr>
        <w:spacing w:line="360" w:lineRule="auto"/>
        <w:ind w:firstLine="560" w:firstLineChars="200"/>
        <w:jc w:val="left"/>
        <w:rPr>
          <w:color w:val="000000" w:themeColor="text1"/>
          <w:sz w:val="28"/>
          <w:szCs w:val="28"/>
          <w:highlight w:val="none"/>
          <w14:textFill>
            <w14:solidFill>
              <w14:schemeClr w14:val="tx1"/>
            </w14:solidFill>
          </w14:textFill>
        </w:rPr>
      </w:pP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承诺</w:t>
      </w:r>
      <w:r>
        <w:rPr>
          <w:rFonts w:hint="eastAsia"/>
          <w:color w:val="000000" w:themeColor="text1"/>
          <w:sz w:val="24"/>
          <w:highlight w:val="none"/>
          <w14:textFill>
            <w14:solidFill>
              <w14:schemeClr w14:val="tx1"/>
            </w14:solidFill>
          </w14:textFill>
        </w:rPr>
        <w:t>人二：________________________________________________</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hint="eastAsia" w:cs="Microsoft JhengHei"/>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cs="Microsoft JhengHei"/>
          <w:color w:val="000000" w:themeColor="text1"/>
          <w:spacing w:val="14"/>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ind w:firstLineChars="200"/>
        <w:rPr>
          <w:rFonts w:hint="eastAsia"/>
          <w:color w:val="000000" w:themeColor="text1"/>
          <w:highlight w:val="none"/>
          <w:u w:val="singl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【法定代理人】</w:t>
      </w:r>
      <w:r>
        <w:rPr>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2"/>
        <w:spacing w:line="360" w:lineRule="auto"/>
        <w:ind w:firstLine="0" w:firstLineChars="0"/>
        <w:jc w:val="left"/>
        <w:rPr>
          <w:rFonts w:hint="eastAsia"/>
          <w:color w:val="000000" w:themeColor="text1"/>
          <w:sz w:val="24"/>
          <w:highlight w:val="none"/>
          <w14:textFill>
            <w14:solidFill>
              <w14:schemeClr w14:val="tx1"/>
            </w14:solidFill>
          </w14:textFill>
        </w:rPr>
      </w:pPr>
    </w:p>
    <w:p>
      <w:pPr>
        <w:widowControl/>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乙方及乙方同住人已仔细阅读了《北京市共有产权住房管理暂行办法》和相关规定，以及北京市</w:t>
      </w:r>
      <w:r>
        <w:rPr>
          <w:rFonts w:hint="eastAsia" w:ascii="宋体" w:hAnsi="宋体"/>
          <w:color w:val="000000" w:themeColor="text1"/>
          <w:sz w:val="24"/>
          <w:highlight w:val="none"/>
          <w:lang w:val="en-US" w:eastAsia="zh-CN"/>
          <w14:textFill>
            <w14:solidFill>
              <w14:schemeClr w14:val="tx1"/>
            </w14:solidFill>
          </w14:textFill>
        </w:rPr>
        <w:t>大兴区集体经营性建设用地上</w:t>
      </w:r>
      <w:r>
        <w:rPr>
          <w:rFonts w:hint="eastAsia" w:ascii="宋体" w:hAnsi="宋体"/>
          <w:color w:val="000000" w:themeColor="text1"/>
          <w:sz w:val="24"/>
          <w:highlight w:val="none"/>
          <w14:textFill>
            <w14:solidFill>
              <w14:schemeClr w14:val="tx1"/>
            </w14:solidFill>
          </w14:textFill>
        </w:rPr>
        <w:t>共有产权住房</w:t>
      </w:r>
      <w:r>
        <w:rPr>
          <w:rFonts w:hint="eastAsia" w:ascii="宋体" w:hAnsi="宋体"/>
          <w:color w:val="000000" w:themeColor="text1"/>
          <w:sz w:val="24"/>
          <w:highlight w:val="none"/>
          <w:lang w:eastAsia="zh-CN"/>
          <w14:textFill>
            <w14:solidFill>
              <w14:schemeClr w14:val="tx1"/>
            </w14:solidFill>
          </w14:textFill>
        </w:rPr>
        <w:t>现房买卖</w:t>
      </w:r>
      <w:r>
        <w:rPr>
          <w:rFonts w:hint="eastAsia" w:ascii="宋体" w:hAnsi="宋体"/>
          <w:color w:val="000000" w:themeColor="text1"/>
          <w:sz w:val="24"/>
          <w:highlight w:val="none"/>
          <w14:textFill>
            <w14:solidFill>
              <w14:schemeClr w14:val="tx1"/>
            </w14:solidFill>
          </w14:textFill>
        </w:rPr>
        <w:t>合同（以下简称</w:t>
      </w:r>
      <w:r>
        <w:rPr>
          <w:rFonts w:hint="eastAsia" w:ascii="宋体" w:hAnsi="宋体"/>
          <w:color w:val="000000" w:themeColor="text1"/>
          <w:sz w:val="24"/>
          <w:highlight w:val="none"/>
          <w:lang w:eastAsia="zh-CN"/>
          <w14:textFill>
            <w14:solidFill>
              <w14:schemeClr w14:val="tx1"/>
            </w14:solidFill>
          </w14:textFill>
        </w:rPr>
        <w:t>现房</w:t>
      </w:r>
      <w:r>
        <w:rPr>
          <w:rFonts w:hint="eastAsia" w:ascii="宋体" w:hAnsi="宋体"/>
          <w:color w:val="000000" w:themeColor="text1"/>
          <w:sz w:val="24"/>
          <w:highlight w:val="none"/>
          <w14:textFill>
            <w14:solidFill>
              <w14:schemeClr w14:val="tx1"/>
            </w14:solidFill>
          </w14:textFill>
        </w:rPr>
        <w:t>合同）、本</w:t>
      </w:r>
      <w:r>
        <w:rPr>
          <w:rFonts w:hint="eastAsia" w:ascii="宋体" w:hAnsi="宋体"/>
          <w:color w:val="000000" w:themeColor="text1"/>
          <w:sz w:val="24"/>
          <w:highlight w:val="none"/>
          <w:lang w:eastAsia="zh-CN"/>
          <w14:textFill>
            <w14:solidFill>
              <w14:schemeClr w14:val="tx1"/>
            </w14:solidFill>
          </w14:textFill>
        </w:rPr>
        <w:t>承诺书</w:t>
      </w:r>
      <w:r>
        <w:rPr>
          <w:rFonts w:hint="eastAsia" w:ascii="宋体" w:hAnsi="宋体"/>
          <w:color w:val="000000" w:themeColor="text1"/>
          <w:sz w:val="24"/>
          <w:highlight w:val="none"/>
          <w14:textFill>
            <w14:solidFill>
              <w14:schemeClr w14:val="tx1"/>
            </w14:solidFill>
          </w14:textFill>
        </w:rPr>
        <w:t>内容，对乙方及乙方同住人享有的权利和应当承担的义务明确、清楚，承诺在居住期间，遵守共有产权住房使用有关规定和</w:t>
      </w:r>
      <w:r>
        <w:rPr>
          <w:rFonts w:hint="eastAsia" w:ascii="宋体" w:hAnsi="宋体"/>
          <w:color w:val="000000" w:themeColor="text1"/>
          <w:sz w:val="24"/>
          <w:highlight w:val="none"/>
          <w:lang w:eastAsia="zh-CN"/>
          <w14:textFill>
            <w14:solidFill>
              <w14:schemeClr w14:val="tx1"/>
            </w14:solidFill>
          </w14:textFill>
        </w:rPr>
        <w:t>现房</w:t>
      </w:r>
      <w:r>
        <w:rPr>
          <w:rFonts w:hint="eastAsia" w:ascii="宋体" w:hAnsi="宋体"/>
          <w:color w:val="000000" w:themeColor="text1"/>
          <w:sz w:val="24"/>
          <w:highlight w:val="none"/>
          <w14:textFill>
            <w14:solidFill>
              <w14:schemeClr w14:val="tx1"/>
            </w14:solidFill>
          </w14:textFill>
        </w:rPr>
        <w:t>合同、</w:t>
      </w:r>
      <w:r>
        <w:rPr>
          <w:rFonts w:hint="eastAsia" w:ascii="宋体" w:hAnsi="宋体"/>
          <w:color w:val="000000" w:themeColor="text1"/>
          <w:sz w:val="24"/>
          <w:highlight w:val="none"/>
          <w:lang w:eastAsia="zh-CN"/>
          <w14:textFill>
            <w14:solidFill>
              <w14:schemeClr w14:val="tx1"/>
            </w14:solidFill>
          </w14:textFill>
        </w:rPr>
        <w:t>承诺书内容</w:t>
      </w:r>
      <w:r>
        <w:rPr>
          <w:rFonts w:hint="eastAsia" w:ascii="宋体" w:hAnsi="宋体"/>
          <w:color w:val="000000" w:themeColor="text1"/>
          <w:sz w:val="24"/>
          <w:highlight w:val="none"/>
          <w14:textFill>
            <w14:solidFill>
              <w14:schemeClr w14:val="tx1"/>
            </w14:solidFill>
          </w14:textFill>
        </w:rPr>
        <w:t>，合理使用房屋。有违反相关规定和</w:t>
      </w:r>
      <w:r>
        <w:rPr>
          <w:rFonts w:hint="eastAsia" w:ascii="宋体" w:hAnsi="宋体"/>
          <w:color w:val="000000" w:themeColor="text1"/>
          <w:sz w:val="24"/>
          <w:highlight w:val="none"/>
          <w:lang w:eastAsia="zh-CN"/>
          <w14:textFill>
            <w14:solidFill>
              <w14:schemeClr w14:val="tx1"/>
            </w14:solidFill>
          </w14:textFill>
        </w:rPr>
        <w:t>现房</w:t>
      </w:r>
      <w:r>
        <w:rPr>
          <w:rFonts w:hint="eastAsia" w:ascii="宋体" w:hAnsi="宋体"/>
          <w:color w:val="000000" w:themeColor="text1"/>
          <w:sz w:val="24"/>
          <w:highlight w:val="none"/>
          <w14:textFill>
            <w14:solidFill>
              <w14:schemeClr w14:val="tx1"/>
            </w14:solidFill>
          </w14:textFill>
        </w:rPr>
        <w:t>合同、</w:t>
      </w:r>
      <w:r>
        <w:rPr>
          <w:rFonts w:hint="eastAsia" w:ascii="宋体" w:hAnsi="宋体"/>
          <w:color w:val="000000" w:themeColor="text1"/>
          <w:sz w:val="24"/>
          <w:highlight w:val="none"/>
          <w:lang w:eastAsia="zh-CN"/>
          <w14:textFill>
            <w14:solidFill>
              <w14:schemeClr w14:val="tx1"/>
            </w14:solidFill>
          </w14:textFill>
        </w:rPr>
        <w:t>承诺书</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由</w:t>
      </w:r>
      <w:r>
        <w:rPr>
          <w:rFonts w:hint="eastAsia" w:ascii="宋体" w:hAnsi="宋体"/>
          <w:color w:val="000000" w:themeColor="text1"/>
          <w:sz w:val="24"/>
          <w:highlight w:val="none"/>
          <w14:textFill>
            <w14:solidFill>
              <w14:schemeClr w14:val="tx1"/>
            </w14:solidFill>
          </w14:textFill>
        </w:rPr>
        <w:t>丙方按管理规定和</w:t>
      </w:r>
      <w:r>
        <w:rPr>
          <w:rFonts w:hint="eastAsia" w:ascii="宋体" w:hAnsi="宋体"/>
          <w:color w:val="000000" w:themeColor="text1"/>
          <w:sz w:val="24"/>
          <w:highlight w:val="none"/>
          <w:lang w:eastAsia="zh-CN"/>
          <w14:textFill>
            <w14:solidFill>
              <w14:schemeClr w14:val="tx1"/>
            </w14:solidFill>
          </w14:textFill>
        </w:rPr>
        <w:t>现房</w:t>
      </w:r>
      <w:r>
        <w:rPr>
          <w:rFonts w:hint="eastAsia" w:ascii="宋体" w:hAnsi="宋体"/>
          <w:color w:val="000000" w:themeColor="text1"/>
          <w:sz w:val="24"/>
          <w:highlight w:val="none"/>
          <w14:textFill>
            <w14:solidFill>
              <w14:schemeClr w14:val="tx1"/>
            </w14:solidFill>
          </w14:textFill>
        </w:rPr>
        <w:t>合同、</w:t>
      </w:r>
      <w:r>
        <w:rPr>
          <w:rFonts w:hint="eastAsia" w:ascii="宋体" w:hAnsi="宋体"/>
          <w:color w:val="000000" w:themeColor="text1"/>
          <w:sz w:val="24"/>
          <w:highlight w:val="none"/>
          <w:lang w:eastAsia="zh-CN"/>
          <w14:textFill>
            <w14:solidFill>
              <w14:schemeClr w14:val="tx1"/>
            </w14:solidFill>
          </w14:textFill>
        </w:rPr>
        <w:t>承诺书</w:t>
      </w:r>
      <w:r>
        <w:rPr>
          <w:rFonts w:hint="eastAsia" w:ascii="宋体" w:hAnsi="宋体"/>
          <w:color w:val="000000" w:themeColor="text1"/>
          <w:sz w:val="24"/>
          <w:highlight w:val="none"/>
          <w14:textFill>
            <w14:solidFill>
              <w14:schemeClr w14:val="tx1"/>
            </w14:solidFill>
          </w14:textFill>
        </w:rPr>
        <w:t>进行处理。</w:t>
      </w:r>
    </w:p>
    <w:p>
      <w:pPr>
        <w:widowControl/>
        <w:spacing w:line="360" w:lineRule="auto"/>
        <w:ind w:firstLine="482" w:firstLineChars="200"/>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第一条  同住人基本情况</w:t>
      </w:r>
    </w:p>
    <w:p>
      <w:pPr>
        <w:spacing w:line="360" w:lineRule="auto"/>
        <w:ind w:firstLine="482" w:firstLineChars="200"/>
        <w:rPr>
          <w:rFonts w:hint="eastAsia"/>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：________________________________________________</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hint="eastAsia" w:cs="Microsoft JhengHei"/>
          <w:color w:val="000000" w:themeColor="text1"/>
          <w:highlight w:val="none"/>
          <w:u w:val="single"/>
          <w14:textFill>
            <w14:solidFill>
              <w14:schemeClr w14:val="tx1"/>
            </w14:solidFill>
          </w14:textFill>
        </w:rPr>
        <w:t xml:space="preserve"> </w:t>
      </w:r>
      <w:r>
        <w:rPr>
          <w:rFonts w:cs="Microsoft JhengHei"/>
          <w:color w:val="000000" w:themeColor="text1"/>
          <w:highlight w:val="none"/>
          <w:u w:val="single"/>
          <w14:textFill>
            <w14:solidFill>
              <w14:schemeClr w14:val="tx1"/>
            </w14:solidFill>
          </w14:textFill>
        </w:rPr>
        <w:t xml:space="preserve">   </w:t>
      </w:r>
      <w:r>
        <w:rPr>
          <w:rFonts w:cs="Microsoft JhengHei"/>
          <w:color w:val="000000" w:themeColor="text1"/>
          <w:spacing w:val="14"/>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ind w:firstLineChars="200"/>
        <w:rPr>
          <w:rFonts w:hint="eastAsia"/>
          <w:color w:val="000000" w:themeColor="text1"/>
          <w:highlight w:val="none"/>
          <w:u w:val="single"/>
          <w14:textFill>
            <w14:solidFill>
              <w14:schemeClr w14:val="tx1"/>
            </w14:solidFill>
          </w14:textFill>
        </w:rPr>
      </w:pPr>
      <w:r>
        <w:rPr>
          <w:rFonts w:ascii="新宋体" w:hAnsi="新宋体" w:eastAsia="新宋体"/>
          <w:color w:val="000000" w:themeColor="text1"/>
          <w:highlight w:val="none"/>
          <w14:textFill>
            <w14:solidFill>
              <w14:schemeClr w14:val="tx1"/>
            </w14:solidFill>
          </w14:textFill>
        </w:rPr>
        <w:t>【法定代理人】</w:t>
      </w:r>
      <w:r>
        <w:rPr>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户籍所在地：</w:t>
      </w:r>
      <w:r>
        <w:rPr>
          <w:color w:val="000000" w:themeColor="text1"/>
          <w:highlight w:val="none"/>
          <w:u w:val="singl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证件类型：【居民身份证】【       】,证号：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出生日期：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月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日，性别：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通讯地址：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联系电话：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（同住人为多人时，可相应增加）</w:t>
      </w:r>
    </w:p>
    <w:p>
      <w:pPr>
        <w:widowControl/>
        <w:spacing w:line="360" w:lineRule="auto"/>
        <w:ind w:firstLine="482" w:firstLineChars="200"/>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第二条  房屋转让</w:t>
      </w:r>
    </w:p>
    <w:p>
      <w:pPr>
        <w:spacing w:line="360" w:lineRule="auto"/>
        <w:ind w:firstLine="480" w:firstLineChars="200"/>
        <w:rPr>
          <w:rFonts w:hint="eastAsia"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1.乙方取得不动产权证</w:t>
      </w:r>
      <w:r>
        <w:rPr>
          <w:rFonts w:hint="eastAsia" w:ascii="宋体" w:hAnsi="宋体"/>
          <w:color w:val="000000" w:themeColor="text1"/>
          <w:kern w:val="0"/>
          <w:sz w:val="24"/>
          <w:szCs w:val="18"/>
          <w:highlight w:val="none"/>
          <w:lang w:eastAsia="zh-CN"/>
          <w14:textFill>
            <w14:solidFill>
              <w14:schemeClr w14:val="tx1"/>
            </w14:solidFill>
          </w14:textFill>
        </w:rPr>
        <w:t>书</w:t>
      </w:r>
      <w:r>
        <w:rPr>
          <w:rFonts w:hint="eastAsia" w:ascii="宋体" w:hAnsi="宋体"/>
          <w:color w:val="000000" w:themeColor="text1"/>
          <w:kern w:val="0"/>
          <w:sz w:val="24"/>
          <w:szCs w:val="18"/>
          <w:highlight w:val="none"/>
          <w14:textFill>
            <w14:solidFill>
              <w14:schemeClr w14:val="tx1"/>
            </w14:solidFill>
          </w14:textFill>
        </w:rPr>
        <w:t>未满</w:t>
      </w:r>
      <w:r>
        <w:rPr>
          <w:rFonts w:ascii="宋体" w:hAnsi="宋体"/>
          <w:color w:val="000000" w:themeColor="text1"/>
          <w:kern w:val="0"/>
          <w:sz w:val="24"/>
          <w:szCs w:val="18"/>
          <w:highlight w:val="none"/>
          <w14:textFill>
            <w14:solidFill>
              <w14:schemeClr w14:val="tx1"/>
            </w14:solidFill>
          </w14:textFill>
        </w:rPr>
        <w:t>5</w:t>
      </w:r>
      <w:r>
        <w:rPr>
          <w:rFonts w:hint="eastAsia" w:ascii="宋体" w:hAnsi="宋体"/>
          <w:color w:val="000000" w:themeColor="text1"/>
          <w:kern w:val="0"/>
          <w:sz w:val="24"/>
          <w:szCs w:val="18"/>
          <w:highlight w:val="none"/>
          <w14:textFill>
            <w14:solidFill>
              <w14:schemeClr w14:val="tx1"/>
            </w14:solidFill>
          </w14:textFill>
        </w:rPr>
        <w:t>年的，不允许转让房屋产权份额，因特殊原因确需转让的，可向</w:t>
      </w:r>
      <w:r>
        <w:rPr>
          <w:rFonts w:hint="eastAsia" w:ascii="宋体" w:hAnsi="宋体"/>
          <w:color w:val="000000" w:themeColor="text1"/>
          <w:kern w:val="0"/>
          <w:sz w:val="24"/>
          <w:szCs w:val="18"/>
          <w:highlight w:val="none"/>
          <w:lang w:val="en-US" w:eastAsia="zh-CN"/>
          <w14:textFill>
            <w14:solidFill>
              <w14:schemeClr w14:val="tx1"/>
            </w14:solidFill>
          </w14:textFill>
        </w:rPr>
        <w:t>大兴区</w:t>
      </w:r>
      <w:r>
        <w:rPr>
          <w:rFonts w:hint="eastAsia" w:ascii="宋体" w:hAnsi="宋体"/>
          <w:color w:val="000000" w:themeColor="text1"/>
          <w:kern w:val="0"/>
          <w:sz w:val="24"/>
          <w:szCs w:val="18"/>
          <w:highlight w:val="none"/>
          <w14:textFill>
            <w14:solidFill>
              <w14:schemeClr w14:val="tx1"/>
            </w14:solidFill>
          </w14:textFill>
        </w:rPr>
        <w:t>住房城乡建设委（房管局）提交申请，由丙方回购。回购价格按购买价格并考虑折旧和物价水平等因素确定，具体价格在回购合同中另行约定。</w:t>
      </w:r>
    </w:p>
    <w:p>
      <w:pPr>
        <w:spacing w:line="360" w:lineRule="auto"/>
        <w:ind w:firstLine="480" w:firstLineChars="200"/>
        <w:rPr>
          <w:rFonts w:hint="eastAsia"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2.乙方取得不动产权证</w:t>
      </w:r>
      <w:r>
        <w:rPr>
          <w:rFonts w:hint="eastAsia" w:ascii="宋体" w:hAnsi="宋体"/>
          <w:color w:val="000000" w:themeColor="text1"/>
          <w:kern w:val="0"/>
          <w:sz w:val="24"/>
          <w:szCs w:val="18"/>
          <w:highlight w:val="none"/>
          <w:lang w:eastAsia="zh-CN"/>
          <w14:textFill>
            <w14:solidFill>
              <w14:schemeClr w14:val="tx1"/>
            </w14:solidFill>
          </w14:textFill>
        </w:rPr>
        <w:t>书</w:t>
      </w:r>
      <w:r>
        <w:rPr>
          <w:rFonts w:hint="eastAsia" w:ascii="宋体" w:hAnsi="宋体"/>
          <w:color w:val="000000" w:themeColor="text1"/>
          <w:kern w:val="0"/>
          <w:sz w:val="24"/>
          <w:szCs w:val="18"/>
          <w:highlight w:val="none"/>
          <w14:textFill>
            <w14:solidFill>
              <w14:schemeClr w14:val="tx1"/>
            </w14:solidFill>
          </w14:textFill>
        </w:rPr>
        <w:t>满</w:t>
      </w:r>
      <w:r>
        <w:rPr>
          <w:rFonts w:ascii="宋体" w:hAnsi="宋体"/>
          <w:color w:val="000000" w:themeColor="text1"/>
          <w:kern w:val="0"/>
          <w:sz w:val="24"/>
          <w:szCs w:val="18"/>
          <w:highlight w:val="none"/>
          <w14:textFill>
            <w14:solidFill>
              <w14:schemeClr w14:val="tx1"/>
            </w14:solidFill>
          </w14:textFill>
        </w:rPr>
        <w:t>5</w:t>
      </w:r>
      <w:r>
        <w:rPr>
          <w:rFonts w:hint="eastAsia" w:ascii="宋体" w:hAnsi="宋体"/>
          <w:color w:val="000000" w:themeColor="text1"/>
          <w:kern w:val="0"/>
          <w:sz w:val="24"/>
          <w:szCs w:val="18"/>
          <w:highlight w:val="none"/>
          <w14:textFill>
            <w14:solidFill>
              <w14:schemeClr w14:val="tx1"/>
            </w14:solidFill>
          </w14:textFill>
        </w:rPr>
        <w:t>年的，可按市场价格转让所购房屋产权份额。</w:t>
      </w:r>
    </w:p>
    <w:p>
      <w:pPr>
        <w:spacing w:line="360" w:lineRule="auto"/>
        <w:ind w:firstLine="480" w:firstLineChars="200"/>
        <w:rPr>
          <w:rFonts w:hint="eastAsia"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（1）乙方向原分配区住房城乡建设委（房管局）提交上市申请，明确出售价格。同等价格条件下，丙方可优先购买。</w:t>
      </w:r>
    </w:p>
    <w:p>
      <w:pPr>
        <w:spacing w:line="360" w:lineRule="auto"/>
        <w:ind w:firstLine="480" w:firstLineChars="200"/>
        <w:rPr>
          <w:rFonts w:hint="eastAsia"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2）丙方放弃优先购买权的，乙方可在丙方建立的网络服务平台发布转让所购房屋产权份额信息，具体份额比例为本合同第六条中明确的乙方拥有的产权比例。转让对象应为其他符合共有产权住房购买条件的家庭。新购房人获得房屋产权性质仍为“共有产权住房”。</w:t>
      </w:r>
    </w:p>
    <w:p>
      <w:pPr>
        <w:spacing w:line="360" w:lineRule="auto"/>
        <w:ind w:firstLine="480" w:firstLineChars="200"/>
        <w:rPr>
          <w:rFonts w:hint="eastAsia"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3.丙方行使优先购买权的房屋价格，应委托房地产估价机构参照周边市场价格评估确定。乙方转让价格明显低于评估价格的，丙方应当按购房人提出的转让价格予以回购。</w:t>
      </w:r>
    </w:p>
    <w:p>
      <w:pPr>
        <w:widowControl/>
        <w:spacing w:line="360" w:lineRule="auto"/>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第三条  购买其他住房</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lang w:eastAsia="zh-CN"/>
          <w14:textFill>
            <w14:solidFill>
              <w14:schemeClr w14:val="tx1"/>
            </w14:solidFill>
          </w14:textFill>
        </w:rPr>
        <w:t>及其未成年子女</w:t>
      </w:r>
      <w:r>
        <w:rPr>
          <w:rFonts w:hint="eastAsia" w:ascii="宋体" w:hAnsi="宋体"/>
          <w:color w:val="000000" w:themeColor="text1"/>
          <w:sz w:val="24"/>
          <w:highlight w:val="none"/>
          <w14:textFill>
            <w14:solidFill>
              <w14:schemeClr w14:val="tx1"/>
            </w14:solidFill>
          </w14:textFill>
        </w:rPr>
        <w:t>购买其他商品住房的，在签订有关房屋</w:t>
      </w:r>
      <w:r>
        <w:rPr>
          <w:rFonts w:hint="eastAsia" w:ascii="宋体" w:hAnsi="宋体"/>
          <w:color w:val="000000" w:themeColor="text1"/>
          <w:sz w:val="24"/>
          <w:highlight w:val="none"/>
          <w:lang w:eastAsia="zh-CN"/>
          <w14:textFill>
            <w14:solidFill>
              <w14:schemeClr w14:val="tx1"/>
            </w14:solidFill>
          </w14:textFill>
        </w:rPr>
        <w:t>买卖</w:t>
      </w:r>
      <w:r>
        <w:rPr>
          <w:rFonts w:hint="eastAsia" w:ascii="宋体" w:hAnsi="宋体"/>
          <w:color w:val="000000" w:themeColor="text1"/>
          <w:sz w:val="24"/>
          <w:highlight w:val="none"/>
          <w14:textFill>
            <w14:solidFill>
              <w14:schemeClr w14:val="tx1"/>
            </w14:solidFill>
          </w14:textFill>
        </w:rPr>
        <w:t>合同后30日内，以书面形式告知丙方。丙方可以在收到乙方告知或者收到相关不动产登记机构书面告知后，按照有关规定由丙方按市场评估价格回购该房屋乙方产权份额。</w:t>
      </w:r>
    </w:p>
    <w:p>
      <w:pPr>
        <w:widowControl/>
        <w:spacing w:line="360" w:lineRule="auto"/>
        <w:ind w:firstLine="482" w:firstLineChars="200"/>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第四条  房屋出租</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乙方应在市级统一搭建的网络服务平台发布房屋出租信息。乙方出租住房后，所得租金收益（除应缴纳的相关税费外）按照本合同约定的乙方、丙方所占房屋产权份额比例进行分配，即乙方获得租金收益的</w:t>
      </w:r>
      <w:r>
        <w:rPr>
          <w:rFonts w:hint="eastAsia"/>
          <w:color w:val="000000" w:themeColor="text1"/>
          <w:sz w:val="24"/>
          <w:highlight w:val="none"/>
          <w14:textFill>
            <w14:solidFill>
              <w14:schemeClr w14:val="tx1"/>
            </w14:solidFill>
          </w14:textFill>
        </w:rPr>
        <w:t>_______</w:t>
      </w:r>
      <w:r>
        <w:rPr>
          <w:rFonts w:hint="eastAsia" w:ascii="宋体" w:hAnsi="宋体"/>
          <w:color w:val="000000" w:themeColor="text1"/>
          <w:sz w:val="24"/>
          <w:highlight w:val="none"/>
          <w14:textFill>
            <w14:solidFill>
              <w14:schemeClr w14:val="tx1"/>
            </w14:solidFill>
          </w14:textFill>
        </w:rPr>
        <w:t>%，丙方获得租金收益的</w:t>
      </w:r>
      <w:r>
        <w:rPr>
          <w:rFonts w:hint="eastAsia"/>
          <w:color w:val="000000" w:themeColor="text1"/>
          <w:sz w:val="24"/>
          <w:highlight w:val="none"/>
          <w14:textFill>
            <w14:solidFill>
              <w14:schemeClr w14:val="tx1"/>
            </w14:solidFill>
          </w14:textFill>
        </w:rPr>
        <w:t>_______</w:t>
      </w:r>
      <w:r>
        <w:rPr>
          <w:rFonts w:hint="eastAsia" w:ascii="宋体" w:hAnsi="宋体"/>
          <w:color w:val="000000" w:themeColor="text1"/>
          <w:sz w:val="24"/>
          <w:highlight w:val="none"/>
          <w14:textFill>
            <w14:solidFill>
              <w14:schemeClr w14:val="tx1"/>
            </w14:solidFill>
          </w14:textFill>
        </w:rPr>
        <w:t xml:space="preserve"> %。</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乙方及其</w:t>
      </w:r>
      <w:r>
        <w:rPr>
          <w:rFonts w:hint="eastAsia" w:ascii="宋体" w:hAnsi="宋体"/>
          <w:color w:val="000000" w:themeColor="text1"/>
          <w:sz w:val="24"/>
          <w:highlight w:val="none"/>
          <w:lang w:eastAsia="zh-CN"/>
          <w14:textFill>
            <w14:solidFill>
              <w14:schemeClr w14:val="tx1"/>
            </w14:solidFill>
          </w14:textFill>
        </w:rPr>
        <w:t>同住人</w:t>
      </w:r>
      <w:r>
        <w:rPr>
          <w:rFonts w:hint="eastAsia" w:ascii="宋体" w:hAnsi="宋体"/>
          <w:color w:val="000000" w:themeColor="text1"/>
          <w:sz w:val="24"/>
          <w:highlight w:val="none"/>
          <w14:textFill>
            <w14:solidFill>
              <w14:schemeClr w14:val="tx1"/>
            </w14:solidFill>
          </w14:textFill>
        </w:rPr>
        <w:t>，未经丙方同意不得擅自出租共有产权住房，应按时足额缴纳政府产权份额租金收益，违反规定且拒不改正的，丙方可暂停办理本套住房的回购和上市手续。乙方、丙方可另行具体约定租赁相关事宜。</w:t>
      </w:r>
    </w:p>
    <w:p>
      <w:pPr>
        <w:widowControl/>
        <w:spacing w:line="360" w:lineRule="auto"/>
        <w:ind w:firstLine="482" w:firstLineChars="200"/>
        <w:jc w:val="left"/>
        <w:rPr>
          <w:rFonts w:hint="eastAsia" w:ascii="宋体" w:hAnsi="宋体"/>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第五条  房屋的居住及查访</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乙方承诺，购买的共有产权住房用于</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及</w:t>
      </w:r>
      <w:r>
        <w:rPr>
          <w:rFonts w:hint="eastAsia" w:ascii="宋体" w:hAnsi="宋体"/>
          <w:color w:val="000000" w:themeColor="text1"/>
          <w:sz w:val="24"/>
          <w:highlight w:val="none"/>
          <w:lang w:eastAsia="zh-CN"/>
          <w14:textFill>
            <w14:solidFill>
              <w14:schemeClr w14:val="tx1"/>
            </w14:solidFill>
          </w14:textFill>
        </w:rPr>
        <w:t>其</w:t>
      </w:r>
      <w:r>
        <w:rPr>
          <w:rFonts w:hint="eastAsia" w:ascii="宋体" w:hAnsi="宋体"/>
          <w:color w:val="000000" w:themeColor="text1"/>
          <w:sz w:val="24"/>
          <w:highlight w:val="none"/>
          <w14:textFill>
            <w14:solidFill>
              <w14:schemeClr w14:val="tx1"/>
            </w14:solidFill>
          </w14:textFill>
        </w:rPr>
        <w:t>同住人居住使用。乙方和丙方未协商一致且书面同意的情况下，不得将拥有的产权份额赠与或分割转让给他人，不得擅自转让、调换、出租、出借共有产权住房。</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乙方同意，丙方可以采取家访等方式，查实该房屋的居住和使用状况，乙方应当给予配合。</w:t>
      </w:r>
    </w:p>
    <w:p>
      <w:pPr>
        <w:widowControl/>
        <w:spacing w:line="360" w:lineRule="auto"/>
        <w:ind w:firstLine="482" w:firstLineChars="200"/>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第六条  合理使用 </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按照相关规定和主合同及本房屋使用协议，合理使用房屋，自房屋交付后5年内，乙方不得对内部装饰装修进行拆除。自主合同签订之日起，乙方与丙方没有协商一致，不得将房屋出售、赠与、出租、出借。乙方有擅自出售、赠与、出租、出借行为的，按照以下</w:t>
      </w:r>
      <w:r>
        <w:rPr>
          <w:rFonts w:hint="eastAsia" w:ascii="宋体" w:hAnsi="宋体"/>
          <w:color w:val="000000" w:themeColor="text1"/>
          <w:sz w:val="24"/>
          <w:highlight w:val="none"/>
          <w:lang w:eastAsia="zh-CN"/>
          <w14:textFill>
            <w14:solidFill>
              <w14:schemeClr w14:val="tx1"/>
            </w14:solidFill>
          </w14:textFill>
        </w:rPr>
        <w:t>方式</w:t>
      </w:r>
      <w:r>
        <w:rPr>
          <w:rFonts w:hint="eastAsia" w:ascii="宋体" w:hAnsi="宋体"/>
          <w:color w:val="000000" w:themeColor="text1"/>
          <w:sz w:val="24"/>
          <w:highlight w:val="none"/>
          <w14:textFill>
            <w14:solidFill>
              <w14:schemeClr w14:val="tx1"/>
            </w14:solidFill>
          </w14:textFill>
        </w:rPr>
        <w:t>处理：</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（一）乙方收到丙方要求改正的书面通知后，应及时改正。</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（二）乙方未及时改正的，</w:t>
      </w:r>
      <w:r>
        <w:rPr>
          <w:rFonts w:hint="eastAsia" w:ascii="宋体" w:hAnsi="宋体"/>
          <w:color w:val="000000" w:themeColor="text1"/>
          <w:sz w:val="24"/>
          <w:highlight w:val="none"/>
          <w:lang w:eastAsia="zh-CN"/>
          <w14:textFill>
            <w14:solidFill>
              <w14:schemeClr w14:val="tx1"/>
            </w14:solidFill>
          </w14:textFill>
        </w:rPr>
        <w:t>每日</w:t>
      </w:r>
      <w:r>
        <w:rPr>
          <w:rFonts w:hint="eastAsia" w:ascii="宋体" w:hAnsi="宋体"/>
          <w:color w:val="000000" w:themeColor="text1"/>
          <w:sz w:val="24"/>
          <w:highlight w:val="none"/>
          <w14:textFill>
            <w14:solidFill>
              <w14:schemeClr w14:val="tx1"/>
            </w14:solidFill>
          </w14:textFill>
        </w:rPr>
        <w:t>按乙方支付房款</w:t>
      </w:r>
      <w:r>
        <w:rPr>
          <w:rFonts w:hint="eastAsia" w:ascii="宋体" w:hAnsi="宋体"/>
          <w:color w:val="000000" w:themeColor="text1"/>
          <w:sz w:val="24"/>
          <w:highlight w:val="none"/>
          <w:lang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万分之</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向丙方支付违约金，违约金</w:t>
      </w:r>
      <w:r>
        <w:rPr>
          <w:rFonts w:hint="eastAsia" w:ascii="宋体" w:hAnsi="宋体"/>
          <w:color w:val="000000" w:themeColor="text1"/>
          <w:sz w:val="24"/>
          <w:highlight w:val="none"/>
          <w:lang w:eastAsia="zh-CN"/>
          <w14:textFill>
            <w14:solidFill>
              <w14:schemeClr w14:val="tx1"/>
            </w14:solidFill>
          </w14:textFill>
        </w:rPr>
        <w:t>计算期限</w:t>
      </w:r>
      <w:r>
        <w:rPr>
          <w:rFonts w:hint="eastAsia" w:ascii="宋体" w:hAnsi="宋体"/>
          <w:color w:val="000000" w:themeColor="text1"/>
          <w:sz w:val="24"/>
          <w:highlight w:val="none"/>
          <w14:textFill>
            <w14:solidFill>
              <w14:schemeClr w14:val="tx1"/>
            </w14:solidFill>
          </w14:textFill>
        </w:rPr>
        <w:t>自书面通知明确的改正日期至实际改正之日止。</w:t>
      </w:r>
    </w:p>
    <w:p>
      <w:pPr>
        <w:widowControl/>
        <w:spacing w:line="360" w:lineRule="auto"/>
        <w:ind w:firstLine="480" w:firstLineChars="20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（三）乙方擅自转让、出租等行为将作为不良信用记录</w:t>
      </w:r>
      <w:r>
        <w:rPr>
          <w:rFonts w:hint="eastAsia" w:ascii="宋体" w:hAnsi="宋体" w:eastAsia="宋体" w:cs="Times New Roman"/>
          <w:color w:val="000000" w:themeColor="text1"/>
          <w:sz w:val="24"/>
          <w:highlight w:val="none"/>
          <w14:textFill>
            <w14:solidFill>
              <w14:schemeClr w14:val="tx1"/>
            </w14:solidFill>
          </w14:textFill>
        </w:rPr>
        <w:t>，纳入</w:t>
      </w:r>
      <w:r>
        <w:rPr>
          <w:rFonts w:hint="eastAsia" w:ascii="宋体" w:hAnsi="宋体" w:eastAsia="宋体" w:cs="Times New Roman"/>
          <w:color w:val="000000" w:themeColor="text1"/>
          <w:sz w:val="24"/>
          <w:szCs w:val="24"/>
          <w:highlight w:val="none"/>
          <w14:textFill>
            <w14:solidFill>
              <w14:schemeClr w14:val="tx1"/>
            </w14:solidFill>
          </w14:textFill>
        </w:rPr>
        <w:t>本市信用信息管理系统</w:t>
      </w:r>
      <w:r>
        <w:rPr>
          <w:rFonts w:hint="eastAsia" w:ascii="宋体" w:hAnsi="宋体" w:eastAsia="宋体" w:cs="Times New Roman"/>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（四）政府主管部门对乙方擅自转让、出租等行为做出行政处理决定或</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造成丙方重大损失的，丙方有权在退回乙方原购房款同等金额后，腾退该住房。</w:t>
      </w:r>
    </w:p>
    <w:p>
      <w:pPr>
        <w:pStyle w:val="12"/>
        <w:spacing w:line="360" w:lineRule="auto"/>
        <w:ind w:firstLine="482"/>
        <w:jc w:val="left"/>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14:textFill>
            <w14:solidFill>
              <w14:schemeClr w14:val="tx1"/>
            </w14:solidFill>
          </w14:textFill>
        </w:rPr>
        <w:t>第七条  使用房屋相关费用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乙方应当按照本市相关规定和</w:t>
      </w:r>
      <w:r>
        <w:rPr>
          <w:rFonts w:hint="eastAsia" w:ascii="宋体" w:hAnsi="宋体"/>
          <w:color w:val="000000" w:themeColor="text1"/>
          <w:sz w:val="24"/>
          <w:highlight w:val="none"/>
          <w:lang w:eastAsia="zh-CN"/>
          <w14:textFill>
            <w14:solidFill>
              <w14:schemeClr w14:val="tx1"/>
            </w14:solidFill>
          </w14:textFill>
        </w:rPr>
        <w:t>主</w:t>
      </w:r>
      <w:r>
        <w:rPr>
          <w:rFonts w:hint="eastAsia" w:ascii="宋体" w:hAnsi="宋体"/>
          <w:color w:val="000000" w:themeColor="text1"/>
          <w:sz w:val="24"/>
          <w:highlight w:val="none"/>
          <w14:textFill>
            <w14:solidFill>
              <w14:schemeClr w14:val="tx1"/>
            </w14:solidFill>
          </w14:textFill>
        </w:rPr>
        <w:t>合同第</w:t>
      </w:r>
      <w:r>
        <w:rPr>
          <w:rFonts w:hint="eastAsia" w:ascii="宋体" w:hAnsi="宋体"/>
          <w:color w:val="000000" w:themeColor="text1"/>
          <w:sz w:val="24"/>
          <w:highlight w:val="none"/>
          <w:lang w:val="en-US" w:eastAsia="zh-CN"/>
          <w14:textFill>
            <w14:solidFill>
              <w14:schemeClr w14:val="tx1"/>
            </w14:solidFill>
          </w14:textFill>
        </w:rPr>
        <w:t>十八</w:t>
      </w:r>
      <w:r>
        <w:rPr>
          <w:rFonts w:hint="eastAsia" w:ascii="宋体" w:hAnsi="宋体"/>
          <w:color w:val="000000" w:themeColor="text1"/>
          <w:sz w:val="24"/>
          <w:highlight w:val="none"/>
          <w14:textFill>
            <w14:solidFill>
              <w14:schemeClr w14:val="tx1"/>
            </w14:solidFill>
          </w14:textFill>
        </w:rPr>
        <w:t>条约定，缴纳</w:t>
      </w:r>
      <w:r>
        <w:rPr>
          <w:rFonts w:hint="eastAsia" w:ascii="宋体" w:hAnsi="宋体"/>
          <w:color w:val="000000" w:themeColor="text1"/>
          <w:sz w:val="24"/>
          <w:highlight w:val="none"/>
          <w:lang w:eastAsia="zh-CN"/>
          <w14:textFill>
            <w14:solidFill>
              <w14:schemeClr w14:val="tx1"/>
            </w14:solidFill>
          </w14:textFill>
        </w:rPr>
        <w:t>专项</w:t>
      </w:r>
      <w:r>
        <w:rPr>
          <w:rFonts w:hint="eastAsia" w:ascii="宋体" w:hAnsi="宋体"/>
          <w:color w:val="000000" w:themeColor="text1"/>
          <w:sz w:val="24"/>
          <w:highlight w:val="none"/>
          <w14:textFill>
            <w14:solidFill>
              <w14:schemeClr w14:val="tx1"/>
            </w14:solidFill>
          </w14:textFill>
        </w:rPr>
        <w:t>维修资金，关于支取、使用专项维</w:t>
      </w:r>
      <w:r>
        <w:rPr>
          <w:rFonts w:hint="eastAsia" w:ascii="宋体" w:hAnsi="宋体"/>
          <w:color w:val="000000" w:themeColor="text1"/>
          <w:sz w:val="24"/>
          <w:highlight w:val="none"/>
          <w:lang w:eastAsia="zh-CN"/>
          <w14:textFill>
            <w14:solidFill>
              <w14:schemeClr w14:val="tx1"/>
            </w14:solidFill>
          </w14:textFill>
        </w:rPr>
        <w:t>修</w:t>
      </w:r>
      <w:r>
        <w:rPr>
          <w:rFonts w:hint="eastAsia" w:ascii="宋体" w:hAnsi="宋体"/>
          <w:color w:val="000000" w:themeColor="text1"/>
          <w:sz w:val="24"/>
          <w:highlight w:val="none"/>
          <w14:textFill>
            <w14:solidFill>
              <w14:schemeClr w14:val="tx1"/>
            </w14:solidFill>
          </w14:textFill>
        </w:rPr>
        <w:t>资金等相关事宜，根据本市有关规定或经乙方、丙方另行约定。</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共有产权住房的物业服务费，由乙方承担。具体事宜由乙方和物业服务企业在物业服务合同中进行约定。</w:t>
      </w:r>
    </w:p>
    <w:p>
      <w:pPr>
        <w:pStyle w:val="12"/>
        <w:spacing w:line="360" w:lineRule="auto"/>
        <w:ind w:firstLine="482"/>
        <w:jc w:val="left"/>
        <w:rPr>
          <w:rFonts w:hint="eastAsia" w:ascii="Times New Roman" w:hAnsi="Times New Roman"/>
          <w:b/>
          <w:color w:val="000000" w:themeColor="text1"/>
          <w:sz w:val="24"/>
          <w:szCs w:val="24"/>
          <w:highlight w:val="none"/>
          <w14:textFill>
            <w14:solidFill>
              <w14:schemeClr w14:val="tx1"/>
            </w14:solidFill>
          </w14:textFill>
        </w:rPr>
      </w:pPr>
    </w:p>
    <w:p>
      <w:pPr>
        <w:pStyle w:val="2"/>
        <w:ind w:firstLine="4337" w:firstLineChars="18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lang w:eastAsia="zh-CN"/>
          <w14:textFill>
            <w14:solidFill>
              <w14:schemeClr w14:val="tx1"/>
            </w14:solidFill>
          </w14:textFill>
        </w:rPr>
        <w:t>签字</w:t>
      </w:r>
      <w:r>
        <w:rPr>
          <w:rFonts w:hint="eastAsia"/>
          <w:color w:val="000000" w:themeColor="text1"/>
          <w:highlight w:val="none"/>
          <w14:textFill>
            <w14:solidFill>
              <w14:schemeClr w14:val="tx1"/>
            </w14:solidFill>
          </w14:textFill>
        </w:rPr>
        <w:t>：</w:t>
      </w:r>
    </w:p>
    <w:p>
      <w:pPr>
        <w:pStyle w:val="2"/>
        <w:ind w:firstLine="4337" w:firstLineChars="18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承诺人一：</w:t>
      </w:r>
    </w:p>
    <w:p>
      <w:pPr>
        <w:pStyle w:val="2"/>
        <w:ind w:firstLine="4337" w:firstLineChars="18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承诺人二：</w:t>
      </w:r>
    </w:p>
    <w:p>
      <w:pPr>
        <w:spacing w:line="360" w:lineRule="auto"/>
        <w:jc w:val="left"/>
        <w:textAlignment w:val="baseline"/>
        <w:rPr>
          <w:rFonts w:hint="eastAsia" w:ascii="宋体" w:hAnsi="宋体" w:eastAsia="宋体" w:cs="Times New Roman"/>
          <w:b/>
          <w:bCs/>
          <w:color w:val="000000" w:themeColor="text1"/>
          <w:sz w:val="24"/>
          <w:szCs w:val="32"/>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szCs w:val="32"/>
          <w:highlight w:val="none"/>
          <w:lang w:eastAsia="zh-CN"/>
          <w14:textFill>
            <w14:solidFill>
              <w14:schemeClr w14:val="tx1"/>
            </w14:solidFill>
          </w14:textFill>
        </w:rPr>
        <w:t>年</w:t>
      </w:r>
      <w:r>
        <w:rPr>
          <w:rFonts w:hint="eastAsia" w:ascii="宋体" w:hAnsi="宋体" w:eastAsia="宋体" w:cs="Times New Roman"/>
          <w:b/>
          <w:bCs/>
          <w:color w:val="000000" w:themeColor="text1"/>
          <w:sz w:val="24"/>
          <w:szCs w:val="32"/>
          <w:highlight w:val="none"/>
          <w:lang w:val="en-US" w:eastAsia="zh-CN"/>
          <w14:textFill>
            <w14:solidFill>
              <w14:schemeClr w14:val="tx1"/>
            </w14:solidFill>
          </w14:textFill>
        </w:rPr>
        <w:t xml:space="preserve">   月    日</w:t>
      </w:r>
    </w:p>
    <w:p>
      <w:pPr>
        <w:spacing w:line="360" w:lineRule="auto"/>
        <w:jc w:val="left"/>
        <w:textAlignment w:val="baseline"/>
        <w:rPr>
          <w:rFonts w:ascii="宋体" w:hAnsi="宋体"/>
          <w:b/>
          <w:color w:val="000000" w:themeColor="text1"/>
          <w:sz w:val="24"/>
          <w:highlight w:val="none"/>
          <w14:textFill>
            <w14:solidFill>
              <w14:schemeClr w14:val="tx1"/>
            </w14:solidFill>
          </w14:textFill>
        </w:rPr>
      </w:pPr>
    </w:p>
    <w:p>
      <w:pPr>
        <w:spacing w:line="360" w:lineRule="auto"/>
        <w:jc w:val="left"/>
        <w:textAlignment w:val="baseline"/>
        <w:rPr>
          <w:rFonts w:ascii="宋体" w:hAnsi="宋体"/>
          <w:b/>
          <w:color w:val="000000" w:themeColor="text1"/>
          <w:sz w:val="24"/>
          <w:highlight w:val="none"/>
          <w14:textFill>
            <w14:solidFill>
              <w14:schemeClr w14:val="tx1"/>
            </w14:solidFill>
          </w14:textFill>
        </w:rPr>
      </w:pPr>
    </w:p>
    <w:p>
      <w:pPr>
        <w:spacing w:line="360" w:lineRule="auto"/>
        <w:jc w:val="left"/>
        <w:textAlignment w:val="baseline"/>
        <w:rPr>
          <w:rFonts w:ascii="宋体" w:hAnsi="宋体"/>
          <w:b/>
          <w:color w:val="000000" w:themeColor="text1"/>
          <w:sz w:val="24"/>
          <w:highlight w:val="none"/>
          <w14:textFill>
            <w14:solidFill>
              <w14:schemeClr w14:val="tx1"/>
            </w14:solidFill>
          </w14:textFill>
        </w:rPr>
        <w:sectPr>
          <w:footerReference r:id="rId15" w:type="first"/>
          <w:footerReference r:id="rId14" w:type="default"/>
          <w:pgSz w:w="11905" w:h="16837"/>
          <w:pgMar w:top="1440" w:right="1415" w:bottom="1440" w:left="1560" w:header="720" w:footer="720" w:gutter="0"/>
          <w:pgNumType w:fmt="decimal" w:start="1"/>
          <w:cols w:space="720" w:num="1"/>
          <w:titlePg/>
          <w:rtlGutter w:val="0"/>
          <w:docGrid w:type="lines" w:linePitch="312" w:charSpace="0"/>
        </w:sectPr>
      </w:pPr>
    </w:p>
    <w:p>
      <w:pPr>
        <w:spacing w:line="360" w:lineRule="auto"/>
        <w:jc w:val="left"/>
        <w:textAlignment w:val="baseline"/>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附件</w:t>
      </w:r>
      <w:r>
        <w:rPr>
          <w:rFonts w:hint="eastAsia" w:ascii="宋体" w:hAnsi="宋体"/>
          <w:b/>
          <w:color w:val="000000" w:themeColor="text1"/>
          <w:sz w:val="24"/>
          <w:highlight w:val="none"/>
          <w14:textFill>
            <w14:solidFill>
              <w14:schemeClr w14:val="tx1"/>
            </w14:solidFill>
          </w14:textFill>
        </w:rPr>
        <w:t xml:space="preserve">二  </w:t>
      </w:r>
    </w:p>
    <w:p>
      <w:pPr>
        <w:spacing w:line="360" w:lineRule="auto"/>
        <w:jc w:val="center"/>
        <w:textAlignment w:val="baseline"/>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房屋平面图</w:t>
      </w:r>
      <w:r>
        <w:rPr>
          <w:rFonts w:hint="eastAsia" w:ascii="宋体" w:hAnsi="宋体"/>
          <w:b/>
          <w:color w:val="000000" w:themeColor="text1"/>
          <w:sz w:val="24"/>
          <w:highlight w:val="none"/>
          <w14:textFill>
            <w14:solidFill>
              <w14:schemeClr w14:val="tx1"/>
            </w14:solidFill>
          </w14:textFill>
        </w:rPr>
        <w:t>（应当标明方位</w:t>
      </w:r>
      <w:r>
        <w:rPr>
          <w:rFonts w:hint="eastAsia"/>
          <w:b/>
          <w:color w:val="000000" w:themeColor="text1"/>
          <w:sz w:val="24"/>
          <w:szCs w:val="24"/>
          <w:highlight w:val="none"/>
          <w:lang w:eastAsia="zh-CN"/>
          <w14:textFill>
            <w14:solidFill>
              <w14:schemeClr w14:val="tx1"/>
            </w14:solidFill>
          </w14:textFill>
        </w:rPr>
        <w:t>、标识消防门、过道、设备等部位</w:t>
      </w:r>
      <w:r>
        <w:rPr>
          <w:rFonts w:hint="eastAsia" w:ascii="宋体" w:hAnsi="宋体"/>
          <w:b/>
          <w:color w:val="000000" w:themeColor="text1"/>
          <w:sz w:val="24"/>
          <w:highlight w:val="none"/>
          <w14:textFill>
            <w14:solidFill>
              <w14:schemeClr w14:val="tx1"/>
            </w14:solidFill>
          </w14:textFill>
        </w:rPr>
        <w:t>）</w:t>
      </w:r>
    </w:p>
    <w:p>
      <w:pPr>
        <w:pStyle w:val="10"/>
        <w:spacing w:before="0" w:beforeAutospacing="0" w:after="0" w:afterAutospacing="0"/>
        <w:ind w:firstLineChars="200"/>
        <w:rPr>
          <w:rFonts w:hint="eastAsia"/>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1.房屋分层分户图（应当标明详细尺寸，并约定误差范围）。</w:t>
      </w:r>
    </w:p>
    <w:p>
      <w:pPr>
        <w:pStyle w:val="10"/>
        <w:spacing w:before="0" w:beforeAutospacing="0" w:after="0" w:afterAutospacing="0"/>
        <w:ind w:firstLineChars="200"/>
        <w:rPr>
          <w:rFonts w:hint="eastAsia"/>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2.建设工程规划方案总平面图。</w:t>
      </w:r>
    </w:p>
    <w:p>
      <w:pPr>
        <w:widowControl/>
        <w:spacing w:line="360" w:lineRule="auto"/>
        <w:jc w:val="left"/>
        <w:rPr>
          <w:rFonts w:hint="eastAsia" w:ascii="宋体" w:hAnsi="宋体"/>
          <w:b/>
          <w:color w:val="000000" w:themeColor="text1"/>
          <w:sz w:val="24"/>
          <w:highlight w:val="none"/>
          <w14:textFill>
            <w14:solidFill>
              <w14:schemeClr w14:val="tx1"/>
            </w14:solidFill>
          </w14:textFill>
        </w:rPr>
      </w:pPr>
    </w:p>
    <w:p>
      <w:pPr>
        <w:widowControl/>
        <w:spacing w:line="360" w:lineRule="auto"/>
        <w:jc w:val="left"/>
        <w:rPr>
          <w:rFonts w:hint="eastAsia" w:ascii="宋体" w:hAnsi="宋体"/>
          <w:b/>
          <w:color w:val="000000" w:themeColor="text1"/>
          <w:sz w:val="24"/>
          <w:highlight w:val="none"/>
          <w14:textFill>
            <w14:solidFill>
              <w14:schemeClr w14:val="tx1"/>
            </w14:solidFill>
          </w14:textFill>
        </w:rPr>
        <w:sectPr>
          <w:pgSz w:w="11905" w:h="16837"/>
          <w:pgMar w:top="1440" w:right="1415" w:bottom="1440" w:left="1560" w:header="720" w:footer="720" w:gutter="0"/>
          <w:pgNumType w:fmt="decimal"/>
          <w:cols w:space="720" w:num="1"/>
          <w:titlePg/>
          <w:rtlGutter w:val="0"/>
          <w:docGrid w:type="lines" w:linePitch="312" w:charSpace="0"/>
        </w:sectPr>
      </w:pPr>
    </w:p>
    <w:p>
      <w:pPr>
        <w:widowControl/>
        <w:spacing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附件三 </w:t>
      </w:r>
    </w:p>
    <w:p>
      <w:pPr>
        <w:widowControl/>
        <w:spacing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与该共有产权住房</w:t>
      </w:r>
      <w:r>
        <w:rPr>
          <w:rFonts w:ascii="宋体" w:hAnsi="宋体"/>
          <w:b/>
          <w:color w:val="000000" w:themeColor="text1"/>
          <w:sz w:val="24"/>
          <w:highlight w:val="none"/>
          <w14:textFill>
            <w14:solidFill>
              <w14:schemeClr w14:val="tx1"/>
            </w14:solidFill>
          </w14:textFill>
        </w:rPr>
        <w:t>有关</w:t>
      </w:r>
      <w:r>
        <w:rPr>
          <w:rFonts w:hint="eastAsia" w:ascii="宋体" w:hAnsi="宋体"/>
          <w:b/>
          <w:color w:val="000000" w:themeColor="text1"/>
          <w:sz w:val="24"/>
          <w:highlight w:val="none"/>
          <w14:textFill>
            <w14:solidFill>
              <w14:schemeClr w14:val="tx1"/>
            </w14:solidFill>
          </w14:textFill>
        </w:rPr>
        <w:t>的共用建筑面积分摊情况</w:t>
      </w:r>
    </w:p>
    <w:p>
      <w:pPr>
        <w:widowControl/>
        <w:spacing w:line="360" w:lineRule="auto"/>
        <w:ind w:firstLine="1928" w:firstLineChars="800"/>
        <w:jc w:val="left"/>
        <w:rPr>
          <w:rFonts w:hint="eastAsia" w:ascii="宋体" w:hAnsi="宋体"/>
          <w:b/>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（详见《房屋面积测算技术报告书》（实测绘））</w:t>
      </w:r>
    </w:p>
    <w:p>
      <w:pPr>
        <w:spacing w:line="360" w:lineRule="auto"/>
        <w:ind w:firstLine="480" w:firstLineChars="200"/>
        <w:rPr>
          <w:rFonts w:ascii="新宋体" w:hAnsi="新宋体" w:eastAsia="新宋体"/>
          <w:color w:val="000000" w:themeColor="text1"/>
          <w:kern w:val="0"/>
          <w:sz w:val="24"/>
          <w:highlight w:val="none"/>
          <w14:textFill>
            <w14:solidFill>
              <w14:schemeClr w14:val="tx1"/>
            </w14:solidFill>
          </w14:textFill>
        </w:rPr>
      </w:pPr>
      <w:r>
        <w:rPr>
          <w:rFonts w:hint="eastAsia" w:ascii="新宋体" w:hAnsi="新宋体" w:eastAsia="新宋体"/>
          <w:color w:val="000000" w:themeColor="text1"/>
          <w:kern w:val="0"/>
          <w:sz w:val="24"/>
          <w:highlight w:val="none"/>
          <w14:textFill>
            <w14:solidFill>
              <w14:schemeClr w14:val="tx1"/>
            </w14:solidFill>
          </w14:textFill>
        </w:rPr>
        <w:t xml:space="preserve">1.被分摊的共用部位的名称、用途、所在位置。 </w:t>
      </w:r>
    </w:p>
    <w:p>
      <w:pPr>
        <w:spacing w:line="360" w:lineRule="auto"/>
        <w:ind w:firstLine="480" w:firstLineChars="200"/>
        <w:rPr>
          <w:rFonts w:ascii="新宋体" w:hAnsi="新宋体" w:eastAsia="新宋体"/>
          <w:color w:val="000000" w:themeColor="text1"/>
          <w:kern w:val="0"/>
          <w:sz w:val="24"/>
          <w:highlight w:val="none"/>
          <w14:textFill>
            <w14:solidFill>
              <w14:schemeClr w14:val="tx1"/>
            </w14:solidFill>
          </w14:textFill>
        </w:rPr>
      </w:pPr>
      <w:r>
        <w:rPr>
          <w:rFonts w:hint="eastAsia" w:ascii="新宋体" w:hAnsi="新宋体" w:eastAsia="新宋体"/>
          <w:color w:val="000000" w:themeColor="text1"/>
          <w:kern w:val="0"/>
          <w:sz w:val="24"/>
          <w:highlight w:val="none"/>
          <w14:textFill>
            <w14:solidFill>
              <w14:schemeClr w14:val="tx1"/>
            </w14:solidFill>
          </w14:textFill>
        </w:rPr>
        <w:t xml:space="preserve">2.参与分摊共用建筑面积的共有产权住房的名称、用途、所在位置等。 </w:t>
      </w:r>
    </w:p>
    <w:p>
      <w:pPr>
        <w:spacing w:line="360" w:lineRule="auto"/>
        <w:ind w:firstLine="480" w:firstLineChars="200"/>
        <w:rPr>
          <w:rFonts w:hint="eastAsia" w:ascii="新宋体" w:hAnsi="新宋体" w:eastAsia="新宋体"/>
          <w:color w:val="000000" w:themeColor="text1"/>
          <w:kern w:val="0"/>
          <w:sz w:val="24"/>
          <w:highlight w:val="none"/>
          <w14:textFill>
            <w14:solidFill>
              <w14:schemeClr w14:val="tx1"/>
            </w14:solidFill>
          </w14:textFill>
        </w:rPr>
      </w:pPr>
      <w:r>
        <w:rPr>
          <w:rFonts w:hint="eastAsia" w:ascii="新宋体" w:hAnsi="新宋体" w:eastAsia="新宋体"/>
          <w:color w:val="000000" w:themeColor="text1"/>
          <w:kern w:val="0"/>
          <w:sz w:val="24"/>
          <w:highlight w:val="none"/>
          <w14:textFill>
            <w14:solidFill>
              <w14:schemeClr w14:val="tx1"/>
            </w14:solidFill>
          </w14:textFill>
        </w:rPr>
        <w:t>3.不分摊的共用部位。</w:t>
      </w:r>
    </w:p>
    <w:p>
      <w:pPr>
        <w:pStyle w:val="10"/>
        <w:spacing w:before="0" w:beforeAutospacing="0" w:after="0" w:afterAutospacing="0"/>
        <w:rPr>
          <w:rFonts w:hint="eastAsia"/>
          <w:b/>
          <w:color w:val="000000" w:themeColor="text1"/>
          <w:highlight w:val="none"/>
          <w14:textFill>
            <w14:solidFill>
              <w14:schemeClr w14:val="tx1"/>
            </w14:solidFill>
          </w14:textFill>
        </w:rPr>
      </w:pPr>
    </w:p>
    <w:p>
      <w:pPr>
        <w:pStyle w:val="10"/>
        <w:spacing w:before="0" w:beforeAutospacing="0" w:after="0" w:afterAutospacing="0"/>
        <w:ind w:firstLine="0"/>
        <w:rPr>
          <w:rStyle w:val="8"/>
          <w:color w:val="000000" w:themeColor="text1"/>
          <w:szCs w:val="18"/>
          <w:highlight w:val="none"/>
          <w14:textFill>
            <w14:solidFill>
              <w14:schemeClr w14:val="tx1"/>
            </w14:solidFill>
          </w14:textFill>
        </w:rPr>
        <w:sectPr>
          <w:footerReference r:id="rId17" w:type="first"/>
          <w:footerReference r:id="rId16" w:type="default"/>
          <w:pgSz w:w="11905" w:h="16837"/>
          <w:pgMar w:top="1440" w:right="1415" w:bottom="1440" w:left="1560" w:header="720" w:footer="720" w:gutter="0"/>
          <w:pgNumType w:fmt="decimal"/>
          <w:cols w:space="720" w:num="1"/>
          <w:titlePg/>
          <w:rtlGutter w:val="0"/>
          <w:docGrid w:type="lines" w:linePitch="312" w:charSpace="0"/>
        </w:sectPr>
      </w:pPr>
    </w:p>
    <w:p>
      <w:pPr>
        <w:pStyle w:val="10"/>
        <w:spacing w:before="0" w:beforeAutospacing="0" w:after="0" w:afterAutospacing="0"/>
        <w:ind w:firstLine="0"/>
        <w:rPr>
          <w:rStyle w:val="8"/>
          <w:color w:val="000000" w:themeColor="text1"/>
          <w:szCs w:val="18"/>
          <w:highlight w:val="none"/>
          <w14:textFill>
            <w14:solidFill>
              <w14:schemeClr w14:val="tx1"/>
            </w14:solidFill>
          </w14:textFill>
        </w:rPr>
      </w:pPr>
      <w:r>
        <w:rPr>
          <w:rStyle w:val="8"/>
          <w:color w:val="000000" w:themeColor="text1"/>
          <w:szCs w:val="18"/>
          <w:highlight w:val="none"/>
          <w14:textFill>
            <w14:solidFill>
              <w14:schemeClr w14:val="tx1"/>
            </w14:solidFill>
          </w14:textFill>
        </w:rPr>
        <w:t>附件</w:t>
      </w:r>
      <w:r>
        <w:rPr>
          <w:rStyle w:val="8"/>
          <w:rFonts w:hint="eastAsia"/>
          <w:color w:val="000000" w:themeColor="text1"/>
          <w:szCs w:val="18"/>
          <w:highlight w:val="none"/>
          <w14:textFill>
            <w14:solidFill>
              <w14:schemeClr w14:val="tx1"/>
            </w14:solidFill>
          </w14:textFill>
        </w:rPr>
        <w:t xml:space="preserve">四 </w:t>
      </w:r>
      <w:r>
        <w:rPr>
          <w:rStyle w:val="8"/>
          <w:color w:val="000000" w:themeColor="text1"/>
          <w:szCs w:val="18"/>
          <w:highlight w:val="none"/>
          <w14:textFill>
            <w14:solidFill>
              <w14:schemeClr w14:val="tx1"/>
            </w14:solidFill>
          </w14:textFill>
        </w:rPr>
        <w:t xml:space="preserve"> </w:t>
      </w:r>
    </w:p>
    <w:p>
      <w:pPr>
        <w:pStyle w:val="10"/>
        <w:spacing w:before="0" w:beforeAutospacing="0" w:after="0" w:afterAutospacing="0"/>
        <w:ind w:firstLine="0"/>
        <w:jc w:val="center"/>
        <w:rPr>
          <w:rStyle w:val="8"/>
          <w:rFonts w:hint="eastAsia"/>
          <w:color w:val="000000" w:themeColor="text1"/>
          <w:szCs w:val="18"/>
          <w:highlight w:val="none"/>
          <w14:textFill>
            <w14:solidFill>
              <w14:schemeClr w14:val="tx1"/>
            </w14:solidFill>
          </w14:textFill>
        </w:rPr>
      </w:pPr>
      <w:r>
        <w:rPr>
          <w:rStyle w:val="8"/>
          <w:color w:val="000000" w:themeColor="text1"/>
          <w:szCs w:val="18"/>
          <w:highlight w:val="none"/>
          <w14:textFill>
            <w14:solidFill>
              <w14:schemeClr w14:val="tx1"/>
            </w14:solidFill>
          </w14:textFill>
        </w:rPr>
        <w:t>该</w:t>
      </w:r>
      <w:r>
        <w:rPr>
          <w:rFonts w:hint="eastAsia" w:ascii="新宋体" w:hAnsi="新宋体" w:eastAsia="新宋体"/>
          <w:b/>
          <w:bCs/>
          <w:color w:val="000000" w:themeColor="text1"/>
          <w:highlight w:val="none"/>
          <w14:textFill>
            <w14:solidFill>
              <w14:schemeClr w14:val="tx1"/>
            </w14:solidFill>
          </w14:textFill>
        </w:rPr>
        <w:t>共有产权住房</w:t>
      </w:r>
      <w:r>
        <w:rPr>
          <w:rStyle w:val="8"/>
          <w:color w:val="000000" w:themeColor="text1"/>
          <w:szCs w:val="18"/>
          <w:highlight w:val="none"/>
          <w14:textFill>
            <w14:solidFill>
              <w14:schemeClr w14:val="tx1"/>
            </w14:solidFill>
          </w14:textFill>
        </w:rPr>
        <w:t>取得抵押权人同意销售的证明及抵押当事人的相关约定</w:t>
      </w:r>
    </w:p>
    <w:p>
      <w:pPr>
        <w:pStyle w:val="10"/>
        <w:spacing w:before="0" w:beforeAutospacing="0" w:after="0" w:afterAutospacing="0"/>
        <w:ind w:firstLine="482"/>
        <w:rPr>
          <w:rStyle w:val="8"/>
          <w:rFonts w:hint="eastAsia"/>
          <w:b w:val="0"/>
          <w:color w:val="000000" w:themeColor="text1"/>
          <w:szCs w:val="18"/>
          <w:highlight w:val="none"/>
          <w14:textFill>
            <w14:solidFill>
              <w14:schemeClr w14:val="tx1"/>
            </w14:solidFill>
          </w14:textFill>
        </w:rPr>
      </w:pPr>
      <w:r>
        <w:rPr>
          <w:rStyle w:val="8"/>
          <w:rFonts w:hint="eastAsia"/>
          <w:b w:val="0"/>
          <w:color w:val="000000" w:themeColor="text1"/>
          <w:szCs w:val="18"/>
          <w:highlight w:val="none"/>
          <w14:textFill>
            <w14:solidFill>
              <w14:schemeClr w14:val="tx1"/>
            </w14:solidFill>
          </w14:textFill>
        </w:rPr>
        <w:t>1.抵押权人同意该</w:t>
      </w:r>
      <w:r>
        <w:rPr>
          <w:rFonts w:hint="eastAsia" w:ascii="新宋体" w:hAnsi="新宋体" w:eastAsia="新宋体"/>
          <w:color w:val="000000" w:themeColor="text1"/>
          <w:highlight w:val="none"/>
          <w14:textFill>
            <w14:solidFill>
              <w14:schemeClr w14:val="tx1"/>
            </w14:solidFill>
          </w14:textFill>
        </w:rPr>
        <w:t>共有产权住房</w:t>
      </w:r>
      <w:r>
        <w:rPr>
          <w:rStyle w:val="8"/>
          <w:rFonts w:hint="eastAsia"/>
          <w:b w:val="0"/>
          <w:color w:val="000000" w:themeColor="text1"/>
          <w:szCs w:val="18"/>
          <w:highlight w:val="none"/>
          <w14:textFill>
            <w14:solidFill>
              <w14:schemeClr w14:val="tx1"/>
            </w14:solidFill>
          </w14:textFill>
        </w:rPr>
        <w:t>销售的证明。</w:t>
      </w:r>
    </w:p>
    <w:p>
      <w:pPr>
        <w:pStyle w:val="10"/>
        <w:spacing w:before="0" w:beforeAutospacing="0" w:after="0" w:afterAutospacing="0"/>
        <w:ind w:firstLine="482"/>
        <w:rPr>
          <w:rStyle w:val="8"/>
          <w:rFonts w:hint="eastAsia"/>
          <w:b w:val="0"/>
          <w:color w:val="000000" w:themeColor="text1"/>
          <w:szCs w:val="18"/>
          <w:highlight w:val="none"/>
          <w14:textFill>
            <w14:solidFill>
              <w14:schemeClr w14:val="tx1"/>
            </w14:solidFill>
          </w14:textFill>
        </w:rPr>
      </w:pPr>
      <w:r>
        <w:rPr>
          <w:rStyle w:val="8"/>
          <w:rFonts w:hint="eastAsia"/>
          <w:b w:val="0"/>
          <w:color w:val="000000" w:themeColor="text1"/>
          <w:szCs w:val="18"/>
          <w:highlight w:val="none"/>
          <w14:textFill>
            <w14:solidFill>
              <w14:schemeClr w14:val="tx1"/>
            </w14:solidFill>
          </w14:textFill>
        </w:rPr>
        <w:t>2.解除抵押的条件和时间。</w:t>
      </w:r>
    </w:p>
    <w:p>
      <w:pPr>
        <w:pStyle w:val="10"/>
        <w:spacing w:before="0" w:beforeAutospacing="0" w:after="0" w:afterAutospacing="0"/>
        <w:ind w:firstLine="482"/>
        <w:rPr>
          <w:rStyle w:val="8"/>
          <w:rFonts w:hint="eastAsia"/>
          <w:b w:val="0"/>
          <w:color w:val="000000" w:themeColor="text1"/>
          <w:szCs w:val="18"/>
          <w:highlight w:val="none"/>
          <w:shd w:val="pct10" w:color="auto" w:fill="FFFFFF"/>
          <w14:textFill>
            <w14:solidFill>
              <w14:schemeClr w14:val="tx1"/>
            </w14:solidFill>
          </w14:textFill>
        </w:rPr>
      </w:pPr>
      <w:r>
        <w:rPr>
          <w:rStyle w:val="8"/>
          <w:rFonts w:hint="eastAsia"/>
          <w:b w:val="0"/>
          <w:color w:val="000000" w:themeColor="text1"/>
          <w:szCs w:val="18"/>
          <w:highlight w:val="none"/>
          <w14:textFill>
            <w14:solidFill>
              <w14:schemeClr w14:val="tx1"/>
            </w14:solidFill>
          </w14:textFill>
        </w:rPr>
        <w:t>3.关于抵押的其他约定。</w:t>
      </w:r>
    </w:p>
    <w:p>
      <w:pPr>
        <w:pStyle w:val="10"/>
        <w:spacing w:before="0" w:beforeAutospacing="0" w:after="0" w:afterAutospacing="0"/>
        <w:ind w:firstLine="0"/>
        <w:rPr>
          <w:rStyle w:val="8"/>
          <w:rFonts w:hint="eastAsia"/>
          <w:color w:val="000000" w:themeColor="text1"/>
          <w:szCs w:val="18"/>
          <w:highlight w:val="none"/>
          <w14:textFill>
            <w14:solidFill>
              <w14:schemeClr w14:val="tx1"/>
            </w14:solidFill>
          </w14:textFill>
        </w:rPr>
      </w:pPr>
    </w:p>
    <w:p>
      <w:pPr>
        <w:pStyle w:val="10"/>
        <w:spacing w:before="0" w:beforeAutospacing="0" w:after="0" w:afterAutospacing="0"/>
        <w:ind w:firstLine="0"/>
        <w:rPr>
          <w:rStyle w:val="8"/>
          <w:rFonts w:hint="eastAsia"/>
          <w:color w:val="000000" w:themeColor="text1"/>
          <w:szCs w:val="18"/>
          <w:highlight w:val="none"/>
          <w14:textFill>
            <w14:solidFill>
              <w14:schemeClr w14:val="tx1"/>
            </w14:solidFill>
          </w14:textFill>
        </w:rPr>
        <w:sectPr>
          <w:footerReference r:id="rId19" w:type="first"/>
          <w:footerReference r:id="rId18" w:type="default"/>
          <w:pgSz w:w="11905" w:h="16837"/>
          <w:pgMar w:top="1440" w:right="1415" w:bottom="1440" w:left="1560" w:header="720" w:footer="720" w:gutter="0"/>
          <w:pgNumType w:fmt="decimal"/>
          <w:cols w:space="720" w:num="1"/>
          <w:titlePg/>
          <w:rtlGutter w:val="0"/>
          <w:docGrid w:type="lines" w:linePitch="312" w:charSpace="0"/>
        </w:sectPr>
      </w:pPr>
    </w:p>
    <w:p>
      <w:pPr>
        <w:pStyle w:val="10"/>
        <w:spacing w:before="0" w:beforeAutospacing="0" w:after="0" w:afterAutospacing="0"/>
        <w:ind w:firstLine="0"/>
        <w:rPr>
          <w:rStyle w:val="8"/>
          <w:rFonts w:hint="eastAsia"/>
          <w:color w:val="000000" w:themeColor="text1"/>
          <w:szCs w:val="18"/>
          <w:highlight w:val="none"/>
          <w14:textFill>
            <w14:solidFill>
              <w14:schemeClr w14:val="tx1"/>
            </w14:solidFill>
          </w14:textFill>
        </w:rPr>
      </w:pPr>
      <w:r>
        <w:rPr>
          <w:rStyle w:val="8"/>
          <w:rFonts w:hint="eastAsia"/>
          <w:color w:val="000000" w:themeColor="text1"/>
          <w:szCs w:val="18"/>
          <w:highlight w:val="none"/>
          <w14:textFill>
            <w14:solidFill>
              <w14:schemeClr w14:val="tx1"/>
            </w14:solidFill>
          </w14:textFill>
        </w:rPr>
        <w:t xml:space="preserve">附件五 </w:t>
      </w:r>
    </w:p>
    <w:p>
      <w:pPr>
        <w:pStyle w:val="10"/>
        <w:spacing w:before="0" w:beforeAutospacing="0" w:after="0" w:afterAutospacing="0"/>
        <w:ind w:firstLine="0"/>
        <w:jc w:val="center"/>
        <w:rPr>
          <w:rStyle w:val="8"/>
          <w:rFonts w:hint="eastAsia"/>
          <w:color w:val="000000" w:themeColor="text1"/>
          <w:szCs w:val="18"/>
          <w:highlight w:val="none"/>
          <w14:textFill>
            <w14:solidFill>
              <w14:schemeClr w14:val="tx1"/>
            </w14:solidFill>
          </w14:textFill>
        </w:rPr>
      </w:pPr>
      <w:r>
        <w:rPr>
          <w:rStyle w:val="8"/>
          <w:rFonts w:hint="eastAsia"/>
          <w:color w:val="000000" w:themeColor="text1"/>
          <w:szCs w:val="18"/>
          <w:highlight w:val="none"/>
          <w14:textFill>
            <w14:solidFill>
              <w14:schemeClr w14:val="tx1"/>
            </w14:solidFill>
          </w14:textFill>
        </w:rPr>
        <w:t>关于本项目内相关设施、设备的具体约定</w:t>
      </w:r>
    </w:p>
    <w:p>
      <w:pPr>
        <w:pStyle w:val="10"/>
        <w:spacing w:before="0" w:beforeAutospacing="0" w:after="0" w:afterAutospacing="0"/>
        <w:ind w:firstLine="482"/>
        <w:rPr>
          <w:rStyle w:val="8"/>
          <w:rFonts w:hint="eastAsia"/>
          <w:b w:val="0"/>
          <w:color w:val="000000" w:themeColor="text1"/>
          <w:szCs w:val="18"/>
          <w:highlight w:val="none"/>
          <w14:textFill>
            <w14:solidFill>
              <w14:schemeClr w14:val="tx1"/>
            </w14:solidFill>
          </w14:textFill>
        </w:rPr>
      </w:pPr>
      <w:r>
        <w:rPr>
          <w:rStyle w:val="8"/>
          <w:rFonts w:hint="eastAsia"/>
          <w:b w:val="0"/>
          <w:color w:val="000000" w:themeColor="text1"/>
          <w:szCs w:val="18"/>
          <w:highlight w:val="none"/>
          <w14:textFill>
            <w14:solidFill>
              <w14:schemeClr w14:val="tx1"/>
            </w14:solidFill>
          </w14:textFill>
        </w:rPr>
        <w:t>1.该</w:t>
      </w:r>
      <w:r>
        <w:rPr>
          <w:rFonts w:hint="eastAsia" w:ascii="新宋体" w:hAnsi="新宋体" w:eastAsia="新宋体"/>
          <w:color w:val="000000" w:themeColor="text1"/>
          <w:highlight w:val="none"/>
          <w14:textFill>
            <w14:solidFill>
              <w14:schemeClr w14:val="tx1"/>
            </w14:solidFill>
          </w14:textFill>
        </w:rPr>
        <w:t>共有产权住房</w:t>
      </w:r>
      <w:r>
        <w:rPr>
          <w:rStyle w:val="8"/>
          <w:rFonts w:hint="eastAsia"/>
          <w:b w:val="0"/>
          <w:color w:val="000000" w:themeColor="text1"/>
          <w:szCs w:val="18"/>
          <w:highlight w:val="none"/>
          <w14:textFill>
            <w14:solidFill>
              <w14:schemeClr w14:val="tx1"/>
            </w14:solidFill>
          </w14:textFill>
        </w:rPr>
        <w:t>所在楼栋本期</w:t>
      </w:r>
      <w:r>
        <w:rPr>
          <w:rStyle w:val="8"/>
          <w:b w:val="0"/>
          <w:color w:val="000000" w:themeColor="text1"/>
          <w:szCs w:val="18"/>
          <w:highlight w:val="none"/>
          <w14:textFill>
            <w14:solidFill>
              <w14:schemeClr w14:val="tx1"/>
            </w14:solidFill>
          </w14:textFill>
        </w:rPr>
        <w:t>的</w:t>
      </w:r>
      <w:r>
        <w:rPr>
          <w:rStyle w:val="8"/>
          <w:rFonts w:hint="eastAsia"/>
          <w:b w:val="0"/>
          <w:color w:val="000000" w:themeColor="text1"/>
          <w:szCs w:val="18"/>
          <w:highlight w:val="none"/>
          <w14:textFill>
            <w14:solidFill>
              <w14:schemeClr w14:val="tx1"/>
            </w14:solidFill>
          </w14:textFill>
        </w:rPr>
        <w:t>项目</w:t>
      </w:r>
      <w:r>
        <w:rPr>
          <w:rStyle w:val="8"/>
          <w:b w:val="0"/>
          <w:color w:val="000000" w:themeColor="text1"/>
          <w:szCs w:val="18"/>
          <w:highlight w:val="none"/>
          <w14:textFill>
            <w14:solidFill>
              <w14:schemeClr w14:val="tx1"/>
            </w14:solidFill>
          </w14:textFill>
        </w:rPr>
        <w:t>建设方案</w:t>
      </w:r>
      <w:r>
        <w:rPr>
          <w:rStyle w:val="8"/>
          <w:rFonts w:hint="eastAsia"/>
          <w:b w:val="0"/>
          <w:color w:val="000000" w:themeColor="text1"/>
          <w:szCs w:val="18"/>
          <w:highlight w:val="none"/>
          <w14:textFill>
            <w14:solidFill>
              <w14:schemeClr w14:val="tx1"/>
            </w14:solidFill>
          </w14:textFill>
        </w:rPr>
        <w:t>。</w:t>
      </w:r>
    </w:p>
    <w:p>
      <w:pPr>
        <w:pStyle w:val="10"/>
        <w:spacing w:before="0" w:beforeAutospacing="0" w:after="0" w:afterAutospacing="0"/>
        <w:ind w:firstLine="482"/>
        <w:rPr>
          <w:rStyle w:val="8"/>
          <w:rFonts w:hint="eastAsia"/>
          <w:b w:val="0"/>
          <w:color w:val="000000" w:themeColor="text1"/>
          <w:szCs w:val="18"/>
          <w:highlight w:val="none"/>
          <w14:textFill>
            <w14:solidFill>
              <w14:schemeClr w14:val="tx1"/>
            </w14:solidFill>
          </w14:textFill>
        </w:rPr>
      </w:pPr>
      <w:r>
        <w:rPr>
          <w:rStyle w:val="8"/>
          <w:b w:val="0"/>
          <w:color w:val="000000" w:themeColor="text1"/>
          <w:szCs w:val="18"/>
          <w:highlight w:val="none"/>
          <w14:textFill>
            <w14:solidFill>
              <w14:schemeClr w14:val="tx1"/>
            </w14:solidFill>
          </w14:textFill>
        </w:rPr>
        <w:t>2.</w:t>
      </w:r>
      <w:r>
        <w:rPr>
          <w:rStyle w:val="8"/>
          <w:rFonts w:hint="eastAsia"/>
          <w:b w:val="0"/>
          <w:color w:val="000000" w:themeColor="text1"/>
          <w:szCs w:val="18"/>
          <w:highlight w:val="none"/>
          <w14:textFill>
            <w14:solidFill>
              <w14:schemeClr w14:val="tx1"/>
            </w14:solidFill>
          </w14:textFill>
        </w:rPr>
        <w:t>相关设施的位置及用途。</w:t>
      </w:r>
    </w:p>
    <w:p>
      <w:pPr>
        <w:pStyle w:val="10"/>
        <w:spacing w:before="0" w:beforeAutospacing="0" w:after="0" w:afterAutospacing="0"/>
        <w:ind w:firstLine="482"/>
        <w:rPr>
          <w:rStyle w:val="8"/>
          <w:rFonts w:hint="eastAsia"/>
          <w:b w:val="0"/>
          <w:bCs w:val="0"/>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（注：根据《北京市绿化条例》，2010年3月1日后办理规划许可并在规划许可中注明规划绿地情况的建设工程，应在合同中明确建设工程附属绿地的面积、位置等内容）</w:t>
      </w:r>
    </w:p>
    <w:p>
      <w:pPr>
        <w:pStyle w:val="10"/>
        <w:spacing w:before="0" w:beforeAutospacing="0" w:after="0" w:afterAutospacing="0"/>
        <w:ind w:firstLine="482"/>
        <w:rPr>
          <w:rStyle w:val="8"/>
          <w:rFonts w:hint="eastAsia"/>
          <w:b w:val="0"/>
          <w:color w:val="000000" w:themeColor="text1"/>
          <w:szCs w:val="18"/>
          <w:highlight w:val="none"/>
          <w14:textFill>
            <w14:solidFill>
              <w14:schemeClr w14:val="tx1"/>
            </w14:solidFill>
          </w14:textFill>
        </w:rPr>
      </w:pPr>
      <w:r>
        <w:rPr>
          <w:rStyle w:val="8"/>
          <w:rFonts w:hint="eastAsia"/>
          <w:b w:val="0"/>
          <w:color w:val="000000" w:themeColor="text1"/>
          <w:szCs w:val="18"/>
          <w:highlight w:val="none"/>
          <w14:textFill>
            <w14:solidFill>
              <w14:schemeClr w14:val="tx1"/>
            </w14:solidFill>
          </w14:textFill>
        </w:rPr>
        <w:t>3.其他约定。</w:t>
      </w:r>
    </w:p>
    <w:p>
      <w:pPr>
        <w:pStyle w:val="10"/>
        <w:spacing w:before="0" w:beforeAutospacing="0" w:after="0" w:afterAutospacing="0"/>
        <w:ind w:firstLine="482"/>
        <w:rPr>
          <w:rStyle w:val="8"/>
          <w:color w:val="000000" w:themeColor="text1"/>
          <w:szCs w:val="18"/>
          <w:highlight w:val="none"/>
          <w14:textFill>
            <w14:solidFill>
              <w14:schemeClr w14:val="tx1"/>
            </w14:solidFill>
          </w14:textFill>
        </w:rPr>
      </w:pPr>
    </w:p>
    <w:p>
      <w:pPr>
        <w:pStyle w:val="10"/>
        <w:spacing w:before="0" w:beforeAutospacing="0" w:after="0" w:afterAutospacing="0"/>
        <w:ind w:firstLine="0"/>
        <w:rPr>
          <w:rFonts w:hint="eastAsia"/>
          <w:b/>
          <w:color w:val="000000" w:themeColor="text1"/>
          <w:highlight w:val="none"/>
          <w14:textFill>
            <w14:solidFill>
              <w14:schemeClr w14:val="tx1"/>
            </w14:solidFill>
          </w14:textFill>
        </w:rPr>
        <w:sectPr>
          <w:footerReference r:id="rId21" w:type="first"/>
          <w:footerReference r:id="rId20" w:type="default"/>
          <w:pgSz w:w="11905" w:h="16837"/>
          <w:pgMar w:top="1440" w:right="1415" w:bottom="1440" w:left="1560" w:header="720" w:footer="720" w:gutter="0"/>
          <w:pgNumType w:fmt="decimal"/>
          <w:cols w:space="720" w:num="1"/>
          <w:titlePg/>
          <w:rtlGutter w:val="0"/>
          <w:docGrid w:type="lines" w:linePitch="312" w:charSpace="0"/>
        </w:sectPr>
      </w:pPr>
    </w:p>
    <w:p>
      <w:pPr>
        <w:pStyle w:val="10"/>
        <w:spacing w:before="0" w:beforeAutospacing="0" w:after="0" w:afterAutospacing="0"/>
        <w:ind w:firstLine="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附件六  </w:t>
      </w:r>
    </w:p>
    <w:p>
      <w:pPr>
        <w:pStyle w:val="10"/>
        <w:spacing w:before="0" w:beforeAutospacing="0" w:after="0" w:afterAutospacing="0"/>
        <w:ind w:firstLine="0"/>
        <w:jc w:val="center"/>
        <w:rPr>
          <w:b/>
          <w:bCs/>
          <w:color w:val="000000" w:themeColor="text1"/>
          <w:szCs w:val="18"/>
          <w:highlight w:val="none"/>
          <w14:textFill>
            <w14:solidFill>
              <w14:schemeClr w14:val="tx1"/>
            </w14:solidFill>
          </w14:textFill>
        </w:rPr>
      </w:pPr>
      <w:r>
        <w:rPr>
          <w:b/>
          <w:bCs/>
          <w:color w:val="000000" w:themeColor="text1"/>
          <w:szCs w:val="18"/>
          <w:highlight w:val="none"/>
          <w14:textFill>
            <w14:solidFill>
              <w14:schemeClr w14:val="tx1"/>
            </w14:solidFill>
          </w14:textFill>
        </w:rPr>
        <w:t>装饰</w:t>
      </w:r>
      <w:r>
        <w:rPr>
          <w:rFonts w:hint="eastAsia"/>
          <w:b/>
          <w:bCs/>
          <w:color w:val="000000" w:themeColor="text1"/>
          <w:szCs w:val="18"/>
          <w:highlight w:val="none"/>
          <w14:textFill>
            <w14:solidFill>
              <w14:schemeClr w14:val="tx1"/>
            </w14:solidFill>
          </w14:textFill>
        </w:rPr>
        <w:t>装修及</w:t>
      </w:r>
      <w:r>
        <w:rPr>
          <w:b/>
          <w:bCs/>
          <w:color w:val="000000" w:themeColor="text1"/>
          <w:szCs w:val="18"/>
          <w:highlight w:val="none"/>
          <w14:textFill>
            <w14:solidFill>
              <w14:schemeClr w14:val="tx1"/>
            </w14:solidFill>
          </w14:textFill>
        </w:rPr>
        <w:t>设备标准的约定</w:t>
      </w:r>
    </w:p>
    <w:p>
      <w:pPr>
        <w:tabs>
          <w:tab w:val="left" w:pos="360"/>
        </w:tabs>
        <w:spacing w:line="400" w:lineRule="exact"/>
        <w:ind w:left="632" w:hanging="632"/>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一、公共部分</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.主体结构：【框架结构】【框剪结构】【剪力墙结构】【</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tabs>
          <w:tab w:val="left" w:pos="360"/>
        </w:tabs>
        <w:spacing w:line="400" w:lineRule="exact"/>
        <w:ind w:left="630" w:hanging="630"/>
        <w:jc w:val="lef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.外墙：</w:t>
      </w:r>
    </w:p>
    <w:p>
      <w:pPr>
        <w:tabs>
          <w:tab w:val="left" w:pos="360"/>
        </w:tabs>
        <w:spacing w:line="400" w:lineRule="exact"/>
        <w:ind w:left="630" w:hanging="63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保温方式：【外保温】【内保温】【装配式夹心保温】</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保温材料：【挤塑聚苯板】【模塑聚苯板】【岩棉】【发泡聚氨酯】【</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p>
    <w:p>
      <w:pPr>
        <w:tabs>
          <w:tab w:val="left" w:pos="360"/>
        </w:tabs>
        <w:spacing w:line="400" w:lineRule="exact"/>
        <w:ind w:left="630" w:hanging="630"/>
        <w:jc w:val="lef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.外窗：</w:t>
      </w:r>
    </w:p>
    <w:p>
      <w:pPr>
        <w:tabs>
          <w:tab w:val="left" w:pos="360"/>
        </w:tabs>
        <w:spacing w:line="400" w:lineRule="exact"/>
        <w:ind w:left="630" w:hanging="63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开启方式：【内平开窗】【外平开窗】【外开上悬窗】【内开下悬窗】【</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种类：【中空玻璃塑料窗】【中空玻璃铝合金窗】【中空玻璃铝木复合窗】【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.单元入口大堂：</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地面：【地面砂浆】【瓷砖】【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tabs>
          <w:tab w:val="left" w:pos="360"/>
        </w:tabs>
        <w:spacing w:line="400" w:lineRule="exact"/>
        <w:ind w:left="0" w:firstLine="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墙面：【抹灰砂浆】【瓷砖】【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tabs>
          <w:tab w:val="left" w:pos="360"/>
        </w:tabs>
        <w:spacing w:line="400" w:lineRule="exact"/>
        <w:ind w:left="630" w:hanging="63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顶棚：【抹灰砂浆】【涂料】【石膏板】【</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632" w:hanging="632"/>
        <w:jc w:val="left"/>
        <w:rPr>
          <w:rFonts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照明：【荧光灯】【LED灯（筒灯、面板灯、吸顶灯、管型LED灯）】【</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.公共电梯厅：</w:t>
      </w:r>
    </w:p>
    <w:p>
      <w:pPr>
        <w:tabs>
          <w:tab w:val="left" w:pos="360"/>
        </w:tabs>
        <w:spacing w:line="400" w:lineRule="exact"/>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地面：【地面砂浆】【瓷砖】【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墙面：【抹灰砂浆】【瓷砖】【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顶棚：【抹灰砂浆】【涂料】【石膏板】【</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tabs>
          <w:tab w:val="left" w:pos="360"/>
        </w:tabs>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电梯门套：【木门套】【铝合金门套】【</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照明：【荧光灯】【LED灯（筒灯、面板灯、吸顶灯、管型LED灯）】【</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360"/>
        </w:tabs>
        <w:spacing w:line="400" w:lineRule="exact"/>
        <w:ind w:left="369" w:leftChars="14" w:hanging="340" w:hangingChars="142"/>
        <w:jc w:val="lef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.电梯：</w:t>
      </w:r>
    </w:p>
    <w:p>
      <w:pPr>
        <w:tabs>
          <w:tab w:val="left" w:pos="360"/>
        </w:tabs>
        <w:spacing w:line="400" w:lineRule="exact"/>
        <w:ind w:left="369" w:leftChars="14" w:hanging="340" w:hangingChars="14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电梯品牌名称：</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tabs>
          <w:tab w:val="left" w:pos="360"/>
        </w:tabs>
        <w:spacing w:line="400" w:lineRule="exact"/>
        <w:ind w:left="369" w:leftChars="14" w:hanging="340" w:hangingChars="142"/>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369" w:leftChars="14" w:hanging="340" w:hangingChars="142"/>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电梯载重量：</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千克</w:t>
      </w:r>
    </w:p>
    <w:p>
      <w:pPr>
        <w:tabs>
          <w:tab w:val="left" w:pos="360"/>
        </w:tabs>
        <w:spacing w:line="400" w:lineRule="exact"/>
        <w:ind w:left="369" w:leftChars="14" w:hanging="340" w:hangingChars="142"/>
        <w:jc w:val="left"/>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.公共楼梯间：</w:t>
      </w:r>
    </w:p>
    <w:p>
      <w:pPr>
        <w:tabs>
          <w:tab w:val="left" w:pos="360"/>
        </w:tabs>
        <w:spacing w:line="400" w:lineRule="exact"/>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地面：【地面砂浆】【瓷砖】【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墙面：【抹灰砂浆】【瓷砖】【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630" w:hanging="63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顶棚：【抹灰砂浆】【瓷砖】【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630" w:hanging="63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栏杆：【木栏杆】【铝合金栏杆】【</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tabs>
          <w:tab w:val="left" w:pos="360"/>
        </w:tabs>
        <w:spacing w:line="400" w:lineRule="exact"/>
        <w:ind w:left="632" w:hanging="632"/>
        <w:jc w:val="left"/>
        <w:rPr>
          <w:rFonts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照明：【荧光灯】【LED灯（筒灯、面板灯、吸顶灯、管型LED灯）】【</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360"/>
        </w:tabs>
        <w:spacing w:line="400" w:lineRule="exact"/>
        <w:ind w:left="371" w:leftChars="14" w:hanging="342" w:hangingChars="142"/>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二、户内部分</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甲方未经双方约定增加的装置、装修、装饰，视为无条件赠送给乙方。双方就装饰装修主要材料和设备的品牌、规格、数量等内容约定如下：</w:t>
      </w:r>
    </w:p>
    <w:p>
      <w:pPr>
        <w:pStyle w:val="10"/>
        <w:spacing w:before="0" w:beforeAutospacing="0" w:after="0" w:afterAutospacing="0" w:line="400" w:lineRule="exact"/>
        <w:ind w:left="630" w:hanging="630"/>
        <w:rPr>
          <w:rFonts w:cs="Calibri"/>
          <w:color w:val="000000" w:themeColor="text1"/>
          <w:kern w:val="2"/>
          <w:highlight w:val="none"/>
          <w14:textFill>
            <w14:solidFill>
              <w14:schemeClr w14:val="tx1"/>
            </w14:solidFill>
          </w14:textFill>
        </w:rPr>
      </w:pPr>
      <w:r>
        <w:rPr>
          <w:rFonts w:cs="Calibri"/>
          <w:color w:val="000000" w:themeColor="text1"/>
          <w:kern w:val="2"/>
          <w:highlight w:val="none"/>
          <w14:textFill>
            <w14:solidFill>
              <w14:schemeClr w14:val="tx1"/>
            </w14:solidFill>
          </w14:textFill>
        </w:rPr>
        <w:t>1</w:t>
      </w:r>
      <w:r>
        <w:rPr>
          <w:rFonts w:hint="eastAsia"/>
          <w:color w:val="000000" w:themeColor="text1"/>
          <w:kern w:val="2"/>
          <w:highlight w:val="none"/>
          <w14:textFill>
            <w14:solidFill>
              <w14:schemeClr w14:val="tx1"/>
            </w14:solidFill>
          </w14:textFill>
        </w:rPr>
        <w:t>.采暖系统：</w:t>
      </w:r>
      <w:r>
        <w:rPr>
          <w:rFonts w:cs="Calibri"/>
          <w:color w:val="000000" w:themeColor="text1"/>
          <w:kern w:val="2"/>
          <w:highlight w:val="none"/>
          <w14:textFill>
            <w14:solidFill>
              <w14:schemeClr w14:val="tx1"/>
            </w14:solidFill>
          </w14:textFill>
        </w:rPr>
        <w:t xml:space="preserve">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集中采暖：【散热器】【地面辐射】【顶板辐射】【</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分户采暖：【燃气炉】【电采暖】【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采暖设备品牌：</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pStyle w:val="10"/>
        <w:spacing w:before="0" w:beforeAutospacing="0" w:after="0" w:afterAutospacing="0" w:line="400" w:lineRule="exact"/>
        <w:ind w:left="630" w:hanging="630"/>
        <w:rPr>
          <w:rFonts w:cs="Calibri"/>
          <w:color w:val="000000" w:themeColor="text1"/>
          <w:kern w:val="2"/>
          <w:highlight w:val="none"/>
          <w14:textFill>
            <w14:solidFill>
              <w14:schemeClr w14:val="tx1"/>
            </w14:solidFill>
          </w14:textFill>
        </w:rPr>
      </w:pPr>
      <w:r>
        <w:rPr>
          <w:rFonts w:cs="Calibri"/>
          <w:color w:val="000000" w:themeColor="text1"/>
          <w:kern w:val="2"/>
          <w:highlight w:val="none"/>
          <w14:textFill>
            <w14:solidFill>
              <w14:schemeClr w14:val="tx1"/>
            </w14:solidFill>
          </w14:textFill>
        </w:rPr>
        <w:t>2</w:t>
      </w:r>
      <w:r>
        <w:rPr>
          <w:rFonts w:hint="eastAsia"/>
          <w:color w:val="000000" w:themeColor="text1"/>
          <w:kern w:val="2"/>
          <w:highlight w:val="none"/>
          <w14:textFill>
            <w14:solidFill>
              <w14:schemeClr w14:val="tx1"/>
            </w14:solidFill>
          </w14:textFill>
        </w:rPr>
        <w:t>.电气系统：</w:t>
      </w:r>
      <w:r>
        <w:rPr>
          <w:rFonts w:cs="Calibri"/>
          <w:color w:val="000000" w:themeColor="text1"/>
          <w:kern w:val="2"/>
          <w:highlight w:val="none"/>
          <w14:textFill>
            <w14:solidFill>
              <w14:schemeClr w14:val="tx1"/>
            </w14:solidFill>
          </w14:textFill>
        </w:rPr>
        <w:t xml:space="preserve">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供电：</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spacing w:line="400" w:lineRule="exact"/>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有线电视：</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ascii="宋体" w:hAnsi="宋体" w:cs="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spacing w:line="400" w:lineRule="exact"/>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可视对讲：</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安防系统：</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pStyle w:val="10"/>
        <w:spacing w:before="0" w:beforeAutospacing="0" w:after="0" w:afterAutospacing="0" w:line="400" w:lineRule="exact"/>
        <w:ind w:firstLine="0"/>
        <w:rPr>
          <w:rFonts w:cs="Calibri"/>
          <w:color w:val="000000" w:themeColor="text1"/>
          <w:kern w:val="2"/>
          <w:highlight w:val="none"/>
          <w14:textFill>
            <w14:solidFill>
              <w14:schemeClr w14:val="tx1"/>
            </w14:solidFill>
          </w14:textFill>
        </w:rPr>
      </w:pPr>
      <w:r>
        <w:rPr>
          <w:rFonts w:cs="Calibri"/>
          <w:color w:val="000000" w:themeColor="text1"/>
          <w:kern w:val="2"/>
          <w:highlight w:val="none"/>
          <w14:textFill>
            <w14:solidFill>
              <w14:schemeClr w14:val="tx1"/>
            </w14:solidFill>
          </w14:textFill>
        </w:rPr>
        <w:t>3</w:t>
      </w:r>
      <w:r>
        <w:rPr>
          <w:rFonts w:hint="eastAsia"/>
          <w:color w:val="000000" w:themeColor="text1"/>
          <w:kern w:val="2"/>
          <w:highlight w:val="none"/>
          <w14:textFill>
            <w14:solidFill>
              <w14:schemeClr w14:val="tx1"/>
            </w14:solidFill>
          </w14:textFill>
        </w:rPr>
        <w:t>.燃气系统：</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pacing w:before="0" w:beforeAutospacing="0" w:after="0" w:afterAutospacing="0" w:line="400" w:lineRule="exact"/>
        <w:ind w:firstLine="0"/>
        <w:rPr>
          <w:rFonts w:cs="Calibri"/>
          <w:color w:val="000000" w:themeColor="text1"/>
          <w:kern w:val="2"/>
          <w:highlight w:val="none"/>
          <w14:textFill>
            <w14:solidFill>
              <w14:schemeClr w14:val="tx1"/>
            </w14:solidFill>
          </w14:textFill>
        </w:rPr>
      </w:pPr>
      <w:r>
        <w:rPr>
          <w:rFonts w:cs="Calibri"/>
          <w:color w:val="000000" w:themeColor="text1"/>
          <w:kern w:val="2"/>
          <w:highlight w:val="none"/>
          <w14:textFill>
            <w14:solidFill>
              <w14:schemeClr w14:val="tx1"/>
            </w14:solidFill>
          </w14:textFill>
        </w:rPr>
        <w:t>4</w:t>
      </w:r>
      <w:r>
        <w:rPr>
          <w:rFonts w:hint="eastAsia"/>
          <w:color w:val="000000" w:themeColor="text1"/>
          <w:kern w:val="2"/>
          <w:highlight w:val="none"/>
          <w14:textFill>
            <w14:solidFill>
              <w14:schemeClr w14:val="tx1"/>
            </w14:solidFill>
          </w14:textFill>
        </w:rPr>
        <w:t>.给排水系统：</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给水：</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排水：</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中水：</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生活热水：</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pStyle w:val="10"/>
        <w:spacing w:before="0" w:beforeAutospacing="0" w:after="0" w:afterAutospacing="0" w:line="400" w:lineRule="exact"/>
        <w:ind w:left="630" w:hanging="630"/>
        <w:rPr>
          <w:rFonts w:cs="Calibri"/>
          <w:color w:val="000000" w:themeColor="text1"/>
          <w:kern w:val="2"/>
          <w:highlight w:val="none"/>
          <w14:textFill>
            <w14:solidFill>
              <w14:schemeClr w14:val="tx1"/>
            </w14:solidFill>
          </w14:textFill>
        </w:rPr>
      </w:pPr>
      <w:r>
        <w:rPr>
          <w:rFonts w:cs="Calibri"/>
          <w:color w:val="000000" w:themeColor="text1"/>
          <w:kern w:val="2"/>
          <w:highlight w:val="none"/>
          <w14:textFill>
            <w14:solidFill>
              <w14:schemeClr w14:val="tx1"/>
            </w14:solidFill>
          </w14:textFill>
        </w:rPr>
        <w:t>5</w:t>
      </w:r>
      <w:r>
        <w:rPr>
          <w:rFonts w:hint="eastAsia"/>
          <w:color w:val="000000" w:themeColor="text1"/>
          <w:kern w:val="2"/>
          <w:highlight w:val="none"/>
          <w14:textFill>
            <w14:solidFill>
              <w14:schemeClr w14:val="tx1"/>
            </w14:solidFill>
          </w14:textFill>
        </w:rPr>
        <w:t>.门：</w:t>
      </w:r>
      <w:r>
        <w:rPr>
          <w:rFonts w:cs="Calibri"/>
          <w:color w:val="000000" w:themeColor="text1"/>
          <w:kern w:val="2"/>
          <w:highlight w:val="none"/>
          <w14:textFill>
            <w14:solidFill>
              <w14:schemeClr w14:val="tx1"/>
            </w14:solidFill>
          </w14:textFill>
        </w:rPr>
        <w:t xml:space="preserve"> </w:t>
      </w:r>
    </w:p>
    <w:p>
      <w:pPr>
        <w:spacing w:line="400" w:lineRule="exact"/>
        <w:ind w:left="0" w:leftChars="0" w:firstLine="0"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外门开启方式为：【内平开门】【外平开门】【</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00" w:lineRule="exact"/>
        <w:ind w:left="0" w:leftChars="0" w:firstLine="0"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外门种类：【钢质防护门】【铝合金门】【    】</w:t>
      </w:r>
    </w:p>
    <w:p>
      <w:pPr>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内门种类：【实木门】【实木复合门】【木质复合门】【    】</w:t>
      </w:r>
    </w:p>
    <w:p>
      <w:pPr>
        <w:spacing w:line="400" w:lineRule="exact"/>
        <w:ind w:left="341" w:hanging="340" w:hangingChars="142"/>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.装修：</w:t>
      </w:r>
    </w:p>
    <w:tbl>
      <w:tblPr>
        <w:tblStyle w:val="6"/>
        <w:tblW w:w="9186" w:type="dxa"/>
        <w:tblInd w:w="-8" w:type="dxa"/>
        <w:tblLayout w:type="fixed"/>
        <w:tblCellMar>
          <w:top w:w="0" w:type="dxa"/>
          <w:left w:w="10" w:type="dxa"/>
          <w:bottom w:w="0" w:type="dxa"/>
          <w:right w:w="10" w:type="dxa"/>
        </w:tblCellMar>
      </w:tblPr>
      <w:tblGrid>
        <w:gridCol w:w="1277"/>
        <w:gridCol w:w="1172"/>
        <w:gridCol w:w="4443"/>
        <w:gridCol w:w="2294"/>
      </w:tblGrid>
      <w:tr>
        <w:tblPrEx>
          <w:tblLayout w:type="fixed"/>
          <w:tblCellMar>
            <w:top w:w="0" w:type="dxa"/>
            <w:left w:w="10" w:type="dxa"/>
            <w:bottom w:w="0" w:type="dxa"/>
            <w:right w:w="10" w:type="dxa"/>
          </w:tblCellMar>
        </w:tblPrEx>
        <w:trPr>
          <w:trHeight w:val="445"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jc w:val="center"/>
              <w:rPr>
                <w:rFonts w:ascii="宋体" w:hAnsi="宋体" w:eastAsia="宋体"/>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空间位置</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jc w:val="center"/>
              <w:rPr>
                <w:rFonts w:ascii="宋体" w:hAnsi="宋体" w:eastAsia="宋体"/>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项目内容</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jc w:val="center"/>
              <w:rPr>
                <w:rFonts w:ascii="宋体" w:hAnsi="宋体" w:eastAsia="宋体"/>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建材种类</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jc w:val="center"/>
              <w:rPr>
                <w:rStyle w:val="14"/>
                <w:rFonts w:ascii="宋体" w:hAnsi="宋体" w:eastAsia="宋体" w:cs="Times New Roman"/>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品牌（绿色建材等级）</w:t>
            </w:r>
          </w:p>
        </w:tc>
      </w:tr>
      <w:tr>
        <w:tblPrEx>
          <w:tblLayout w:type="fixed"/>
          <w:tblCellMar>
            <w:top w:w="0" w:type="dxa"/>
            <w:left w:w="10" w:type="dxa"/>
            <w:bottom w:w="0" w:type="dxa"/>
            <w:right w:w="10" w:type="dxa"/>
          </w:tblCellMar>
        </w:tblPrEx>
        <w:trPr>
          <w:trHeight w:val="435" w:hRule="exact"/>
        </w:trPr>
        <w:tc>
          <w:tcPr>
            <w:tcW w:w="1277" w:type="dxa"/>
            <w:vMerge w:val="restart"/>
            <w:tcBorders>
              <w:top w:val="single" w:color="auto" w:sz="4" w:space="0"/>
              <w:left w:val="single" w:color="auto" w:sz="4" w:space="0"/>
              <w:right w:val="single" w:color="auto" w:sz="4" w:space="0"/>
            </w:tcBorders>
            <w:noWrap w:val="0"/>
            <w:vAlign w:val="center"/>
          </w:tcPr>
          <w:p>
            <w:pPr>
              <w:pStyle w:val="13"/>
              <w:spacing w:line="240" w:lineRule="auto"/>
              <w:ind w:firstLine="0"/>
              <w:jc w:val="center"/>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right w:val="single" w:color="auto" w:sz="4" w:space="0"/>
            </w:tcBorders>
            <w:noWrap w:val="0"/>
            <w:vAlign w:val="center"/>
          </w:tcPr>
          <w:p>
            <w:pPr>
              <w:pStyle w:val="13"/>
              <w:spacing w:before="0" w:line="240" w:lineRule="auto"/>
              <w:ind w:left="141" w:leftChars="67" w:firstLine="394"/>
              <w:jc w:val="center"/>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1235" w:hRule="exact"/>
        </w:trPr>
        <w:tc>
          <w:tcPr>
            <w:tcW w:w="1277" w:type="dxa"/>
            <w:vMerge w:val="continue"/>
            <w:tcBorders>
              <w:left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710" w:hRule="exact"/>
        </w:trPr>
        <w:tc>
          <w:tcPr>
            <w:tcW w:w="1277" w:type="dxa"/>
            <w:vMerge w:val="continue"/>
            <w:tcBorders>
              <w:left w:val="single" w:color="auto" w:sz="4" w:space="0"/>
              <w:bottom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5"/>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restart"/>
            <w:tcBorders>
              <w:top w:val="single" w:color="auto" w:sz="4" w:space="0"/>
              <w:left w:val="single" w:color="auto" w:sz="4" w:space="0"/>
              <w:right w:val="single" w:color="auto" w:sz="4" w:space="0"/>
            </w:tcBorders>
            <w:noWrap w:val="0"/>
            <w:vAlign w:val="center"/>
          </w:tcPr>
          <w:p>
            <w:pPr>
              <w:pStyle w:val="13"/>
              <w:spacing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起居室</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顶棚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【涂料】【石膏板】【</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continue"/>
            <w:tcBorders>
              <w:left w:val="single" w:color="auto" w:sz="4" w:space="0"/>
              <w:right w:val="single" w:color="auto" w:sz="4" w:space="0"/>
            </w:tcBorders>
            <w:noWrap w:val="0"/>
            <w:vAlign w:val="center"/>
          </w:tcPr>
          <w:p>
            <w:pPr>
              <w:pStyle w:val="13"/>
              <w:spacing w:line="240" w:lineRule="auto"/>
              <w:ind w:left="141" w:leftChars="67" w:firstLine="394"/>
              <w:jc w:val="center"/>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墙面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【涂料】【壁纸】【</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1188" w:hRule="exact"/>
        </w:trPr>
        <w:tc>
          <w:tcPr>
            <w:tcW w:w="1277" w:type="dxa"/>
            <w:vMerge w:val="continue"/>
            <w:tcBorders>
              <w:left w:val="single" w:color="auto" w:sz="4" w:space="0"/>
              <w:right w:val="single" w:color="auto" w:sz="4" w:space="0"/>
            </w:tcBorders>
            <w:noWrap w:val="0"/>
            <w:vAlign w:val="center"/>
          </w:tcPr>
          <w:p>
            <w:pPr>
              <w:pStyle w:val="13"/>
              <w:spacing w:before="0" w:line="240" w:lineRule="auto"/>
              <w:ind w:left="141" w:leftChars="67" w:firstLine="394"/>
              <w:jc w:val="center"/>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地面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【实木地板】【实木复合地板】【瓷砖】【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1105" w:hRule="exact"/>
        </w:trPr>
        <w:tc>
          <w:tcPr>
            <w:tcW w:w="1277" w:type="dxa"/>
            <w:vMerge w:val="continue"/>
            <w:tcBorders>
              <w:left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踢脚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【木质踢脚线】【PVC踢脚线】【瓷砖】【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5"/>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continue"/>
            <w:tcBorders>
              <w:left w:val="single" w:color="auto" w:sz="4" w:space="0"/>
              <w:bottom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窗台板</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【大理石】【抹灰砂浆】【</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restart"/>
            <w:tcBorders>
              <w:top w:val="single" w:color="auto" w:sz="4" w:space="0"/>
              <w:left w:val="single" w:color="auto" w:sz="4" w:space="0"/>
              <w:right w:val="single" w:color="auto" w:sz="4" w:space="0"/>
            </w:tcBorders>
            <w:noWrap w:val="0"/>
            <w:vAlign w:val="center"/>
          </w:tcPr>
          <w:p>
            <w:pPr>
              <w:pStyle w:val="13"/>
              <w:spacing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卧室</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顶棚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【涂料】【石膏板】【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5"/>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continue"/>
            <w:tcBorders>
              <w:left w:val="single" w:color="auto" w:sz="4" w:space="0"/>
              <w:right w:val="single" w:color="auto" w:sz="4" w:space="0"/>
            </w:tcBorders>
            <w:noWrap w:val="0"/>
            <w:vAlign w:val="center"/>
          </w:tcPr>
          <w:p>
            <w:pPr>
              <w:pStyle w:val="13"/>
              <w:spacing w:line="240" w:lineRule="auto"/>
              <w:ind w:left="141" w:leftChars="67" w:firstLine="394"/>
              <w:jc w:val="center"/>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墙面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【涂料】【壁纸】【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595" w:hRule="exact"/>
        </w:trPr>
        <w:tc>
          <w:tcPr>
            <w:tcW w:w="1277" w:type="dxa"/>
            <w:vMerge w:val="continue"/>
            <w:tcBorders>
              <w:left w:val="single" w:color="auto" w:sz="4" w:space="0"/>
              <w:right w:val="single" w:color="auto" w:sz="4" w:space="0"/>
            </w:tcBorders>
            <w:noWrap w:val="0"/>
            <w:vAlign w:val="center"/>
          </w:tcPr>
          <w:p>
            <w:pPr>
              <w:pStyle w:val="13"/>
              <w:spacing w:before="0" w:line="240" w:lineRule="auto"/>
              <w:ind w:left="141" w:leftChars="67" w:firstLine="394"/>
              <w:jc w:val="center"/>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地面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【实木地板】【实木复合地板】【瓷砖】【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1202" w:hRule="exact"/>
        </w:trPr>
        <w:tc>
          <w:tcPr>
            <w:tcW w:w="1277" w:type="dxa"/>
            <w:vMerge w:val="continue"/>
            <w:tcBorders>
              <w:left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踢脚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【木质踢脚线】【PVC踢脚线】【瓷砖】【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5"/>
                <w:rFonts w:ascii="宋体" w:hAnsi="宋体" w:eastAsia="宋体" w:cs="Times New Roman"/>
                <w:color w:val="000000" w:themeColor="text1"/>
                <w:sz w:val="24"/>
                <w:szCs w:val="24"/>
                <w:highlight w:val="none"/>
                <w:lang w:val="en-US"/>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continue"/>
            <w:tcBorders>
              <w:left w:val="single" w:color="auto" w:sz="4" w:space="0"/>
              <w:bottom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窗台板</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【大理石】【抹灰砂浆】【</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restart"/>
            <w:tcBorders>
              <w:top w:val="single" w:color="auto" w:sz="4" w:space="0"/>
              <w:left w:val="single" w:color="auto" w:sz="4" w:space="0"/>
              <w:right w:val="single" w:color="auto" w:sz="4" w:space="0"/>
            </w:tcBorders>
            <w:noWrap w:val="0"/>
            <w:vAlign w:val="center"/>
          </w:tcPr>
          <w:p>
            <w:pPr>
              <w:pStyle w:val="13"/>
              <w:spacing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储藏室</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顶棚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【涂料】【石膏板】【</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right w:val="single" w:color="auto" w:sz="4" w:space="0"/>
            </w:tcBorders>
            <w:noWrap w:val="0"/>
            <w:vAlign w:val="center"/>
          </w:tcPr>
          <w:p>
            <w:pPr>
              <w:pStyle w:val="13"/>
              <w:spacing w:before="0" w:line="240" w:lineRule="auto"/>
              <w:ind w:left="141" w:leftChars="67" w:firstLine="394"/>
              <w:jc w:val="center"/>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墙面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【涂料】【壁纸】【</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1209" w:hRule="exact"/>
        </w:trPr>
        <w:tc>
          <w:tcPr>
            <w:tcW w:w="1277" w:type="dxa"/>
            <w:vMerge w:val="continue"/>
            <w:tcBorders>
              <w:left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地面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【实木地板】【实木复合地板】【瓷砖】【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704" w:hRule="exact"/>
        </w:trPr>
        <w:tc>
          <w:tcPr>
            <w:tcW w:w="1277" w:type="dxa"/>
            <w:vMerge w:val="continue"/>
            <w:tcBorders>
              <w:left w:val="single" w:color="auto" w:sz="4" w:space="0"/>
              <w:right w:val="single" w:color="auto" w:sz="4" w:space="0"/>
            </w:tcBorders>
            <w:noWrap w:val="0"/>
            <w:vAlign w:val="center"/>
          </w:tcPr>
          <w:p>
            <w:pPr>
              <w:ind w:left="741" w:leftChars="67" w:hanging="600"/>
              <w:jc w:val="center"/>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踢脚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【木质踢脚线】【PVC踢脚线】【瓷砖】【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5"/>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19" w:hRule="exact"/>
        </w:trPr>
        <w:tc>
          <w:tcPr>
            <w:tcW w:w="1277" w:type="dxa"/>
            <w:vMerge w:val="restart"/>
            <w:tcBorders>
              <w:top w:val="single" w:color="auto" w:sz="4" w:space="0"/>
              <w:left w:val="single" w:color="auto" w:sz="4" w:space="0"/>
              <w:right w:val="single" w:color="auto" w:sz="4" w:space="0"/>
            </w:tcBorders>
            <w:noWrap w:val="0"/>
            <w:vAlign w:val="center"/>
          </w:tcPr>
          <w:p>
            <w:pPr>
              <w:pStyle w:val="13"/>
              <w:spacing w:before="0" w:line="240" w:lineRule="auto"/>
              <w:ind w:firstLine="0"/>
              <w:jc w:val="center"/>
              <w:rPr>
                <w:rStyle w:val="16"/>
                <w:rFonts w:ascii="宋体" w:hAnsi="宋体" w:eastAsia="宋体" w:cs="Times New Roman"/>
                <w:color w:val="000000" w:themeColor="text1"/>
                <w:sz w:val="24"/>
                <w:szCs w:val="24"/>
                <w:highlight w:val="none"/>
                <w14:textFill>
                  <w14:solidFill>
                    <w14:schemeClr w14:val="tx1"/>
                  </w14:solidFill>
                </w14:textFill>
              </w:rPr>
            </w:pPr>
          </w:p>
          <w:p>
            <w:pPr>
              <w:pStyle w:val="13"/>
              <w:spacing w:before="0"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厨房</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顶棚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【抹灰砂浆】【石膏板】【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5" w:hRule="exact"/>
        </w:trPr>
        <w:tc>
          <w:tcPr>
            <w:tcW w:w="1277" w:type="dxa"/>
            <w:vMerge w:val="continue"/>
            <w:tcBorders>
              <w:left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墙面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【瓷砖】【耐水腻子】【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地面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【实木地板】【瓷砖】</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踢脚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【不锈钢】【瓷砖】【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bottom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窗台板</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【大理石】【抹灰砂浆】【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restart"/>
            <w:tcBorders>
              <w:left w:val="single" w:color="auto" w:sz="4" w:space="0"/>
              <w:right w:val="single" w:color="auto" w:sz="4" w:space="0"/>
            </w:tcBorders>
            <w:noWrap w:val="0"/>
            <w:vAlign w:val="center"/>
          </w:tcPr>
          <w:p>
            <w:pPr>
              <w:ind w:left="741" w:leftChars="67" w:hanging="6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卫生间</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宋体" w:hAnsi="宋体" w:eastAsia="宋体"/>
                <w:color w:val="000000" w:themeColor="text1"/>
                <w:kern w:val="2"/>
                <w:sz w:val="24"/>
                <w:szCs w:val="24"/>
                <w:highlight w:val="none"/>
                <w:lang w:val="en-US"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顶棚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MingLiU" w:hAnsi="MingLiU" w:eastAsia="MingLiU" w:cs="宋体"/>
                <w:color w:val="000000" w:themeColor="text1"/>
                <w:spacing w:val="0"/>
                <w:w w:val="100"/>
                <w:kern w:val="2"/>
                <w:position w:val="0"/>
                <w:sz w:val="17"/>
                <w:szCs w:val="17"/>
                <w:highlight w:val="none"/>
                <w:u w:val="none"/>
                <w:lang w:val="zh-CN"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【抹灰砂浆】【石膏板】【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宋体" w:hAnsi="宋体" w:eastAsia="宋体"/>
                <w:color w:val="000000" w:themeColor="text1"/>
                <w:kern w:val="2"/>
                <w:sz w:val="24"/>
                <w:szCs w:val="24"/>
                <w:highlight w:val="none"/>
                <w:lang w:val="en-US"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墙面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MingLiU" w:hAnsi="MingLiU" w:eastAsia="MingLiU" w:cs="宋体"/>
                <w:color w:val="000000" w:themeColor="text1"/>
                <w:spacing w:val="0"/>
                <w:w w:val="100"/>
                <w:kern w:val="2"/>
                <w:position w:val="0"/>
                <w:sz w:val="17"/>
                <w:szCs w:val="17"/>
                <w:highlight w:val="none"/>
                <w:u w:val="none"/>
                <w:lang w:val="zh-CN"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【瓷砖】【耐水腻子】【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宋体" w:hAnsi="宋体" w:eastAsia="宋体"/>
                <w:color w:val="000000" w:themeColor="text1"/>
                <w:kern w:val="2"/>
                <w:sz w:val="24"/>
                <w:szCs w:val="24"/>
                <w:highlight w:val="none"/>
                <w:lang w:val="en-US"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地面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MingLiU" w:hAnsi="MingLiU" w:eastAsia="MingLiU" w:cs="宋体"/>
                <w:color w:val="000000" w:themeColor="text1"/>
                <w:spacing w:val="0"/>
                <w:w w:val="100"/>
                <w:kern w:val="2"/>
                <w:position w:val="0"/>
                <w:sz w:val="17"/>
                <w:szCs w:val="17"/>
                <w:highlight w:val="none"/>
                <w:u w:val="none"/>
                <w:lang w:val="zh-CN"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【实木地板】【瓷砖】</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宋体" w:hAnsi="宋体" w:eastAsia="宋体"/>
                <w:color w:val="000000" w:themeColor="text1"/>
                <w:kern w:val="2"/>
                <w:sz w:val="24"/>
                <w:szCs w:val="24"/>
                <w:highlight w:val="none"/>
                <w:lang w:val="en-US"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踢脚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MingLiU" w:hAnsi="MingLiU" w:eastAsia="MingLiU" w:cs="宋体"/>
                <w:color w:val="000000" w:themeColor="text1"/>
                <w:spacing w:val="0"/>
                <w:w w:val="100"/>
                <w:kern w:val="2"/>
                <w:position w:val="0"/>
                <w:sz w:val="17"/>
                <w:szCs w:val="17"/>
                <w:highlight w:val="none"/>
                <w:u w:val="none"/>
                <w:lang w:val="zh-CN"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【不锈钢】【瓷砖】【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30" w:hRule="exact"/>
        </w:trPr>
        <w:tc>
          <w:tcPr>
            <w:tcW w:w="1277" w:type="dxa"/>
            <w:vMerge w:val="continue"/>
            <w:tcBorders>
              <w:left w:val="single" w:color="auto" w:sz="4" w:space="0"/>
              <w:bottom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宋体" w:hAnsi="宋体" w:eastAsia="宋体"/>
                <w:color w:val="000000" w:themeColor="text1"/>
                <w:kern w:val="2"/>
                <w:sz w:val="24"/>
                <w:szCs w:val="24"/>
                <w:highlight w:val="none"/>
                <w:lang w:val="en-US"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窗台板</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firstLineChars="0"/>
              <w:rPr>
                <w:rFonts w:hint="eastAsia" w:ascii="MingLiU" w:hAnsi="MingLiU" w:eastAsia="MingLiU" w:cs="宋体"/>
                <w:color w:val="000000" w:themeColor="text1"/>
                <w:spacing w:val="0"/>
                <w:w w:val="100"/>
                <w:kern w:val="2"/>
                <w:position w:val="0"/>
                <w:sz w:val="17"/>
                <w:szCs w:val="17"/>
                <w:highlight w:val="none"/>
                <w:u w:val="none"/>
                <w:lang w:val="zh-CN" w:eastAsia="zh-CN" w:bidi="ar-SA"/>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【大理石】【抹灰砂浆】【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7"/>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86" w:hRule="atLeast"/>
        </w:trPr>
        <w:tc>
          <w:tcPr>
            <w:tcW w:w="1277" w:type="dxa"/>
            <w:vMerge w:val="restart"/>
            <w:tcBorders>
              <w:top w:val="single" w:color="auto" w:sz="4" w:space="0"/>
              <w:left w:val="single" w:color="auto" w:sz="4" w:space="0"/>
              <w:right w:val="single" w:color="auto" w:sz="4" w:space="0"/>
            </w:tcBorders>
            <w:noWrap w:val="0"/>
            <w:vAlign w:val="center"/>
          </w:tcPr>
          <w:p>
            <w:pPr>
              <w:pStyle w:val="13"/>
              <w:spacing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阳台</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b/>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顶棚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【涂料】【石膏板】【</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485" w:hRule="exact"/>
        </w:trPr>
        <w:tc>
          <w:tcPr>
            <w:tcW w:w="1277" w:type="dxa"/>
            <w:vMerge w:val="continue"/>
            <w:tcBorders>
              <w:left w:val="single" w:color="auto" w:sz="4" w:space="0"/>
              <w:right w:val="single" w:color="auto" w:sz="4" w:space="0"/>
            </w:tcBorders>
            <w:noWrap w:val="0"/>
            <w:vAlign w:val="center"/>
          </w:tcPr>
          <w:p>
            <w:pPr>
              <w:pStyle w:val="13"/>
              <w:spacing w:line="240" w:lineRule="auto"/>
              <w:ind w:firstLine="0"/>
              <w:jc w:val="center"/>
              <w:rPr>
                <w:rFonts w:ascii="宋体" w:hAnsi="宋体" w:eastAsia="宋体" w:cs="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晾衣杆</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【不锈钢】【铝合金】【</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1035" w:hRule="exact"/>
        </w:trPr>
        <w:tc>
          <w:tcPr>
            <w:tcW w:w="1277" w:type="dxa"/>
            <w:vMerge w:val="continue"/>
            <w:tcBorders>
              <w:left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墙面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【涂料】【瓷砖】【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394"/>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818" w:hRule="exact"/>
        </w:trPr>
        <w:tc>
          <w:tcPr>
            <w:tcW w:w="1277" w:type="dxa"/>
            <w:vMerge w:val="continue"/>
            <w:tcBorders>
              <w:left w:val="single" w:color="auto" w:sz="4" w:space="0"/>
              <w:right w:val="single" w:color="auto" w:sz="4" w:space="0"/>
            </w:tcBorders>
            <w:noWrap w:val="0"/>
            <w:vAlign w:val="center"/>
          </w:tcPr>
          <w:p>
            <w:pPr>
              <w:ind w:left="741" w:leftChars="67" w:hanging="60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地面</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【实木地板】【实木复合地板】【瓷砖】【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394"/>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629" w:hRule="exact"/>
        </w:trPr>
        <w:tc>
          <w:tcPr>
            <w:tcW w:w="1277" w:type="dxa"/>
            <w:tcBorders>
              <w:left w:val="single" w:color="auto" w:sz="4" w:space="0"/>
              <w:right w:val="single" w:color="auto" w:sz="4" w:space="0"/>
            </w:tcBorders>
            <w:noWrap w:val="0"/>
            <w:vAlign w:val="center"/>
          </w:tcPr>
          <w:p>
            <w:pPr>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踢脚</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【木质踢脚线】【PVC踢脚线】【瓷砖】【</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394"/>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651" w:hRule="exact"/>
        </w:trPr>
        <w:tc>
          <w:tcPr>
            <w:tcW w:w="1277" w:type="dxa"/>
            <w:tcBorders>
              <w:left w:val="single" w:color="auto" w:sz="4" w:space="0"/>
              <w:bottom w:val="single" w:color="auto" w:sz="4" w:space="0"/>
              <w:right w:val="single" w:color="auto" w:sz="4" w:space="0"/>
            </w:tcBorders>
            <w:noWrap w:val="0"/>
            <w:vAlign w:val="center"/>
          </w:tcPr>
          <w:p>
            <w:pPr>
              <w:ind w:left="370" w:leftChars="5" w:hanging="360" w:hangingChars="150"/>
              <w:jc w:val="left"/>
              <w:rPr>
                <w:rFonts w:ascii="宋体" w:hAnsi="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窗台板</w:t>
            </w:r>
          </w:p>
          <w:p>
            <w:pPr>
              <w:pStyle w:val="13"/>
              <w:spacing w:before="0" w:line="240" w:lineRule="auto"/>
              <w:ind w:firstLine="0"/>
              <w:rPr>
                <w:rStyle w:val="14"/>
                <w:rFonts w:ascii="宋体" w:hAnsi="宋体" w:eastAsia="宋体" w:cs="宋体"/>
                <w:color w:val="000000" w:themeColor="text1"/>
                <w:sz w:val="24"/>
                <w:szCs w:val="24"/>
                <w:highlight w:val="none"/>
                <w14:textFill>
                  <w14:solidFill>
                    <w14:schemeClr w14:val="tx1"/>
                  </w14:solidFill>
                </w14:textFill>
              </w:rPr>
            </w:pPr>
          </w:p>
          <w:p>
            <w:pPr>
              <w:pStyle w:val="13"/>
              <w:spacing w:before="0" w:line="240" w:lineRule="auto"/>
              <w:ind w:firstLine="0"/>
              <w:rPr>
                <w:rStyle w:val="14"/>
                <w:rFonts w:ascii="宋体" w:hAnsi="宋体" w:eastAsia="宋体" w:cs="宋体"/>
                <w:color w:val="000000" w:themeColor="text1"/>
                <w:sz w:val="24"/>
                <w:szCs w:val="24"/>
                <w:highlight w:val="none"/>
                <w14:textFill>
                  <w14:solidFill>
                    <w14:schemeClr w14:val="tx1"/>
                  </w14:solidFill>
                </w14:textFill>
              </w:rPr>
            </w:pPr>
          </w:p>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444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cs="宋体"/>
                <w:color w:val="000000" w:themeColor="text1"/>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【大理石】【抹灰砂浆】【</w:t>
            </w:r>
            <w:r>
              <w:rPr>
                <w:rStyle w:val="14"/>
                <w:rFonts w:ascii="宋体" w:hAnsi="宋体" w:eastAsia="宋体" w:cs="宋体"/>
                <w:color w:val="000000" w:themeColor="text1"/>
                <w:sz w:val="24"/>
                <w:szCs w:val="24"/>
                <w:highlight w:val="none"/>
                <w14:textFill>
                  <w14:solidFill>
                    <w14:schemeClr w14:val="tx1"/>
                  </w14:solidFill>
                </w14:textFill>
              </w:rPr>
              <w:t xml:space="preserve"> </w:t>
            </w:r>
            <w:r>
              <w:rPr>
                <w:rStyle w:val="14"/>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294" w:type="dxa"/>
            <w:tcBorders>
              <w:top w:val="single" w:color="auto" w:sz="4" w:space="0"/>
              <w:left w:val="single" w:color="auto" w:sz="4" w:space="0"/>
              <w:bottom w:val="single" w:color="auto" w:sz="4" w:space="0"/>
              <w:right w:val="single" w:color="auto" w:sz="4" w:space="0"/>
            </w:tcBorders>
            <w:noWrap w:val="0"/>
            <w:vAlign w:val="top"/>
          </w:tcPr>
          <w:p>
            <w:pPr>
              <w:pStyle w:val="13"/>
              <w:spacing w:before="0" w:line="240" w:lineRule="auto"/>
              <w:ind w:firstLine="394"/>
              <w:rPr>
                <w:rStyle w:val="14"/>
                <w:rFonts w:ascii="宋体" w:hAnsi="宋体" w:eastAsia="宋体" w:cs="Times New Roman"/>
                <w:color w:val="000000" w:themeColor="text1"/>
                <w:sz w:val="24"/>
                <w:szCs w:val="24"/>
                <w:highlight w:val="none"/>
                <w14:textFill>
                  <w14:solidFill>
                    <w14:schemeClr w14:val="tx1"/>
                  </w14:solidFill>
                </w14:textFill>
              </w:rPr>
            </w:pPr>
          </w:p>
        </w:tc>
      </w:tr>
    </w:tbl>
    <w:p>
      <w:pPr>
        <w:spacing w:line="400" w:lineRule="exact"/>
        <w:ind w:left="341" w:hanging="340" w:hangingChars="142"/>
        <w:jc w:val="left"/>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.设备设施：</w:t>
      </w:r>
    </w:p>
    <w:tbl>
      <w:tblPr>
        <w:tblStyle w:val="6"/>
        <w:tblW w:w="8515" w:type="dxa"/>
        <w:tblInd w:w="-8" w:type="dxa"/>
        <w:tblLayout w:type="fixed"/>
        <w:tblCellMar>
          <w:top w:w="0" w:type="dxa"/>
          <w:left w:w="10" w:type="dxa"/>
          <w:bottom w:w="0" w:type="dxa"/>
          <w:right w:w="10" w:type="dxa"/>
        </w:tblCellMar>
      </w:tblPr>
      <w:tblGrid>
        <w:gridCol w:w="861"/>
        <w:gridCol w:w="1276"/>
        <w:gridCol w:w="2551"/>
        <w:gridCol w:w="2552"/>
        <w:gridCol w:w="1275"/>
      </w:tblGrid>
      <w:tr>
        <w:tblPrEx>
          <w:tblLayout w:type="fixed"/>
          <w:tblCellMar>
            <w:top w:w="0" w:type="dxa"/>
            <w:left w:w="10" w:type="dxa"/>
            <w:bottom w:w="0" w:type="dxa"/>
            <w:right w:w="10" w:type="dxa"/>
          </w:tblCellMar>
        </w:tblPrEx>
        <w:trPr>
          <w:trHeight w:val="397" w:hRule="atLeas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jc w:val="center"/>
              <w:rPr>
                <w:rStyle w:val="14"/>
                <w:rFonts w:ascii="宋体" w:hAnsi="宋体" w:eastAsia="宋体" w:cs="Times New Roman"/>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设备设施内容</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jc w:val="center"/>
              <w:rPr>
                <w:rStyle w:val="14"/>
                <w:rFonts w:ascii="宋体" w:hAnsi="宋体" w:eastAsia="宋体" w:cs="Times New Roman"/>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品牌（绿色建材等级）</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7" w:firstLineChars="61"/>
              <w:jc w:val="center"/>
              <w:rPr>
                <w:rStyle w:val="14"/>
                <w:rFonts w:ascii="宋体" w:hAnsi="宋体" w:eastAsia="宋体" w:cs="Times New Roman"/>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型号（做法）</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7" w:firstLineChars="61"/>
              <w:jc w:val="center"/>
              <w:rPr>
                <w:rStyle w:val="14"/>
                <w:rFonts w:ascii="宋体" w:hAnsi="宋体" w:eastAsia="宋体" w:cs="Times New Roman"/>
                <w:b/>
                <w:bCs/>
                <w:color w:val="000000" w:themeColor="text1"/>
                <w:sz w:val="24"/>
                <w:szCs w:val="24"/>
                <w:highlight w:val="none"/>
                <w14:textFill>
                  <w14:solidFill>
                    <w14:schemeClr w14:val="tx1"/>
                  </w14:solidFill>
                </w14:textFill>
              </w:rPr>
            </w:pPr>
            <w:r>
              <w:rPr>
                <w:rStyle w:val="14"/>
                <w:rFonts w:hint="eastAsia" w:ascii="宋体" w:hAnsi="宋体" w:eastAsia="宋体" w:cs="宋体"/>
                <w:b/>
                <w:bCs/>
                <w:color w:val="000000" w:themeColor="text1"/>
                <w:sz w:val="24"/>
                <w:szCs w:val="24"/>
                <w:highlight w:val="none"/>
                <w14:textFill>
                  <w14:solidFill>
                    <w14:schemeClr w14:val="tx1"/>
                  </w14:solidFill>
                </w14:textFill>
              </w:rPr>
              <w:t>数量</w:t>
            </w:r>
          </w:p>
        </w:tc>
      </w:tr>
      <w:tr>
        <w:tblPrEx>
          <w:tblLayout w:type="fixed"/>
          <w:tblCellMar>
            <w:top w:w="0" w:type="dxa"/>
            <w:left w:w="10" w:type="dxa"/>
            <w:bottom w:w="0" w:type="dxa"/>
            <w:right w:w="10" w:type="dxa"/>
          </w:tblCellMar>
        </w:tblPrEx>
        <w:trPr>
          <w:trHeight w:val="397" w:hRule="atLeast"/>
        </w:trPr>
        <w:tc>
          <w:tcPr>
            <w:tcW w:w="861" w:type="dxa"/>
            <w:vMerge w:val="restart"/>
            <w:tcBorders>
              <w:top w:val="single" w:color="auto" w:sz="4" w:space="0"/>
              <w:left w:val="single" w:color="auto" w:sz="4" w:space="0"/>
              <w:right w:val="single" w:color="auto" w:sz="4" w:space="0"/>
            </w:tcBorders>
            <w:noWrap w:val="0"/>
            <w:vAlign w:val="center"/>
          </w:tcPr>
          <w:p>
            <w:pPr>
              <w:pStyle w:val="13"/>
              <w:spacing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厨房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橱柜</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pStyle w:val="13"/>
              <w:spacing w:before="0" w:line="240" w:lineRule="auto"/>
              <w:ind w:firstLine="0"/>
              <w:jc w:val="center"/>
              <w:rPr>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燃气灶</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吸油烟机</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bottom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龙头及水槽</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restart"/>
            <w:tcBorders>
              <w:top w:val="single" w:color="auto" w:sz="4" w:space="0"/>
              <w:left w:val="single" w:color="auto" w:sz="4" w:space="0"/>
              <w:right w:val="single" w:color="auto" w:sz="4" w:space="0"/>
            </w:tcBorders>
            <w:noWrap w:val="0"/>
            <w:vAlign w:val="center"/>
          </w:tcPr>
          <w:p>
            <w:pPr>
              <w:pStyle w:val="13"/>
              <w:spacing w:before="0"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卫生间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洗手盆</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座便器</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淋浴间</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龙头</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花洒</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浴霸</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ascii="宋体" w:hAnsi="宋体" w:eastAsia="宋体" w:cs="Times New Roman"/>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浴缸</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水盆柜</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主卫镜柜</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ascii="宋体" w:hAnsi="宋体" w:eastAsia="宋体" w:cs="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置物架</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bottom w:val="single" w:color="auto" w:sz="4" w:space="0"/>
              <w:right w:val="single" w:color="auto" w:sz="4" w:space="0"/>
            </w:tcBorders>
            <w:noWrap w:val="0"/>
            <w:vAlign w:val="center"/>
          </w:tcPr>
          <w:p>
            <w:pPr>
              <w:ind w:left="600" w:hanging="600"/>
              <w:jc w:val="center"/>
              <w:rPr>
                <w:rFonts w:ascii="宋体" w:hAnsi="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Style w:val="14"/>
                <w:rFonts w:hint="eastAsia" w:ascii="宋体" w:hAnsi="宋体" w:eastAsia="宋体" w:cs="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毛巾杆</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restart"/>
            <w:tcBorders>
              <w:top w:val="single" w:color="auto" w:sz="4" w:space="0"/>
              <w:left w:val="single" w:color="auto" w:sz="4" w:space="0"/>
              <w:right w:val="single" w:color="auto" w:sz="4" w:space="0"/>
            </w:tcBorders>
            <w:noWrap w:val="0"/>
            <w:vAlign w:val="center"/>
          </w:tcPr>
          <w:p>
            <w:pPr>
              <w:pStyle w:val="13"/>
              <w:spacing w:before="0"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外门</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bottom w:val="single" w:color="auto" w:sz="4" w:space="0"/>
              <w:right w:val="single" w:color="auto" w:sz="4" w:space="0"/>
            </w:tcBorders>
            <w:noWrap w:val="0"/>
            <w:vAlign w:val="center"/>
          </w:tcPr>
          <w:p>
            <w:pPr>
              <w:pStyle w:val="13"/>
              <w:spacing w:before="0" w:line="240" w:lineRule="auto"/>
              <w:ind w:firstLine="0"/>
              <w:jc w:val="center"/>
              <w:rPr>
                <w:rStyle w:val="16"/>
                <w:rFonts w:ascii="宋体" w:hAnsi="宋体" w:eastAsia="宋体" w:cs="Times New Roman"/>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内门</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spacing w:line="240" w:lineRule="auto"/>
              <w:ind w:firstLine="0"/>
              <w:jc w:val="center"/>
              <w:rPr>
                <w:rFonts w:ascii="宋体" w:hAnsi="宋体" w:eastAsia="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固定家具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玄关柜</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吊柜</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Fonts w:ascii="宋体" w:hAnsi="宋体" w:eastAsia="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394"/>
              <w:rPr>
                <w:rStyle w:val="18"/>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Style w:val="14"/>
                <w:rFonts w:hint="eastAsia" w:ascii="宋体" w:hAnsi="宋体" w:eastAsia="宋体" w:cs="宋体"/>
                <w:color w:val="000000" w:themeColor="text1"/>
                <w:sz w:val="24"/>
                <w:szCs w:val="24"/>
                <w:highlight w:val="none"/>
                <w14:textFill>
                  <w14:solidFill>
                    <w14:schemeClr w14:val="tx1"/>
                  </w14:solidFill>
                </w14:textFill>
              </w:rPr>
              <w:t>储藏柜</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restart"/>
            <w:tcBorders>
              <w:top w:val="single" w:color="auto" w:sz="4" w:space="0"/>
              <w:left w:val="single" w:color="auto" w:sz="4" w:space="0"/>
              <w:right w:val="single" w:color="auto" w:sz="4" w:space="0"/>
            </w:tcBorders>
            <w:noWrap w:val="0"/>
            <w:vAlign w:val="center"/>
          </w:tcPr>
          <w:p>
            <w:pPr>
              <w:pStyle w:val="13"/>
              <w:spacing w:before="0" w:line="240" w:lineRule="auto"/>
              <w:ind w:firstLine="0"/>
              <w:jc w:val="center"/>
              <w:rPr>
                <w:rStyle w:val="18"/>
                <w:rFonts w:ascii="宋体" w:hAnsi="宋体" w:eastAsia="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灯具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玄关</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pStyle w:val="13"/>
              <w:spacing w:before="0" w:line="240" w:lineRule="auto"/>
              <w:ind w:firstLine="394"/>
              <w:rPr>
                <w:rStyle w:val="18"/>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卧室</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52" w:hRule="atLeast"/>
        </w:trPr>
        <w:tc>
          <w:tcPr>
            <w:tcW w:w="861" w:type="dxa"/>
            <w:vMerge w:val="continue"/>
            <w:tcBorders>
              <w:left w:val="single" w:color="auto" w:sz="4" w:space="0"/>
              <w:right w:val="single" w:color="auto" w:sz="4" w:space="0"/>
            </w:tcBorders>
            <w:noWrap w:val="0"/>
            <w:vAlign w:val="center"/>
          </w:tcPr>
          <w:p>
            <w:pPr>
              <w:pStyle w:val="13"/>
              <w:spacing w:before="0" w:line="240" w:lineRule="auto"/>
              <w:ind w:firstLine="394"/>
              <w:rPr>
                <w:rStyle w:val="18"/>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起居室</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51" w:hRule="atLeast"/>
        </w:trPr>
        <w:tc>
          <w:tcPr>
            <w:tcW w:w="861" w:type="dxa"/>
            <w:vMerge w:val="continue"/>
            <w:tcBorders>
              <w:left w:val="single" w:color="auto" w:sz="4" w:space="0"/>
              <w:right w:val="single" w:color="auto" w:sz="4" w:space="0"/>
            </w:tcBorders>
            <w:noWrap w:val="0"/>
            <w:vAlign w:val="center"/>
          </w:tcPr>
          <w:p>
            <w:pPr>
              <w:pStyle w:val="13"/>
              <w:spacing w:before="0" w:line="240" w:lineRule="auto"/>
              <w:ind w:firstLine="394"/>
              <w:rPr>
                <w:rStyle w:val="18"/>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阳台</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pStyle w:val="13"/>
              <w:spacing w:before="0" w:line="240" w:lineRule="auto"/>
              <w:ind w:firstLine="394"/>
              <w:rPr>
                <w:rStyle w:val="18"/>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厨房</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right w:val="single" w:color="auto" w:sz="4" w:space="0"/>
            </w:tcBorders>
            <w:noWrap w:val="0"/>
            <w:vAlign w:val="center"/>
          </w:tcPr>
          <w:p>
            <w:pPr>
              <w:pStyle w:val="13"/>
              <w:spacing w:before="0" w:line="240" w:lineRule="auto"/>
              <w:ind w:firstLine="394"/>
              <w:rPr>
                <w:rStyle w:val="18"/>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卫生间</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r>
        <w:tblPrEx>
          <w:tblLayout w:type="fixed"/>
          <w:tblCellMar>
            <w:top w:w="0" w:type="dxa"/>
            <w:left w:w="10" w:type="dxa"/>
            <w:bottom w:w="0" w:type="dxa"/>
            <w:right w:w="10" w:type="dxa"/>
          </w:tblCellMar>
        </w:tblPrEx>
        <w:trPr>
          <w:trHeight w:val="397" w:hRule="atLeast"/>
        </w:trPr>
        <w:tc>
          <w:tcPr>
            <w:tcW w:w="861" w:type="dxa"/>
            <w:vMerge w:val="continue"/>
            <w:tcBorders>
              <w:left w:val="single" w:color="auto" w:sz="4" w:space="0"/>
              <w:bottom w:val="single" w:color="auto" w:sz="4" w:space="0"/>
              <w:right w:val="single" w:color="auto" w:sz="4" w:space="0"/>
            </w:tcBorders>
            <w:noWrap w:val="0"/>
            <w:vAlign w:val="center"/>
          </w:tcPr>
          <w:p>
            <w:pPr>
              <w:pStyle w:val="13"/>
              <w:spacing w:before="0" w:line="240" w:lineRule="auto"/>
              <w:ind w:firstLine="394"/>
              <w:rPr>
                <w:rStyle w:val="18"/>
                <w:rFonts w:ascii="宋体" w:hAnsi="宋体" w:eastAsia="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before="0" w:line="24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储藏室</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rPr>
                <w:rStyle w:val="14"/>
                <w:rFonts w:ascii="宋体" w:hAnsi="宋体" w:eastAsia="宋体" w:cs="Times New Roman"/>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3"/>
              <w:ind w:firstLine="146" w:firstLineChars="61"/>
              <w:jc w:val="center"/>
              <w:rPr>
                <w:rStyle w:val="14"/>
                <w:rFonts w:ascii="宋体" w:hAnsi="宋体" w:eastAsia="宋体" w:cs="Times New Roman"/>
                <w:color w:val="000000" w:themeColor="text1"/>
                <w:sz w:val="24"/>
                <w:szCs w:val="24"/>
                <w:highlight w:val="none"/>
                <w14:textFill>
                  <w14:solidFill>
                    <w14:schemeClr w14:val="tx1"/>
                  </w14:solidFill>
                </w14:textFill>
              </w:rPr>
            </w:pPr>
          </w:p>
        </w:tc>
      </w:tr>
    </w:tbl>
    <w:p>
      <w:pPr>
        <w:pStyle w:val="5"/>
        <w:spacing w:before="0" w:beforeAutospacing="0" w:after="0" w:afterAutospacing="0" w:line="360" w:lineRule="auto"/>
        <w:ind w:firstLine="480"/>
        <w:rPr>
          <w:rFonts w:hint="eastAsia"/>
          <w:b/>
          <w:color w:val="000000" w:themeColor="text1"/>
          <w:szCs w:val="18"/>
          <w:highlight w:val="none"/>
          <w14:textFill>
            <w14:solidFill>
              <w14:schemeClr w14:val="tx1"/>
            </w14:solidFill>
          </w14:textFill>
        </w:rPr>
      </w:pPr>
    </w:p>
    <w:p>
      <w:pPr>
        <w:pStyle w:val="5"/>
        <w:spacing w:before="0" w:beforeAutospacing="0" w:after="0" w:afterAutospacing="0" w:line="360" w:lineRule="auto"/>
        <w:ind w:firstLine="0"/>
        <w:rPr>
          <w:rFonts w:hint="eastAsia"/>
          <w:b/>
          <w:color w:val="000000" w:themeColor="text1"/>
          <w:szCs w:val="18"/>
          <w:highlight w:val="none"/>
          <w14:textFill>
            <w14:solidFill>
              <w14:schemeClr w14:val="tx1"/>
            </w14:solidFill>
          </w14:textFill>
        </w:rPr>
      </w:pPr>
    </w:p>
    <w:p>
      <w:pPr>
        <w:pStyle w:val="5"/>
        <w:spacing w:before="0" w:beforeAutospacing="0" w:after="0" w:afterAutospacing="0" w:line="360" w:lineRule="auto"/>
        <w:ind w:firstLine="0"/>
        <w:rPr>
          <w:rFonts w:hint="eastAsia"/>
          <w:b/>
          <w:color w:val="000000" w:themeColor="text1"/>
          <w:szCs w:val="18"/>
          <w:highlight w:val="none"/>
          <w14:textFill>
            <w14:solidFill>
              <w14:schemeClr w14:val="tx1"/>
            </w14:solidFill>
          </w14:textFill>
        </w:rPr>
        <w:sectPr>
          <w:footerReference r:id="rId23" w:type="first"/>
          <w:footerReference r:id="rId22" w:type="default"/>
          <w:pgSz w:w="11905" w:h="16837"/>
          <w:pgMar w:top="1440" w:right="1415" w:bottom="1440" w:left="1560" w:header="720" w:footer="720" w:gutter="0"/>
          <w:pgNumType w:fmt="decimal"/>
          <w:cols w:space="720" w:num="1"/>
          <w:titlePg/>
          <w:rtlGutter w:val="0"/>
          <w:docGrid w:type="lines" w:linePitch="312" w:charSpace="0"/>
        </w:sectPr>
      </w:pPr>
    </w:p>
    <w:p>
      <w:pPr>
        <w:pStyle w:val="5"/>
        <w:spacing w:before="0" w:beforeAutospacing="0" w:after="0" w:afterAutospacing="0" w:line="360" w:lineRule="auto"/>
        <w:ind w:firstLine="0"/>
        <w:rPr>
          <w:rFonts w:hint="eastAsia"/>
          <w:b/>
          <w:color w:val="000000" w:themeColor="text1"/>
          <w:szCs w:val="18"/>
          <w:highlight w:val="none"/>
          <w14:textFill>
            <w14:solidFill>
              <w14:schemeClr w14:val="tx1"/>
            </w14:solidFill>
          </w14:textFill>
        </w:rPr>
      </w:pPr>
      <w:r>
        <w:rPr>
          <w:rFonts w:hint="eastAsia"/>
          <w:b/>
          <w:color w:val="000000" w:themeColor="text1"/>
          <w:szCs w:val="18"/>
          <w:highlight w:val="none"/>
          <w14:textFill>
            <w14:solidFill>
              <w14:schemeClr w14:val="tx1"/>
            </w14:solidFill>
          </w14:textFill>
        </w:rPr>
        <w:t xml:space="preserve">附件七 </w:t>
      </w:r>
    </w:p>
    <w:p>
      <w:pPr>
        <w:pStyle w:val="5"/>
        <w:spacing w:before="0" w:beforeAutospacing="0" w:after="0" w:afterAutospacing="0" w:line="360" w:lineRule="auto"/>
        <w:jc w:val="center"/>
        <w:rPr>
          <w:rFonts w:hint="eastAsia" w:ascii="新宋体" w:hAnsi="新宋体" w:eastAsia="新宋体"/>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共有产权住房</w:t>
      </w:r>
      <w:r>
        <w:rPr>
          <w:rFonts w:hint="eastAsia" w:ascii="新宋体" w:hAnsi="新宋体" w:eastAsia="新宋体"/>
          <w:b/>
          <w:color w:val="000000" w:themeColor="text1"/>
          <w:highlight w:val="none"/>
          <w14:textFill>
            <w14:solidFill>
              <w14:schemeClr w14:val="tx1"/>
            </w14:solidFill>
          </w14:textFill>
        </w:rPr>
        <w:t>建筑设计文件所标注的建筑隔声情况、环境影响评价文件所表征</w:t>
      </w:r>
    </w:p>
    <w:p>
      <w:pPr>
        <w:pStyle w:val="5"/>
        <w:spacing w:before="0" w:beforeAutospacing="0" w:after="0" w:afterAutospacing="0" w:line="360" w:lineRule="auto"/>
        <w:ind w:firstLine="0" w:firstLineChars="0"/>
        <w:jc w:val="center"/>
        <w:rPr>
          <w:rFonts w:hint="eastAsia" w:ascii="新宋体" w:hAnsi="新宋体" w:eastAsia="新宋体"/>
          <w:b/>
          <w:color w:val="000000" w:themeColor="text1"/>
          <w:highlight w:val="none"/>
          <w14:textFill>
            <w14:solidFill>
              <w14:schemeClr w14:val="tx1"/>
            </w14:solidFill>
          </w14:textFill>
        </w:rPr>
      </w:pPr>
      <w:r>
        <w:rPr>
          <w:rFonts w:hint="eastAsia" w:ascii="新宋体" w:hAnsi="新宋体" w:eastAsia="新宋体"/>
          <w:b/>
          <w:color w:val="000000" w:themeColor="text1"/>
          <w:highlight w:val="none"/>
          <w14:textFill>
            <w14:solidFill>
              <w14:schemeClr w14:val="tx1"/>
            </w14:solidFill>
          </w14:textFill>
        </w:rPr>
        <w:t>（或第三方检测机构出具的）的声环境状况及受固定噪声/振动源影响情况</w:t>
      </w:r>
    </w:p>
    <w:p>
      <w:pPr>
        <w:pStyle w:val="5"/>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（以下空白处未按要求填写时均默认为同类标准中最严格限值，“有/无”</w:t>
      </w:r>
      <w:r>
        <w:rPr>
          <w:rFonts w:hint="eastAsia"/>
          <w:color w:val="000000" w:themeColor="text1"/>
          <w:highlight w:val="none"/>
          <w14:textFill>
            <w14:solidFill>
              <w14:schemeClr w14:val="tx1"/>
            </w14:solidFill>
          </w14:textFill>
        </w:rPr>
        <w:t>“是/否”</w:t>
      </w:r>
      <w:r>
        <w:rPr>
          <w:rFonts w:hint="eastAsia" w:ascii="新宋体" w:hAnsi="新宋体" w:eastAsia="新宋体"/>
          <w:color w:val="000000" w:themeColor="text1"/>
          <w:highlight w:val="none"/>
          <w14:textFill>
            <w14:solidFill>
              <w14:schemeClr w14:val="tx1"/>
            </w14:solidFill>
          </w14:textFill>
        </w:rPr>
        <w:t>未选择时，均默认“无”</w:t>
      </w:r>
      <w:r>
        <w:rPr>
          <w:rFonts w:hint="eastAsia"/>
          <w:color w:val="000000" w:themeColor="text1"/>
          <w:highlight w:val="none"/>
          <w14:textFill>
            <w14:solidFill>
              <w14:schemeClr w14:val="tx1"/>
            </w14:solidFill>
          </w14:textFill>
        </w:rPr>
        <w:t>或“否”</w:t>
      </w:r>
      <w:r>
        <w:rPr>
          <w:rFonts w:hint="eastAsia" w:ascii="新宋体" w:hAnsi="新宋体" w:eastAsia="新宋体"/>
          <w:color w:val="000000" w:themeColor="text1"/>
          <w:highlight w:val="none"/>
          <w14:textFill>
            <w14:solidFill>
              <w14:schemeClr w14:val="tx1"/>
            </w14:solidFill>
          </w14:textFill>
        </w:rPr>
        <w:t>，“超过/优于”未选择时，均默认“优于”）</w:t>
      </w:r>
    </w:p>
    <w:p>
      <w:pPr>
        <w:adjustRightInd w:val="0"/>
        <w:snapToGrid w:val="0"/>
        <w:spacing w:line="360" w:lineRule="auto"/>
        <w:ind w:firstLine="482" w:firstLineChars="200"/>
        <w:rPr>
          <w:rFonts w:hint="eastAsia" w:ascii="宋体" w:hAnsi="宋体"/>
          <w:b/>
          <w:bCs/>
          <w:color w:val="000000" w:themeColor="text1"/>
          <w:sz w:val="24"/>
          <w:szCs w:val="32"/>
          <w:highlight w:val="none"/>
          <w14:textFill>
            <w14:solidFill>
              <w14:schemeClr w14:val="tx1"/>
            </w14:solidFill>
          </w14:textFill>
        </w:rPr>
      </w:pPr>
      <w:r>
        <w:rPr>
          <w:rFonts w:hint="eastAsia" w:ascii="新宋体" w:hAnsi="新宋体" w:eastAsia="新宋体"/>
          <w:b/>
          <w:color w:val="000000" w:themeColor="text1"/>
          <w:kern w:val="0"/>
          <w:sz w:val="24"/>
          <w:highlight w:val="none"/>
          <w14:textFill>
            <w14:solidFill>
              <w14:schemeClr w14:val="tx1"/>
            </w14:solidFill>
          </w14:textFill>
        </w:rPr>
        <w:t>1.</w:t>
      </w:r>
      <w:r>
        <w:rPr>
          <w:rFonts w:hint="eastAsia" w:ascii="宋体" w:hAnsi="宋体"/>
          <w:b/>
          <w:bCs/>
          <w:color w:val="000000" w:themeColor="text1"/>
          <w:sz w:val="24"/>
          <w:szCs w:val="32"/>
          <w:highlight w:val="none"/>
          <w14:textFill>
            <w14:solidFill>
              <w14:schemeClr w14:val="tx1"/>
            </w14:solidFill>
          </w14:textFill>
        </w:rPr>
        <w:t>建筑隔声情况</w:t>
      </w:r>
    </w:p>
    <w:p>
      <w:pPr>
        <w:adjustRightInd w:val="0"/>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该共有产权住房建筑隔声情况符合《民用建筑隔声设计规范》（GB 50118）、《住宅设计规范》（DB11/1740）等国家及本市相关隔声标准要求。</w:t>
      </w:r>
    </w:p>
    <w:p>
      <w:pPr>
        <w:adjustRightInd w:val="0"/>
        <w:snapToGrid w:val="0"/>
        <w:spacing w:line="360" w:lineRule="auto"/>
        <w:ind w:firstLine="482" w:firstLineChars="200"/>
        <w:rPr>
          <w:rFonts w:hint="eastAsia" w:ascii="新宋体" w:hAnsi="新宋体" w:eastAsia="新宋体"/>
          <w:b/>
          <w:color w:val="000000" w:themeColor="text1"/>
          <w:kern w:val="0"/>
          <w:sz w:val="24"/>
          <w:highlight w:val="none"/>
          <w14:textFill>
            <w14:solidFill>
              <w14:schemeClr w14:val="tx1"/>
            </w14:solidFill>
          </w14:textFill>
        </w:rPr>
      </w:pPr>
      <w:r>
        <w:rPr>
          <w:rFonts w:hint="eastAsia" w:ascii="新宋体" w:hAnsi="新宋体" w:eastAsia="新宋体"/>
          <w:b/>
          <w:color w:val="000000" w:themeColor="text1"/>
          <w:kern w:val="0"/>
          <w:sz w:val="24"/>
          <w:highlight w:val="none"/>
          <w14:textFill>
            <w14:solidFill>
              <w14:schemeClr w14:val="tx1"/>
            </w14:solidFill>
          </w14:textFill>
        </w:rPr>
        <w:t>2.所在地声环境状况</w:t>
      </w:r>
    </w:p>
    <w:p>
      <w:pPr>
        <w:adjustRightInd w:val="0"/>
        <w:snapToGrid w:val="0"/>
        <w:spacing w:line="36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（1）项目立项或预售时所在地声环境现状监测值为：昼间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dB(A)，夜间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dB(A)，监测时间为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adjustRightInd w:val="0"/>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（2）项目立项时所在地所处的声环境质量标准适用区域为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类区，执行标准为昼间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dB(A)，夜间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w:t>
      </w:r>
    </w:p>
    <w:p>
      <w:pPr>
        <w:adjustRightInd w:val="0"/>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（3）项目立项时所在地周边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（有/无）可能对本项目产生噪声或振动影响的道路、轨道线路、铁路、机场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飞行航道、工业企业（含实验设备）等声源，分别是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（4）目前尚未建设但规划项目所在地周边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（有/无）可能对本项目产生噪声影响的道路、轨道线路、铁路、机场、飞行航道、工业企业（含实验设备）等声源，分别是</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（5）项目建成后所处区域整体环境噪声预测值为昼间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dB(A)，夜间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dB(A)。其中受周边噪声或振动影响最严重的区域为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侧（具体方位），预测昼间将会达到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(超过/优于)本地声环境质量标准适用区域标准</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dB(A)，夜间将会达到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(超过/优于)本地声环境质量标准适用区域标准</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dB(A)。</w:t>
      </w:r>
    </w:p>
    <w:p>
      <w:pPr>
        <w:adjustRightInd w:val="0"/>
        <w:snapToGrid w:val="0"/>
        <w:spacing w:line="360" w:lineRule="auto"/>
        <w:ind w:firstLine="482" w:firstLineChars="200"/>
        <w:rPr>
          <w:rFonts w:hint="eastAsia" w:ascii="宋体" w:hAnsi="宋体"/>
          <w:b/>
          <w:bCs/>
          <w:color w:val="000000" w:themeColor="text1"/>
          <w:sz w:val="24"/>
          <w:szCs w:val="32"/>
          <w:highlight w:val="none"/>
          <w14:textFill>
            <w14:solidFill>
              <w14:schemeClr w14:val="tx1"/>
            </w14:solidFill>
          </w14:textFill>
        </w:rPr>
      </w:pPr>
      <w:r>
        <w:rPr>
          <w:rFonts w:hint="eastAsia" w:ascii="宋体" w:hAnsi="宋体"/>
          <w:b/>
          <w:bCs/>
          <w:color w:val="000000" w:themeColor="text1"/>
          <w:sz w:val="24"/>
          <w:szCs w:val="32"/>
          <w:highlight w:val="none"/>
          <w14:textFill>
            <w14:solidFill>
              <w14:schemeClr w14:val="tx1"/>
            </w14:solidFill>
          </w14:textFill>
        </w:rPr>
        <w:t>3.受固定噪声/振动源影响情况</w:t>
      </w:r>
    </w:p>
    <w:p>
      <w:pPr>
        <w:spacing w:line="360" w:lineRule="auto"/>
        <w:ind w:firstLine="480" w:firstLineChars="200"/>
        <w:jc w:val="left"/>
        <w:rPr>
          <w:rFonts w:ascii="仿宋" w:hAnsi="仿宋" w:eastAsia="仿宋"/>
          <w:color w:val="000000" w:themeColor="text1"/>
          <w:sz w:val="32"/>
          <w:szCs w:val="32"/>
          <w:highlight w:val="none"/>
          <w14:textFill>
            <w14:solidFill>
              <w14:schemeClr w14:val="tx1"/>
            </w14:solidFill>
          </w14:textFill>
        </w:rPr>
      </w:pPr>
      <w:r>
        <w:rPr>
          <w:rFonts w:hint="eastAsia" w:ascii="宋体" w:hAnsi="宋体"/>
          <w:color w:val="000000" w:themeColor="text1"/>
          <w:sz w:val="24"/>
          <w:szCs w:val="32"/>
          <w:highlight w:val="none"/>
          <w14:textFill>
            <w14:solidFill>
              <w14:schemeClr w14:val="tx1"/>
            </w14:solidFill>
          </w14:textFill>
        </w:rPr>
        <w:t>（1）该共有产权住房是否可能受到固定噪声/振动源影响</w:t>
      </w:r>
      <w:r>
        <w:rPr>
          <w:rFonts w:hint="eastAsia" w:ascii="宋体" w:hAnsi="宋体"/>
          <w:color w:val="000000" w:themeColor="text1"/>
          <w:sz w:val="24"/>
          <w:szCs w:val="32"/>
          <w:highlight w:val="none"/>
          <w:u w:val="single"/>
          <w14:textFill>
            <w14:solidFill>
              <w14:schemeClr w14:val="tx1"/>
            </w14:solidFill>
          </w14:textFill>
        </w:rPr>
        <w:t xml:space="preserve">          </w:t>
      </w:r>
      <w:r>
        <w:rPr>
          <w:rFonts w:hint="eastAsia" w:ascii="宋体" w:hAnsi="宋体"/>
          <w:color w:val="000000" w:themeColor="text1"/>
          <w:sz w:val="24"/>
          <w:szCs w:val="32"/>
          <w:highlight w:val="none"/>
          <w14:textFill>
            <w14:solidFill>
              <w14:schemeClr w14:val="tx1"/>
            </w14:solidFill>
          </w14:textFill>
        </w:rPr>
        <w:t xml:space="preserve">(是/否)。具体为： </w:t>
      </w:r>
      <w:r>
        <w:rPr>
          <w:rFonts w:hint="eastAsia" w:ascii="宋体" w:hAnsi="宋体"/>
          <w:color w:val="000000" w:themeColor="text1"/>
          <w:sz w:val="24"/>
          <w:szCs w:val="32"/>
          <w:highlight w:val="none"/>
          <w:u w:val="single"/>
          <w14:textFill>
            <w14:solidFill>
              <w14:schemeClr w14:val="tx1"/>
            </w14:solidFill>
          </w14:textFill>
        </w:rPr>
        <w:t xml:space="preserve">                                                                                               </w:t>
      </w:r>
      <w:r>
        <w:rPr>
          <w:rFonts w:hint="eastAsia" w:ascii="宋体" w:hAnsi="宋体"/>
          <w:color w:val="000000" w:themeColor="text1"/>
          <w:sz w:val="24"/>
          <w:szCs w:val="32"/>
          <w:highlight w:val="none"/>
          <w14:textFill>
            <w14:solidFill>
              <w14:schemeClr w14:val="tx1"/>
            </w14:solidFill>
          </w14:textFill>
        </w:rPr>
        <w:t>(如已建或规划设于本楼地下室、地上设备层、楼顶或临近建筑/区域的各类供排水系统、变配电设施、空调系统、电梯设备、供热系统、通风系统、冷却塔、供气系统、机动车辆进出设备等产生噪声或振动影响的设备、设施、系统)。</w:t>
      </w:r>
    </w:p>
    <w:p>
      <w:pPr>
        <w:adjustRightInd/>
        <w:snapToGrid/>
        <w:spacing w:line="360" w:lineRule="auto"/>
        <w:ind w:firstLine="480" w:firstLineChars="200"/>
        <w:jc w:val="left"/>
        <w:rPr>
          <w:rFonts w:hint="eastAsia" w:ascii="宋体" w:hAnsi="宋体"/>
          <w:color w:val="000000" w:themeColor="text1"/>
          <w:sz w:val="24"/>
          <w:szCs w:val="32"/>
          <w:highlight w:val="none"/>
          <w14:textFill>
            <w14:solidFill>
              <w14:schemeClr w14:val="tx1"/>
            </w14:solidFill>
          </w14:textFill>
        </w:rPr>
      </w:pPr>
      <w:r>
        <w:rPr>
          <w:rFonts w:hint="eastAsia" w:ascii="宋体" w:hAnsi="宋体"/>
          <w:color w:val="000000" w:themeColor="text1"/>
          <w:sz w:val="24"/>
          <w:szCs w:val="32"/>
          <w:highlight w:val="none"/>
          <w14:textFill>
            <w14:solidFill>
              <w14:schemeClr w14:val="tx1"/>
            </w14:solidFill>
          </w14:textFill>
        </w:rPr>
        <w:t>（2）该共有产权住房的卧室或起居室水平和垂直方向是否临近固定噪声源（是/否），具体为</w:t>
      </w:r>
      <w:r>
        <w:rPr>
          <w:rFonts w:hint="eastAsia" w:ascii="宋体" w:hAnsi="宋体"/>
          <w:color w:val="000000" w:themeColor="text1"/>
          <w:sz w:val="24"/>
          <w:szCs w:val="32"/>
          <w:highlight w:val="none"/>
          <w:u w:val="single"/>
          <w14:textFill>
            <w14:solidFill>
              <w14:schemeClr w14:val="tx1"/>
            </w14:solidFill>
          </w14:textFill>
        </w:rPr>
        <w:t xml:space="preserve">                       </w:t>
      </w:r>
      <w:r>
        <w:rPr>
          <w:rFonts w:hint="eastAsia" w:ascii="宋体" w:hAnsi="宋体"/>
          <w:color w:val="000000" w:themeColor="text1"/>
          <w:sz w:val="24"/>
          <w:szCs w:val="32"/>
          <w:highlight w:val="none"/>
          <w14:textFill>
            <w14:solidFill>
              <w14:schemeClr w14:val="tx1"/>
            </w14:solidFill>
          </w14:textFill>
        </w:rPr>
        <w:t xml:space="preserve">（如电梯井、水泵房、变压器间、供热房、风机房、柴油发电机房等）。    </w:t>
      </w:r>
    </w:p>
    <w:p>
      <w:pPr>
        <w:adjustRightInd w:val="0"/>
        <w:snapToGrid w:val="0"/>
        <w:spacing w:line="360" w:lineRule="auto"/>
        <w:ind w:firstLine="480" w:firstLineChars="200"/>
        <w:rPr>
          <w:rFonts w:hint="eastAsia" w:ascii="宋体" w:hAnsi="宋体"/>
          <w:color w:val="000000" w:themeColor="text1"/>
          <w:sz w:val="24"/>
          <w:szCs w:val="32"/>
          <w:highlight w:val="none"/>
          <w14:textFill>
            <w14:solidFill>
              <w14:schemeClr w14:val="tx1"/>
            </w14:solidFill>
          </w14:textFill>
        </w:rPr>
      </w:pPr>
      <w:r>
        <w:rPr>
          <w:rFonts w:hint="eastAsia" w:ascii="宋体" w:hAnsi="宋体"/>
          <w:bCs/>
          <w:color w:val="000000" w:themeColor="text1"/>
          <w:sz w:val="24"/>
          <w:szCs w:val="32"/>
          <w:highlight w:val="none"/>
          <w14:textFill>
            <w14:solidFill>
              <w14:schemeClr w14:val="tx1"/>
            </w14:solidFill>
          </w14:textFill>
        </w:rPr>
        <w:t>（3）该</w:t>
      </w:r>
      <w:r>
        <w:rPr>
          <w:rFonts w:hint="eastAsia" w:ascii="新宋体" w:hAnsi="新宋体" w:eastAsia="新宋体"/>
          <w:color w:val="000000" w:themeColor="text1"/>
          <w:kern w:val="0"/>
          <w:sz w:val="24"/>
          <w:highlight w:val="none"/>
          <w14:textFill>
            <w14:solidFill>
              <w14:schemeClr w14:val="tx1"/>
            </w14:solidFill>
          </w14:textFill>
        </w:rPr>
        <w:t>共有产权住房</w:t>
      </w:r>
      <w:r>
        <w:rPr>
          <w:rFonts w:hint="eastAsia" w:ascii="宋体" w:hAnsi="宋体"/>
          <w:bCs/>
          <w:color w:val="000000" w:themeColor="text1"/>
          <w:sz w:val="24"/>
          <w:szCs w:val="32"/>
          <w:highlight w:val="none"/>
          <w14:textFill>
            <w14:solidFill>
              <w14:schemeClr w14:val="tx1"/>
            </w14:solidFill>
          </w14:textFill>
        </w:rPr>
        <w:t>符合《住宅室内振动限值及其测量方法标准》（GB/T50355）</w:t>
      </w:r>
      <w:r>
        <w:rPr>
          <w:rFonts w:hint="eastAsia" w:ascii="宋体" w:hAnsi="宋体"/>
          <w:bCs/>
          <w:color w:val="000000" w:themeColor="text1"/>
          <w:sz w:val="24"/>
          <w:szCs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szCs w:val="32"/>
          <w:highlight w:val="none"/>
          <w14:textFill>
            <w14:solidFill>
              <w14:schemeClr w14:val="tx1"/>
            </w14:solidFill>
          </w14:textFill>
        </w:rPr>
        <w:t>1级限值</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szCs w:val="32"/>
          <w:highlight w:val="none"/>
          <w14:textFill>
            <w14:solidFill>
              <w14:schemeClr w14:val="tx1"/>
            </w14:solidFill>
          </w14:textFill>
        </w:rPr>
        <w:t>2级限值</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szCs w:val="32"/>
          <w:highlight w:val="none"/>
          <w14:textFill>
            <w14:solidFill>
              <w14:schemeClr w14:val="tx1"/>
            </w14:solidFill>
          </w14:textFill>
        </w:rPr>
        <w:t>。</w:t>
      </w:r>
    </w:p>
    <w:p>
      <w:pPr>
        <w:tabs>
          <w:tab w:val="left" w:pos="7740"/>
        </w:tabs>
        <w:spacing w:line="360" w:lineRule="auto"/>
        <w:ind w:firstLine="0" w:firstLineChars="0"/>
        <w:rPr>
          <w:rFonts w:hint="eastAsia" w:ascii="宋体" w:hAnsi="宋体"/>
          <w:b/>
          <w:bCs/>
          <w:color w:val="000000" w:themeColor="text1"/>
          <w:sz w:val="24"/>
          <w:highlight w:val="none"/>
          <w14:textFill>
            <w14:solidFill>
              <w14:schemeClr w14:val="tx1"/>
            </w14:solidFill>
          </w14:textFill>
        </w:rPr>
        <w:sectPr>
          <w:footerReference r:id="rId25" w:type="first"/>
          <w:footerReference r:id="rId24" w:type="default"/>
          <w:pgSz w:w="11905" w:h="16837"/>
          <w:pgMar w:top="1440" w:right="1415" w:bottom="1440" w:left="1560" w:header="720" w:footer="720" w:gutter="0"/>
          <w:pgNumType w:fmt="decimal"/>
          <w:cols w:space="720" w:num="1"/>
          <w:titlePg/>
          <w:rtlGutter w:val="0"/>
          <w:docGrid w:type="lines" w:linePitch="312" w:charSpace="0"/>
        </w:sectPr>
      </w:pPr>
    </w:p>
    <w:p>
      <w:pPr>
        <w:tabs>
          <w:tab w:val="left" w:pos="7740"/>
        </w:tabs>
        <w:spacing w:line="360" w:lineRule="auto"/>
        <w:ind w:firstLine="0" w:firstLineChars="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附件八</w:t>
      </w:r>
    </w:p>
    <w:p>
      <w:pPr>
        <w:widowControl/>
        <w:tabs>
          <w:tab w:val="left" w:pos="7740"/>
        </w:tabs>
        <w:spacing w:line="360" w:lineRule="auto"/>
        <w:ind w:firstLine="0" w:firstLineChars="0"/>
        <w:jc w:val="center"/>
        <w:rPr>
          <w:rFonts w:hint="eastAsia" w:ascii="宋体" w:hAnsi="宋体"/>
          <w:color w:val="000000" w:themeColor="text1"/>
          <w:sz w:val="24"/>
          <w:szCs w:val="32"/>
          <w:highlight w:val="none"/>
          <w14:textFill>
            <w14:solidFill>
              <w14:schemeClr w14:val="tx1"/>
            </w14:solidFill>
          </w14:textFill>
        </w:rPr>
      </w:pPr>
      <w:r>
        <w:rPr>
          <w:rFonts w:hint="eastAsia"/>
          <w:b/>
          <w:bCs/>
          <w:color w:val="000000" w:themeColor="text1"/>
          <w:sz w:val="24"/>
          <w:szCs w:val="20"/>
          <w:highlight w:val="none"/>
          <w14:textFill>
            <w14:solidFill>
              <w14:schemeClr w14:val="tx1"/>
            </w14:solidFill>
          </w14:textFill>
        </w:rPr>
        <w:t>关于</w:t>
      </w:r>
      <w:r>
        <w:rPr>
          <w:rFonts w:hint="eastAsia" w:ascii="宋体" w:hAnsi="宋体"/>
          <w:b/>
          <w:color w:val="000000" w:themeColor="text1"/>
          <w:sz w:val="24"/>
          <w:szCs w:val="20"/>
          <w:highlight w:val="none"/>
          <w14:textFill>
            <w14:solidFill>
              <w14:schemeClr w14:val="tx1"/>
            </w14:solidFill>
          </w14:textFill>
        </w:rPr>
        <w:t>保修范围、保修期限和保修责任的约定</w:t>
      </w:r>
    </w:p>
    <w:p>
      <w:pPr>
        <w:widowControl w:val="0"/>
        <w:spacing w:beforeLines="0" w:afterLines="0" w:line="360" w:lineRule="auto"/>
        <w:ind w:firstLine="0" w:firstLineChars="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sz w:val="24"/>
          <w:szCs w:val="32"/>
          <w:highlight w:val="none"/>
          <w:lang w:val="en-US" w:eastAsia="zh-CN"/>
          <w14:textFill>
            <w14:solidFill>
              <w14:schemeClr w14:val="tx1"/>
            </w14:solidFill>
          </w14:textFill>
        </w:rPr>
        <w:t>该共有产权住房的保修期自房屋交付之日起计算。共用部位</w:t>
      </w: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的质量保修期限应当自交付首套住宅之日起计算。质量保修范围、保修期限及保修要求等不得低于国家和本市有关法律法规的规定，</w:t>
      </w:r>
      <w:r>
        <w:rPr>
          <w:rFonts w:hint="eastAsia" w:ascii="宋体" w:hAnsi="宋体" w:eastAsia="宋体" w:cs="Times New Roman"/>
          <w:b w:val="0"/>
          <w:bCs w:val="0"/>
          <w:color w:val="000000" w:themeColor="text1"/>
          <w:sz w:val="24"/>
          <w:szCs w:val="32"/>
          <w:highlight w:val="none"/>
          <w:u w:val="none"/>
          <w:lang w:val="en-US" w:eastAsia="zh-CN"/>
          <w14:textFill>
            <w14:solidFill>
              <w14:schemeClr w14:val="tx1"/>
            </w14:solidFill>
          </w14:textFill>
        </w:rPr>
        <w:t>并遵守如下约定</w:t>
      </w: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（一）住宅保修范围、期限及责任的约定</w:t>
      </w:r>
    </w:p>
    <w:p>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地基与基础工程质量保修期限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（应当为</w:t>
      </w:r>
      <w:r>
        <w:rPr>
          <w:rFonts w:ascii="宋体" w:hAnsi="宋体"/>
          <w:color w:val="000000" w:themeColor="text1"/>
          <w:sz w:val="24"/>
          <w:highlight w:val="none"/>
          <w14:textFill>
            <w14:solidFill>
              <w14:schemeClr w14:val="tx1"/>
            </w14:solidFill>
          </w14:textFill>
        </w:rPr>
        <w:t>设计文件确定的建筑设计使用年限</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主体结构保修期限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（应当为</w:t>
      </w:r>
      <w:r>
        <w:rPr>
          <w:rFonts w:ascii="宋体" w:hAnsi="宋体"/>
          <w:color w:val="000000" w:themeColor="text1"/>
          <w:sz w:val="24"/>
          <w:highlight w:val="none"/>
          <w14:textFill>
            <w14:solidFill>
              <w14:schemeClr w14:val="tx1"/>
            </w14:solidFill>
          </w14:textFill>
        </w:rPr>
        <w:t>设计文件确定的建筑设计使用年限</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保温工程质量保修期限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w:t>
      </w:r>
      <w:r>
        <w:rPr>
          <w:rFonts w:hint="eastAsia" w:ascii="宋体" w:hAnsi="宋体"/>
          <w:color w:val="000000" w:themeColor="text1"/>
          <w:sz w:val="24"/>
          <w:highlight w:val="none"/>
          <w:lang w:val="en-US" w:eastAsia="zh-CN"/>
          <w14:textFill>
            <w14:solidFill>
              <w14:schemeClr w14:val="tx1"/>
            </w14:solidFill>
          </w14:textFill>
        </w:rPr>
        <w:t>5</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防水工程质量保修期限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w:t>
      </w:r>
      <w:r>
        <w:rPr>
          <w:rFonts w:hint="eastAsia" w:ascii="宋体" w:hAnsi="宋体"/>
          <w:color w:val="000000" w:themeColor="text1"/>
          <w:sz w:val="24"/>
          <w:highlight w:val="none"/>
          <w:lang w:val="en-US" w:eastAsia="zh-CN"/>
          <w14:textFill>
            <w14:solidFill>
              <w14:schemeClr w14:val="tx1"/>
            </w14:solidFill>
          </w14:textFill>
        </w:rPr>
        <w:t>5</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装饰装修工程</w:t>
      </w:r>
      <w:r>
        <w:rPr>
          <w:rFonts w:hint="eastAsia" w:ascii="宋体" w:hAnsi="宋体"/>
          <w:color w:val="000000" w:themeColor="text1"/>
          <w:sz w:val="24"/>
          <w:highlight w:val="none"/>
          <w14:textFill>
            <w14:solidFill>
              <w14:schemeClr w14:val="tx1"/>
            </w14:solidFill>
          </w14:textFill>
        </w:rPr>
        <w:t>中，室内装修工程</w:t>
      </w:r>
      <w:r>
        <w:rPr>
          <w:rFonts w:ascii="宋体" w:hAnsi="宋体"/>
          <w:color w:val="000000" w:themeColor="text1"/>
          <w:sz w:val="24"/>
          <w:highlight w:val="none"/>
          <w14:textFill>
            <w14:solidFill>
              <w14:schemeClr w14:val="tx1"/>
            </w14:solidFill>
          </w14:textFill>
        </w:rPr>
        <w:t>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，有专门规定保修期限的分项工程</w:t>
      </w:r>
      <w:r>
        <w:rPr>
          <w:rFonts w:ascii="宋体" w:hAnsi="宋体"/>
          <w:color w:val="000000" w:themeColor="text1"/>
          <w:sz w:val="24"/>
          <w:highlight w:val="none"/>
          <w14:textFill>
            <w14:solidFill>
              <w14:schemeClr w14:val="tx1"/>
            </w14:solidFill>
          </w14:textFill>
        </w:rPr>
        <w:t>应</w:t>
      </w:r>
      <w:r>
        <w:rPr>
          <w:rFonts w:hint="eastAsia" w:ascii="宋体" w:hAnsi="宋体"/>
          <w:color w:val="000000" w:themeColor="text1"/>
          <w:sz w:val="24"/>
          <w:highlight w:val="none"/>
          <w14:textFill>
            <w14:solidFill>
              <w14:schemeClr w14:val="tx1"/>
            </w14:solidFill>
          </w14:textFill>
        </w:rPr>
        <w:t>当</w:t>
      </w:r>
      <w:r>
        <w:rPr>
          <w:rFonts w:ascii="宋体" w:hAnsi="宋体"/>
          <w:color w:val="000000" w:themeColor="text1"/>
          <w:sz w:val="24"/>
          <w:highlight w:val="none"/>
          <w14:textFill>
            <w14:solidFill>
              <w14:schemeClr w14:val="tx1"/>
            </w14:solidFill>
          </w14:textFill>
        </w:rPr>
        <w:t>遵从其规定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；室外涂料装修质量保修期限</w:t>
      </w:r>
      <w:r>
        <w:rPr>
          <w:rFonts w:hint="eastAsia" w:ascii="宋体" w:hAnsi="宋体"/>
          <w:color w:val="000000" w:themeColor="text1"/>
          <w:sz w:val="24"/>
          <w:highlight w:val="none"/>
          <w14:textFill>
            <w14:solidFill>
              <w14:schemeClr w14:val="tx1"/>
            </w14:solidFill>
          </w14:textFill>
        </w:rPr>
        <w:t>为：</w:t>
      </w:r>
    </w:p>
    <w:p>
      <w:pPr>
        <w:widowControl/>
        <w:spacing w:line="360" w:lineRule="auto"/>
        <w:ind w:firstLine="0" w:firstLineChars="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；室外其他材料装修质量保修期限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w:t>
      </w:r>
      <w:r>
        <w:rPr>
          <w:rFonts w:ascii="宋体" w:hAnsi="宋体"/>
          <w:color w:val="000000" w:themeColor="text1"/>
          <w:sz w:val="24"/>
          <w:highlight w:val="none"/>
          <w14:textFill>
            <w14:solidFill>
              <w14:schemeClr w14:val="tx1"/>
            </w14:solidFill>
          </w14:textFill>
        </w:rPr>
        <w:t>５年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；外窗与入户门质量保修期限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w:t>
      </w:r>
      <w:r>
        <w:rPr>
          <w:rFonts w:ascii="宋体" w:hAnsi="宋体"/>
          <w:color w:val="000000" w:themeColor="text1"/>
          <w:sz w:val="24"/>
          <w:highlight w:val="none"/>
          <w14:textFill>
            <w14:solidFill>
              <w14:schemeClr w14:val="tx1"/>
            </w14:solidFill>
          </w14:textFill>
        </w:rPr>
        <w:t>５年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其中五金件</w:t>
      </w:r>
      <w:r>
        <w:rPr>
          <w:rFonts w:ascii="宋体" w:hAnsi="宋体"/>
          <w:color w:val="000000" w:themeColor="text1"/>
          <w:sz w:val="24"/>
          <w:highlight w:val="none"/>
          <w14:textFill>
            <w14:solidFill>
              <w14:schemeClr w14:val="tx1"/>
            </w14:solidFill>
          </w14:textFill>
        </w:rPr>
        <w:t>质量</w:t>
      </w:r>
      <w:r>
        <w:rPr>
          <w:rFonts w:hint="eastAsia" w:ascii="宋体" w:hAnsi="宋体"/>
          <w:color w:val="000000" w:themeColor="text1"/>
          <w:sz w:val="24"/>
          <w:highlight w:val="none"/>
          <w14:textFill>
            <w14:solidFill>
              <w14:schemeClr w14:val="tx1"/>
            </w14:solidFill>
          </w14:textFill>
        </w:rPr>
        <w:t>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）；护栏和扶手的质量保修期限为：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（不得低于5年）；装饰性幕墙的质量保修期限为：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（不得低于10年）。</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建筑给水及排水工程质量保修期限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采取隐蔽方式安装的给排水管道和共用部位的给排水管道质量保修期限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（不得低于10</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若管线设置在主体结构内，其质量保修期限应</w:t>
      </w:r>
      <w:r>
        <w:rPr>
          <w:rFonts w:hint="eastAsia" w:ascii="宋体" w:hAnsi="宋体"/>
          <w:color w:val="000000" w:themeColor="text1"/>
          <w:sz w:val="24"/>
          <w:highlight w:val="none"/>
          <w14:textFill>
            <w14:solidFill>
              <w14:schemeClr w14:val="tx1"/>
            </w14:solidFill>
          </w14:textFill>
        </w:rPr>
        <w:t>当</w:t>
      </w:r>
      <w:r>
        <w:rPr>
          <w:rFonts w:ascii="宋体" w:hAnsi="宋体"/>
          <w:color w:val="000000" w:themeColor="text1"/>
          <w:sz w:val="24"/>
          <w:highlight w:val="none"/>
          <w14:textFill>
            <w14:solidFill>
              <w14:schemeClr w14:val="tx1"/>
            </w14:solidFill>
          </w14:textFill>
        </w:rPr>
        <w:t>与主体结构设计使用年限相同</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采暖及制冷系统质量保修期限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采取隐蔽方式安装的管线质量保修期限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（不得低于10</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；若管线设置在主体结构内，其质量保修期限应</w:t>
      </w:r>
      <w:r>
        <w:rPr>
          <w:rFonts w:hint="eastAsia" w:ascii="宋体" w:hAnsi="宋体"/>
          <w:color w:val="000000" w:themeColor="text1"/>
          <w:sz w:val="24"/>
          <w:highlight w:val="none"/>
          <w14:textFill>
            <w14:solidFill>
              <w14:schemeClr w14:val="tx1"/>
            </w14:solidFill>
          </w14:textFill>
        </w:rPr>
        <w:t>当</w:t>
      </w:r>
      <w:r>
        <w:rPr>
          <w:rFonts w:ascii="宋体" w:hAnsi="宋体"/>
          <w:color w:val="000000" w:themeColor="text1"/>
          <w:sz w:val="24"/>
          <w:highlight w:val="none"/>
          <w14:textFill>
            <w14:solidFill>
              <w14:schemeClr w14:val="tx1"/>
            </w14:solidFill>
          </w14:textFill>
        </w:rPr>
        <w:t>与主体结构设计使用年限相同</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电气工程质量保修期限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线缆质量保修期限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widowControl/>
        <w:spacing w:line="360" w:lineRule="auto"/>
        <w:ind w:firstLine="0" w:firstLineChars="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（不得低于5</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智能建筑工程质量保修期限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通风与空调工程质量保修期限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电梯工程质量保修期限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（不得低于3</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.室</w:t>
      </w:r>
      <w:r>
        <w:rPr>
          <w:rFonts w:ascii="宋体" w:hAnsi="宋体"/>
          <w:color w:val="000000" w:themeColor="text1"/>
          <w:sz w:val="24"/>
          <w:highlight w:val="none"/>
          <w14:textFill>
            <w14:solidFill>
              <w14:schemeClr w14:val="tx1"/>
            </w14:solidFill>
          </w14:textFill>
        </w:rPr>
        <w:t>外工程质量保修期限</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（不得低于2</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left="360"/>
        <w:jc w:val="left"/>
        <w:rPr>
          <w:rFonts w:ascii="宋体" w:hAnsi="宋体"/>
          <w:color w:val="000000" w:themeColor="text1"/>
          <w:sz w:val="24"/>
          <w:szCs w:val="18"/>
          <w:highlight w:val="none"/>
          <w14:textFill>
            <w14:solidFill>
              <w14:schemeClr w14:val="tx1"/>
            </w14:solidFill>
          </w14:textFill>
        </w:rPr>
      </w:pPr>
      <w:r>
        <w:rPr>
          <w:rFonts w:hint="eastAsia" w:ascii="宋体" w:hAnsi="宋体"/>
          <w:color w:val="000000" w:themeColor="text1"/>
          <w:sz w:val="24"/>
          <w:szCs w:val="18"/>
          <w:highlight w:val="none"/>
          <w14:textFill>
            <w14:solidFill>
              <w14:schemeClr w14:val="tx1"/>
            </w14:solidFill>
          </w14:textFill>
        </w:rPr>
        <w:t>（二）非住宅保修范围、期限及责任的约定</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18"/>
          <w:highlight w:val="none"/>
          <w14:textFill>
            <w14:solidFill>
              <w14:schemeClr w14:val="tx1"/>
            </w14:solidFill>
          </w14:textFill>
        </w:rPr>
        <w:t>1.地基基础和主体结构</w:t>
      </w:r>
      <w:r>
        <w:rPr>
          <w:rFonts w:hint="eastAsia" w:ascii="宋体" w:hAnsi="宋体"/>
          <w:color w:val="000000" w:themeColor="text1"/>
          <w:kern w:val="0"/>
          <w:sz w:val="24"/>
          <w:szCs w:val="18"/>
          <w:highlight w:val="none"/>
          <w14:textFill>
            <w14:solidFill>
              <w14:schemeClr w14:val="tx1"/>
            </w14:solidFill>
          </w14:textFill>
        </w:rPr>
        <w:t>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kern w:val="0"/>
          <w:sz w:val="24"/>
          <w:szCs w:val="18"/>
          <w:highlight w:val="none"/>
          <w14:textFill>
            <w14:solidFill>
              <w14:schemeClr w14:val="tx1"/>
            </w14:solidFill>
          </w14:textFill>
        </w:rPr>
        <w:t>（不得低于设计文件规定的该工程的合理使用年限）</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2.防水工程质量保修期限为：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szCs w:val="18"/>
          <w:highlight w:val="none"/>
          <w14:textFill>
            <w14:solidFill>
              <w14:schemeClr w14:val="tx1"/>
            </w14:solidFill>
          </w14:textFill>
        </w:rPr>
        <w:t>（不得低于5年）</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3.</w:t>
      </w:r>
      <w:r>
        <w:rPr>
          <w:rFonts w:ascii="宋体" w:hAnsi="宋体"/>
          <w:color w:val="000000" w:themeColor="text1"/>
          <w:kern w:val="0"/>
          <w:sz w:val="24"/>
          <w:szCs w:val="18"/>
          <w:highlight w:val="none"/>
          <w14:textFill>
            <w14:solidFill>
              <w14:schemeClr w14:val="tx1"/>
            </w14:solidFill>
          </w14:textFill>
        </w:rPr>
        <w:t>供热、供冷系统和设备</w:t>
      </w:r>
      <w:r>
        <w:rPr>
          <w:rFonts w:hint="eastAsia" w:ascii="宋体" w:hAnsi="宋体"/>
          <w:color w:val="000000" w:themeColor="text1"/>
          <w:kern w:val="0"/>
          <w:sz w:val="24"/>
          <w:szCs w:val="18"/>
          <w:highlight w:val="none"/>
          <w14:textFill>
            <w14:solidFill>
              <w14:schemeClr w14:val="tx1"/>
            </w14:solidFill>
          </w14:textFill>
        </w:rPr>
        <w:t>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szCs w:val="18"/>
          <w:highlight w:val="none"/>
          <w14:textFill>
            <w14:solidFill>
              <w14:schemeClr w14:val="tx1"/>
            </w14:solidFill>
          </w14:textFill>
        </w:rPr>
        <w:t>（不得低于2</w:t>
      </w:r>
      <w:r>
        <w:rPr>
          <w:rFonts w:ascii="宋体" w:hAnsi="宋体"/>
          <w:color w:val="000000" w:themeColor="text1"/>
          <w:kern w:val="0"/>
          <w:sz w:val="24"/>
          <w:szCs w:val="18"/>
          <w:highlight w:val="none"/>
          <w14:textFill>
            <w14:solidFill>
              <w14:schemeClr w14:val="tx1"/>
            </w14:solidFill>
          </w14:textFill>
        </w:rPr>
        <w:t>个采暖期</w:t>
      </w:r>
      <w:r>
        <w:rPr>
          <w:rFonts w:hint="eastAsia" w:ascii="宋体" w:hAnsi="宋体"/>
          <w:color w:val="000000" w:themeColor="text1"/>
          <w:kern w:val="0"/>
          <w:sz w:val="24"/>
          <w:szCs w:val="18"/>
          <w:highlight w:val="none"/>
          <w14:textFill>
            <w14:solidFill>
              <w14:schemeClr w14:val="tx1"/>
            </w14:solidFill>
          </w14:textFill>
        </w:rPr>
        <w:t>、</w:t>
      </w:r>
      <w:r>
        <w:rPr>
          <w:rFonts w:ascii="宋体" w:hAnsi="宋体"/>
          <w:color w:val="000000" w:themeColor="text1"/>
          <w:kern w:val="0"/>
          <w:sz w:val="24"/>
          <w:szCs w:val="18"/>
          <w:highlight w:val="none"/>
          <w14:textFill>
            <w14:solidFill>
              <w14:schemeClr w14:val="tx1"/>
            </w14:solidFill>
          </w14:textFill>
        </w:rPr>
        <w:t>供冷期</w:t>
      </w:r>
      <w:r>
        <w:rPr>
          <w:rFonts w:hint="eastAsia" w:ascii="宋体" w:hAnsi="宋体"/>
          <w:color w:val="000000" w:themeColor="text1"/>
          <w:kern w:val="0"/>
          <w:sz w:val="24"/>
          <w:szCs w:val="18"/>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4.电气管线、给排水管道、设备安装保修期限为：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szCs w:val="18"/>
          <w:highlight w:val="none"/>
          <w14:textFill>
            <w14:solidFill>
              <w14:schemeClr w14:val="tx1"/>
            </w14:solidFill>
          </w14:textFill>
        </w:rPr>
        <w:t>（不得低于2年）</w:t>
      </w:r>
      <w:r>
        <w:rPr>
          <w:rFonts w:hint="eastAsia" w:ascii="宋体" w:hAnsi="宋体"/>
          <w:color w:val="000000" w:themeColor="text1"/>
          <w:kern w:val="0"/>
          <w:sz w:val="24"/>
          <w:szCs w:val="18"/>
          <w:highlight w:val="none"/>
          <w:lang w:eastAsia="zh-CN"/>
          <w14:textFill>
            <w14:solidFill>
              <w14:schemeClr w14:val="tx1"/>
            </w14:solidFill>
          </w14:textFill>
        </w:rPr>
        <w:t>。</w:t>
      </w:r>
    </w:p>
    <w:p>
      <w:pPr>
        <w:widowControl/>
        <w:spacing w:line="360" w:lineRule="auto"/>
        <w:ind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5.装修工程保修期限为：</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szCs w:val="18"/>
          <w:highlight w:val="none"/>
          <w14:textFill>
            <w14:solidFill>
              <w14:schemeClr w14:val="tx1"/>
            </w14:solidFill>
          </w14:textFill>
        </w:rPr>
        <w:t>（不得低于2年）</w:t>
      </w:r>
      <w:r>
        <w:rPr>
          <w:rFonts w:hint="eastAsia" w:ascii="宋体" w:hAnsi="宋体"/>
          <w:color w:val="000000" w:themeColor="text1"/>
          <w:kern w:val="0"/>
          <w:sz w:val="24"/>
          <w:szCs w:val="18"/>
          <w:highlight w:val="none"/>
          <w:lang w:eastAsia="zh-CN"/>
          <w14:textFill>
            <w14:solidFill>
              <w14:schemeClr w14:val="tx1"/>
            </w14:solidFill>
          </w14:textFill>
        </w:rPr>
        <w:t>。</w:t>
      </w:r>
    </w:p>
    <w:p>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6.</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（三）其他约定</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 xml:space="preserve"> </w:t>
      </w:r>
      <w:r>
        <w:rPr>
          <w:rFonts w:hint="eastAsia" w:ascii="宋体" w:hAnsi="宋体"/>
          <w:color w:val="000000" w:themeColor="text1"/>
          <w:sz w:val="24"/>
          <w:szCs w:val="20"/>
          <w:highlight w:val="none"/>
          <w:u w:val="single"/>
          <w14:textFill>
            <w14:solidFill>
              <w14:schemeClr w14:val="tx1"/>
            </w14:solidFill>
          </w14:textFill>
        </w:rPr>
        <w:t xml:space="preserve">         </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highlight w:val="none"/>
          <w14:textFill>
            <w14:solidFill>
              <w14:schemeClr w14:val="tx1"/>
            </w14:solidFill>
          </w14:textFill>
        </w:rPr>
        <w:sectPr>
          <w:footerReference r:id="rId27" w:type="first"/>
          <w:footerReference r:id="rId26" w:type="default"/>
          <w:pgSz w:w="11905" w:h="16837"/>
          <w:pgMar w:top="1440" w:right="1415" w:bottom="1440" w:left="1560" w:header="720" w:footer="720" w:gutter="0"/>
          <w:pgNumType w:fmt="decimal"/>
          <w:cols w:space="720" w:num="1"/>
          <w:titlePg/>
          <w:rtlGutter w:val="0"/>
          <w:docGrid w:type="lines" w:linePitch="312" w:charSpace="0"/>
        </w:sectPr>
      </w:pPr>
    </w:p>
    <w:p>
      <w:pPr>
        <w:spacing w:line="360" w:lineRule="auto"/>
        <w:ind w:firstLine="0" w:firstLineChars="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附件九  </w:t>
      </w:r>
    </w:p>
    <w:p>
      <w:pPr>
        <w:spacing w:line="360" w:lineRule="auto"/>
        <w:ind w:firstLine="0" w:firstLineChars="0"/>
        <w:jc w:val="center"/>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关于质量担保的</w:t>
      </w:r>
      <w:r>
        <w:rPr>
          <w:rFonts w:hint="eastAsia" w:ascii="宋体" w:hAnsi="宋体"/>
          <w:b/>
          <w:bCs/>
          <w:color w:val="000000" w:themeColor="text1"/>
          <w:sz w:val="24"/>
          <w:highlight w:val="none"/>
          <w:lang w:eastAsia="zh-CN"/>
          <w14:textFill>
            <w14:solidFill>
              <w14:schemeClr w14:val="tx1"/>
            </w14:solidFill>
          </w14:textFill>
        </w:rPr>
        <w:t>具体约定</w:t>
      </w:r>
    </w:p>
    <w:p>
      <w:pPr>
        <w:spacing w:line="360" w:lineRule="auto"/>
        <w:ind w:firstLine="480" w:firstLineChars="200"/>
        <w:rPr>
          <w:rFonts w:ascii="宋体" w:hAnsi="宋体"/>
          <w:color w:val="000000" w:themeColor="text1"/>
          <w:kern w:val="0"/>
          <w:sz w:val="24"/>
          <w:szCs w:val="18"/>
          <w:highlight w:val="none"/>
          <w14:textFill>
            <w14:solidFill>
              <w14:schemeClr w14:val="tx1"/>
            </w14:solidFill>
          </w14:textFill>
        </w:rPr>
      </w:pPr>
      <w:r>
        <w:rPr>
          <w:rFonts w:ascii="宋体" w:hAnsi="宋体"/>
          <w:color w:val="000000" w:themeColor="text1"/>
          <w:kern w:val="0"/>
          <w:sz w:val="24"/>
          <w:szCs w:val="18"/>
          <w:highlight w:val="none"/>
          <w14:textFill>
            <w14:solidFill>
              <w14:schemeClr w14:val="tx1"/>
            </w14:solidFill>
          </w14:textFill>
        </w:rPr>
        <w:t>企业破产、解散等清算情况发生后的</w:t>
      </w:r>
      <w:r>
        <w:rPr>
          <w:rFonts w:hint="eastAsia" w:ascii="宋体" w:hAnsi="宋体"/>
          <w:color w:val="000000" w:themeColor="text1"/>
          <w:kern w:val="0"/>
          <w:sz w:val="24"/>
          <w:szCs w:val="18"/>
          <w:highlight w:val="none"/>
          <w:lang w:eastAsia="zh-CN"/>
          <w14:textFill>
            <w14:solidFill>
              <w14:schemeClr w14:val="tx1"/>
            </w14:solidFill>
          </w14:textFill>
        </w:rPr>
        <w:t>共有产权</w:t>
      </w:r>
      <w:r>
        <w:rPr>
          <w:rFonts w:ascii="宋体" w:hAnsi="宋体"/>
          <w:color w:val="000000" w:themeColor="text1"/>
          <w:kern w:val="0"/>
          <w:sz w:val="24"/>
          <w:szCs w:val="18"/>
          <w:highlight w:val="none"/>
          <w14:textFill>
            <w14:solidFill>
              <w14:schemeClr w14:val="tx1"/>
            </w14:solidFill>
          </w14:textFill>
        </w:rPr>
        <w:t>住房质量责任承担主体</w:t>
      </w:r>
      <w:r>
        <w:rPr>
          <w:rFonts w:hint="eastAsia" w:ascii="宋体" w:hAnsi="宋体"/>
          <w:color w:val="000000" w:themeColor="text1"/>
          <w:kern w:val="0"/>
          <w:sz w:val="24"/>
          <w:szCs w:val="18"/>
          <w:highlight w:val="none"/>
          <w14:textFill>
            <w14:solidFill>
              <w14:schemeClr w14:val="tx1"/>
            </w14:solidFill>
          </w14:textFill>
        </w:rPr>
        <w:t>为：</w:t>
      </w:r>
      <w:r>
        <w:rPr>
          <w:rFonts w:hint="eastAsia" w:ascii="宋体" w:hAnsi="宋体"/>
          <w:color w:val="000000" w:themeColor="text1"/>
          <w:kern w:val="0"/>
          <w:sz w:val="24"/>
          <w:szCs w:val="18"/>
          <w:highlight w:val="none"/>
          <w:u w:val="single"/>
          <w14:textFill>
            <w14:solidFill>
              <w14:schemeClr w14:val="tx1"/>
            </w14:solidFill>
          </w14:textFill>
        </w:rPr>
        <w:t xml:space="preserve">      </w:t>
      </w:r>
      <w:r>
        <w:rPr>
          <w:rFonts w:hint="eastAsia" w:ascii="宋体" w:hAnsi="宋体"/>
          <w:color w:val="000000" w:themeColor="text1"/>
          <w:kern w:val="0"/>
          <w:sz w:val="24"/>
          <w:szCs w:val="18"/>
          <w:highlight w:val="none"/>
          <w14:textFill>
            <w14:solidFill>
              <w14:schemeClr w14:val="tx1"/>
            </w14:solidFill>
          </w14:textFill>
        </w:rPr>
        <w:t>。</w:t>
      </w:r>
    </w:p>
    <w:p>
      <w:pPr>
        <w:spacing w:line="360" w:lineRule="auto"/>
        <w:rPr>
          <w:rFonts w:hint="eastAsia" w:ascii="宋体" w:hAnsi="宋体"/>
          <w:color w:val="000000" w:themeColor="text1"/>
          <w:kern w:val="0"/>
          <w:sz w:val="24"/>
          <w:szCs w:val="18"/>
          <w:highlight w:val="none"/>
          <w14:textFill>
            <w14:solidFill>
              <w14:schemeClr w14:val="tx1"/>
            </w14:solidFill>
          </w14:textFill>
        </w:rPr>
      </w:pPr>
      <w:r>
        <w:rPr>
          <w:rFonts w:ascii="宋体" w:hAnsi="宋体"/>
          <w:color w:val="000000" w:themeColor="text1"/>
          <w:kern w:val="0"/>
          <w:sz w:val="24"/>
          <w:szCs w:val="18"/>
          <w:highlight w:val="none"/>
          <w14:textFill>
            <w14:solidFill>
              <w14:schemeClr w14:val="tx1"/>
            </w14:solidFill>
          </w14:textFill>
        </w:rPr>
        <w:t>质量责任承担主体</w:t>
      </w:r>
      <w:r>
        <w:rPr>
          <w:rFonts w:hint="eastAsia" w:ascii="宋体" w:hAnsi="宋体"/>
          <w:color w:val="000000" w:themeColor="text1"/>
          <w:kern w:val="0"/>
          <w:sz w:val="24"/>
          <w:szCs w:val="18"/>
          <w:highlight w:val="none"/>
          <w14:textFill>
            <w14:solidFill>
              <w14:schemeClr w14:val="tx1"/>
            </w14:solidFill>
          </w14:textFill>
        </w:rPr>
        <w:t>应当</w:t>
      </w:r>
      <w:r>
        <w:rPr>
          <w:rFonts w:ascii="宋体" w:hAnsi="宋体"/>
          <w:color w:val="000000" w:themeColor="text1"/>
          <w:kern w:val="0"/>
          <w:sz w:val="24"/>
          <w:szCs w:val="18"/>
          <w:highlight w:val="none"/>
          <w14:textFill>
            <w14:solidFill>
              <w14:schemeClr w14:val="tx1"/>
            </w14:solidFill>
          </w14:textFill>
        </w:rPr>
        <w:t>按照</w:t>
      </w:r>
      <w:r>
        <w:rPr>
          <w:rFonts w:hint="eastAsia" w:ascii="宋体" w:hAnsi="宋体"/>
          <w:color w:val="000000" w:themeColor="text1"/>
          <w:kern w:val="0"/>
          <w:sz w:val="24"/>
          <w:szCs w:val="18"/>
          <w:highlight w:val="none"/>
          <w14:textFill>
            <w14:solidFill>
              <w14:schemeClr w14:val="tx1"/>
            </w14:solidFill>
          </w14:textFill>
        </w:rPr>
        <w:t>国家及北京现行有关法律法规、标准及</w:t>
      </w:r>
      <w:r>
        <w:rPr>
          <w:rFonts w:ascii="宋体" w:hAnsi="宋体"/>
          <w:color w:val="000000" w:themeColor="text1"/>
          <w:kern w:val="0"/>
          <w:sz w:val="24"/>
          <w:szCs w:val="18"/>
          <w:highlight w:val="none"/>
          <w14:textFill>
            <w14:solidFill>
              <w14:schemeClr w14:val="tx1"/>
            </w14:solidFill>
          </w14:textFill>
        </w:rPr>
        <w:t>《</w:t>
      </w:r>
      <w:r>
        <w:rPr>
          <w:rFonts w:hint="eastAsia" w:ascii="宋体" w:hAnsi="宋体"/>
          <w:color w:val="000000" w:themeColor="text1"/>
          <w:kern w:val="0"/>
          <w:sz w:val="24"/>
          <w:szCs w:val="18"/>
          <w:highlight w:val="none"/>
          <w14:textFill>
            <w14:solidFill>
              <w14:schemeClr w14:val="tx1"/>
            </w14:solidFill>
          </w14:textFill>
        </w:rPr>
        <w:t>北京市住宅工程质量保证书</w:t>
      </w:r>
      <w:r>
        <w:rPr>
          <w:rFonts w:ascii="宋体" w:hAnsi="宋体"/>
          <w:color w:val="000000" w:themeColor="text1"/>
          <w:kern w:val="0"/>
          <w:sz w:val="24"/>
          <w:szCs w:val="18"/>
          <w:highlight w:val="none"/>
          <w14:textFill>
            <w14:solidFill>
              <w14:schemeClr w14:val="tx1"/>
            </w14:solidFill>
          </w14:textFill>
        </w:rPr>
        <w:t>》</w:t>
      </w:r>
      <w:r>
        <w:rPr>
          <w:rFonts w:hint="eastAsia" w:ascii="宋体" w:hAnsi="宋体"/>
          <w:color w:val="000000" w:themeColor="text1"/>
          <w:kern w:val="0"/>
          <w:sz w:val="24"/>
          <w:szCs w:val="18"/>
          <w:highlight w:val="none"/>
          <w14:textFill>
            <w14:solidFill>
              <w14:schemeClr w14:val="tx1"/>
            </w14:solidFill>
          </w14:textFill>
        </w:rPr>
        <w:t>规定，以及合同约定在</w:t>
      </w:r>
      <w:r>
        <w:rPr>
          <w:rFonts w:hint="eastAsia" w:ascii="宋体" w:hAnsi="宋体"/>
          <w:color w:val="000000" w:themeColor="text1"/>
          <w:sz w:val="24"/>
          <w:szCs w:val="32"/>
          <w:highlight w:val="none"/>
          <w14:textFill>
            <w14:solidFill>
              <w14:schemeClr w14:val="tx1"/>
            </w14:solidFill>
          </w14:textFill>
        </w:rPr>
        <w:t>工程</w:t>
      </w:r>
      <w:r>
        <w:rPr>
          <w:rFonts w:ascii="宋体" w:hAnsi="宋体"/>
          <w:color w:val="000000" w:themeColor="text1"/>
          <w:kern w:val="0"/>
          <w:sz w:val="24"/>
          <w:szCs w:val="18"/>
          <w:highlight w:val="none"/>
          <w14:textFill>
            <w14:solidFill>
              <w14:schemeClr w14:val="tx1"/>
            </w14:solidFill>
          </w14:textFill>
        </w:rPr>
        <w:t>质量</w:t>
      </w:r>
      <w:r>
        <w:rPr>
          <w:rFonts w:hint="eastAsia" w:ascii="宋体" w:hAnsi="宋体"/>
          <w:color w:val="000000" w:themeColor="text1"/>
          <w:kern w:val="0"/>
          <w:sz w:val="24"/>
          <w:szCs w:val="18"/>
          <w:highlight w:val="none"/>
          <w14:textFill>
            <w14:solidFill>
              <w14:schemeClr w14:val="tx1"/>
            </w14:solidFill>
          </w14:textFill>
        </w:rPr>
        <w:t>保险</w:t>
      </w:r>
      <w:r>
        <w:rPr>
          <w:rFonts w:ascii="宋体" w:hAnsi="宋体"/>
          <w:color w:val="000000" w:themeColor="text1"/>
          <w:kern w:val="0"/>
          <w:sz w:val="24"/>
          <w:szCs w:val="18"/>
          <w:highlight w:val="none"/>
          <w14:textFill>
            <w14:solidFill>
              <w14:schemeClr w14:val="tx1"/>
            </w14:solidFill>
          </w14:textFill>
        </w:rPr>
        <w:t>范围</w:t>
      </w:r>
      <w:r>
        <w:rPr>
          <w:rFonts w:hint="eastAsia" w:ascii="宋体" w:hAnsi="宋体"/>
          <w:color w:val="000000" w:themeColor="text1"/>
          <w:kern w:val="0"/>
          <w:sz w:val="24"/>
          <w:szCs w:val="18"/>
          <w:highlight w:val="none"/>
          <w14:textFill>
            <w14:solidFill>
              <w14:schemeClr w14:val="tx1"/>
            </w14:solidFill>
          </w14:textFill>
        </w:rPr>
        <w:t>和保修</w:t>
      </w:r>
      <w:r>
        <w:rPr>
          <w:rFonts w:ascii="宋体" w:hAnsi="宋体"/>
          <w:color w:val="000000" w:themeColor="text1"/>
          <w:kern w:val="0"/>
          <w:sz w:val="24"/>
          <w:szCs w:val="18"/>
          <w:highlight w:val="none"/>
          <w14:textFill>
            <w14:solidFill>
              <w14:schemeClr w14:val="tx1"/>
            </w14:solidFill>
          </w14:textFill>
        </w:rPr>
        <w:t>期限</w:t>
      </w:r>
      <w:r>
        <w:rPr>
          <w:rFonts w:hint="eastAsia" w:ascii="宋体" w:hAnsi="宋体"/>
          <w:color w:val="000000" w:themeColor="text1"/>
          <w:kern w:val="0"/>
          <w:sz w:val="24"/>
          <w:szCs w:val="18"/>
          <w:highlight w:val="none"/>
          <w14:textFill>
            <w14:solidFill>
              <w14:schemeClr w14:val="tx1"/>
            </w14:solidFill>
          </w14:textFill>
        </w:rPr>
        <w:t>内</w:t>
      </w:r>
      <w:r>
        <w:rPr>
          <w:rFonts w:ascii="宋体" w:hAnsi="宋体"/>
          <w:color w:val="000000" w:themeColor="text1"/>
          <w:kern w:val="0"/>
          <w:sz w:val="24"/>
          <w:szCs w:val="18"/>
          <w:highlight w:val="none"/>
          <w14:textFill>
            <w14:solidFill>
              <w14:schemeClr w14:val="tx1"/>
            </w14:solidFill>
          </w14:textFill>
        </w:rPr>
        <w:t>履行</w:t>
      </w:r>
      <w:r>
        <w:rPr>
          <w:rFonts w:hint="eastAsia" w:ascii="宋体" w:hAnsi="宋体"/>
          <w:color w:val="000000" w:themeColor="text1"/>
          <w:kern w:val="0"/>
          <w:sz w:val="24"/>
          <w:szCs w:val="18"/>
          <w:highlight w:val="none"/>
          <w14:textFill>
            <w14:solidFill>
              <w14:schemeClr w14:val="tx1"/>
            </w14:solidFill>
          </w14:textFill>
        </w:rPr>
        <w:t>质量</w:t>
      </w:r>
      <w:r>
        <w:rPr>
          <w:rFonts w:ascii="宋体" w:hAnsi="宋体"/>
          <w:color w:val="000000" w:themeColor="text1"/>
          <w:kern w:val="0"/>
          <w:sz w:val="24"/>
          <w:szCs w:val="18"/>
          <w:highlight w:val="none"/>
          <w14:textFill>
            <w14:solidFill>
              <w14:schemeClr w14:val="tx1"/>
            </w14:solidFill>
          </w14:textFill>
        </w:rPr>
        <w:t>保修责任。</w:t>
      </w:r>
    </w:p>
    <w:p>
      <w:pPr>
        <w:spacing w:line="360" w:lineRule="auto"/>
        <w:ind w:firstLine="482" w:firstLineChars="200"/>
        <w:rPr>
          <w:rFonts w:hint="eastAsia" w:ascii="宋体" w:hAnsi="宋体"/>
          <w:b/>
          <w:bCs/>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b/>
          <w:bCs/>
          <w:color w:val="000000" w:themeColor="text1"/>
          <w:sz w:val="24"/>
          <w:highlight w:val="none"/>
          <w14:textFill>
            <w14:solidFill>
              <w14:schemeClr w14:val="tx1"/>
            </w14:solidFill>
          </w14:textFill>
        </w:rPr>
        <w:sectPr>
          <w:footerReference r:id="rId29" w:type="first"/>
          <w:footerReference r:id="rId28" w:type="default"/>
          <w:pgSz w:w="11905" w:h="16837"/>
          <w:pgMar w:top="1440" w:right="1415" w:bottom="1440" w:left="1560" w:header="720" w:footer="720" w:gutter="0"/>
          <w:pgNumType w:fmt="decimal"/>
          <w:cols w:space="720" w:num="1"/>
          <w:titlePg/>
          <w:rtlGutter w:val="0"/>
          <w:docGrid w:type="lines" w:linePitch="312" w:charSpace="0"/>
        </w:sectPr>
      </w:pPr>
    </w:p>
    <w:p>
      <w:pPr>
        <w:spacing w:line="360" w:lineRule="auto"/>
        <w:ind w:firstLine="0" w:firstLineChars="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附件十</w:t>
      </w:r>
    </w:p>
    <w:p>
      <w:pPr>
        <w:spacing w:line="360" w:lineRule="auto"/>
        <w:ind w:firstLine="0" w:firstLineChars="0"/>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关于</w:t>
      </w:r>
      <w:r>
        <w:rPr>
          <w:rFonts w:hint="eastAsia" w:ascii="宋体" w:hAnsi="宋体"/>
          <w:b/>
          <w:bCs/>
          <w:color w:val="000000" w:themeColor="text1"/>
          <w:sz w:val="24"/>
          <w:highlight w:val="none"/>
          <w:lang w:eastAsia="zh-CN"/>
          <w14:textFill>
            <w14:solidFill>
              <w14:schemeClr w14:val="tx1"/>
            </w14:solidFill>
          </w14:textFill>
        </w:rPr>
        <w:t>前期</w:t>
      </w:r>
      <w:r>
        <w:rPr>
          <w:rFonts w:hint="eastAsia" w:ascii="宋体" w:hAnsi="宋体"/>
          <w:b/>
          <w:bCs/>
          <w:color w:val="000000" w:themeColor="text1"/>
          <w:sz w:val="24"/>
          <w:highlight w:val="none"/>
          <w14:textFill>
            <w14:solidFill>
              <w14:schemeClr w14:val="tx1"/>
            </w14:solidFill>
          </w14:textFill>
        </w:rPr>
        <w:t>物业管理的约定</w:t>
      </w:r>
    </w:p>
    <w:p>
      <w:pPr>
        <w:pStyle w:val="10"/>
        <w:spacing w:before="0" w:beforeAutospacing="0" w:after="0" w:afterAutospacing="0"/>
        <w:rPr>
          <w:rFonts w:hint="eastAsia"/>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1.前期</w:t>
      </w:r>
      <w:r>
        <w:rPr>
          <w:color w:val="000000" w:themeColor="text1"/>
          <w:szCs w:val="18"/>
          <w:highlight w:val="none"/>
          <w14:textFill>
            <w14:solidFill>
              <w14:schemeClr w14:val="tx1"/>
            </w14:solidFill>
          </w14:textFill>
        </w:rPr>
        <w:t>物业服务</w:t>
      </w:r>
      <w:r>
        <w:rPr>
          <w:rFonts w:hint="eastAsia"/>
          <w:color w:val="000000" w:themeColor="text1"/>
          <w:szCs w:val="18"/>
          <w:highlight w:val="none"/>
          <w14:textFill>
            <w14:solidFill>
              <w14:schemeClr w14:val="tx1"/>
            </w14:solidFill>
          </w14:textFill>
        </w:rPr>
        <w:t>合同</w:t>
      </w:r>
    </w:p>
    <w:p>
      <w:pPr>
        <w:pStyle w:val="5"/>
        <w:spacing w:before="0" w:beforeAutospacing="0" w:after="0" w:afterAutospacing="0" w:line="360" w:lineRule="auto"/>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2.临时管理规约</w:t>
      </w:r>
      <w:r>
        <w:rPr>
          <w:color w:val="000000" w:themeColor="text1"/>
          <w:highlight w:val="none"/>
          <w14:textFill>
            <w14:solidFill>
              <w14:schemeClr w14:val="tx1"/>
            </w14:solidFill>
          </w14:textFill>
        </w:rPr>
        <w:t xml:space="preserve"> </w:t>
      </w:r>
    </w:p>
    <w:p>
      <w:pPr>
        <w:pStyle w:val="5"/>
        <w:spacing w:before="0" w:beforeAutospacing="0" w:after="0" w:afterAutospacing="0" w:line="360" w:lineRule="auto"/>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其他约定</w:t>
      </w:r>
    </w:p>
    <w:p>
      <w:pPr>
        <w:spacing w:line="360" w:lineRule="auto"/>
        <w:ind w:firstLine="0" w:firstLineChars="0"/>
        <w:rPr>
          <w:rFonts w:hint="eastAsia" w:ascii="宋体" w:hAnsi="宋体"/>
          <w:b/>
          <w:color w:val="000000" w:themeColor="text1"/>
          <w:kern w:val="0"/>
          <w:sz w:val="24"/>
          <w:szCs w:val="18"/>
          <w:highlight w:val="none"/>
          <w14:textFill>
            <w14:solidFill>
              <w14:schemeClr w14:val="tx1"/>
            </w14:solidFill>
          </w14:textFill>
        </w:rPr>
        <w:sectPr>
          <w:footerReference r:id="rId31" w:type="first"/>
          <w:footerReference r:id="rId30" w:type="default"/>
          <w:pgSz w:w="11905" w:h="16837"/>
          <w:pgMar w:top="1440" w:right="1415" w:bottom="1440" w:left="1560" w:header="720" w:footer="720" w:gutter="0"/>
          <w:pgNumType w:fmt="decimal"/>
          <w:cols w:space="720" w:num="1"/>
          <w:titlePg/>
          <w:rtlGutter w:val="0"/>
          <w:docGrid w:type="lines" w:linePitch="312" w:charSpace="0"/>
        </w:sectPr>
      </w:pPr>
    </w:p>
    <w:p>
      <w:pPr>
        <w:spacing w:line="360" w:lineRule="auto"/>
        <w:ind w:firstLine="0" w:firstLineChars="0"/>
        <w:rPr>
          <w:rFonts w:hint="eastAsia" w:ascii="宋体" w:hAnsi="宋体"/>
          <w:b/>
          <w:color w:val="000000" w:themeColor="text1"/>
          <w:kern w:val="0"/>
          <w:sz w:val="24"/>
          <w:szCs w:val="18"/>
          <w:highlight w:val="none"/>
          <w14:textFill>
            <w14:solidFill>
              <w14:schemeClr w14:val="tx1"/>
            </w14:solidFill>
          </w14:textFill>
        </w:rPr>
      </w:pPr>
      <w:r>
        <w:rPr>
          <w:rFonts w:hint="eastAsia" w:ascii="宋体" w:hAnsi="宋体"/>
          <w:b/>
          <w:color w:val="000000" w:themeColor="text1"/>
          <w:kern w:val="0"/>
          <w:sz w:val="24"/>
          <w:szCs w:val="18"/>
          <w:highlight w:val="none"/>
          <w14:textFill>
            <w14:solidFill>
              <w14:schemeClr w14:val="tx1"/>
            </w14:solidFill>
          </w14:textFill>
        </w:rPr>
        <w:t xml:space="preserve">附件十一 </w:t>
      </w:r>
    </w:p>
    <w:p>
      <w:pPr>
        <w:spacing w:line="360" w:lineRule="auto"/>
        <w:ind w:firstLine="0" w:firstLineChars="0"/>
        <w:jc w:val="center"/>
        <w:rPr>
          <w:rFonts w:hint="eastAsia" w:ascii="宋体" w:hAnsi="宋体"/>
          <w:b/>
          <w:color w:val="000000" w:themeColor="text1"/>
          <w:kern w:val="0"/>
          <w:sz w:val="24"/>
          <w:szCs w:val="18"/>
          <w:highlight w:val="none"/>
          <w14:textFill>
            <w14:solidFill>
              <w14:schemeClr w14:val="tx1"/>
            </w14:solidFill>
          </w14:textFill>
        </w:rPr>
      </w:pPr>
      <w:r>
        <w:rPr>
          <w:rFonts w:hint="eastAsia" w:ascii="宋体" w:hAnsi="宋体"/>
          <w:b/>
          <w:color w:val="000000" w:themeColor="text1"/>
          <w:kern w:val="0"/>
          <w:sz w:val="24"/>
          <w:szCs w:val="18"/>
          <w:highlight w:val="none"/>
          <w14:textFill>
            <w14:solidFill>
              <w14:schemeClr w14:val="tx1"/>
            </w14:solidFill>
          </w14:textFill>
        </w:rPr>
        <w:t>甲方关于遮挡或妨碍房屋正常使用情况的说明</w:t>
      </w:r>
    </w:p>
    <w:p>
      <w:pPr>
        <w:spacing w:line="360" w:lineRule="auto"/>
        <w:ind w:firstLine="480" w:firstLineChars="200"/>
        <w:rPr>
          <w:rFonts w:hint="eastAsia" w:ascii="宋体" w:hAnsi="宋体"/>
          <w:color w:val="000000" w:themeColor="text1"/>
          <w:kern w:val="0"/>
          <w:sz w:val="24"/>
          <w:szCs w:val="18"/>
          <w:highlight w:val="none"/>
          <w14:textFill>
            <w14:solidFill>
              <w14:schemeClr w14:val="tx1"/>
            </w14:solidFill>
          </w14:textFill>
        </w:rPr>
      </w:pPr>
      <w:r>
        <w:rPr>
          <w:rFonts w:hint="eastAsia" w:ascii="宋体" w:hAnsi="宋体"/>
          <w:color w:val="000000" w:themeColor="text1"/>
          <w:kern w:val="0"/>
          <w:sz w:val="24"/>
          <w:szCs w:val="18"/>
          <w:highlight w:val="none"/>
          <w14:textFill>
            <w14:solidFill>
              <w14:schemeClr w14:val="tx1"/>
            </w14:solidFill>
          </w14:textFill>
        </w:rPr>
        <w:t>（如：该</w:t>
      </w:r>
      <w:r>
        <w:rPr>
          <w:rFonts w:hint="eastAsia" w:ascii="新宋体" w:hAnsi="新宋体" w:eastAsia="新宋体"/>
          <w:color w:val="000000" w:themeColor="text1"/>
          <w:kern w:val="0"/>
          <w:sz w:val="24"/>
          <w:highlight w:val="none"/>
          <w14:textFill>
            <w14:solidFill>
              <w14:schemeClr w14:val="tx1"/>
            </w14:solidFill>
          </w14:textFill>
        </w:rPr>
        <w:t>共有产权住房</w:t>
      </w:r>
      <w:r>
        <w:rPr>
          <w:rFonts w:hint="eastAsia" w:ascii="宋体" w:hAnsi="宋体"/>
          <w:color w:val="000000" w:themeColor="text1"/>
          <w:kern w:val="0"/>
          <w:sz w:val="24"/>
          <w:szCs w:val="18"/>
          <w:highlight w:val="none"/>
          <w14:textFill>
            <w14:solidFill>
              <w14:schemeClr w14:val="tx1"/>
            </w14:solidFill>
          </w14:textFill>
        </w:rPr>
        <w:t>公共管道检修口、柱子、变电箱等有遮挡或妨碍房屋正常使用的情况）</w:t>
      </w:r>
    </w:p>
    <w:p>
      <w:pPr>
        <w:pStyle w:val="5"/>
        <w:spacing w:before="0" w:beforeAutospacing="0" w:after="0" w:afterAutospacing="0" w:line="360" w:lineRule="auto"/>
        <w:ind w:firstLine="482" w:firstLineChars="200"/>
        <w:rPr>
          <w:rFonts w:hint="eastAsia"/>
          <w:b/>
          <w:color w:val="000000" w:themeColor="text1"/>
          <w:highlight w:val="none"/>
          <w14:textFill>
            <w14:solidFill>
              <w14:schemeClr w14:val="tx1"/>
            </w14:solidFill>
          </w14:textFill>
        </w:rPr>
        <w:sectPr>
          <w:footerReference r:id="rId33" w:type="first"/>
          <w:footerReference r:id="rId32" w:type="default"/>
          <w:pgSz w:w="11905" w:h="16837"/>
          <w:pgMar w:top="1440" w:right="1415" w:bottom="1440" w:left="1560" w:header="720" w:footer="720" w:gutter="0"/>
          <w:pgNumType w:fmt="decimal"/>
          <w:cols w:space="720" w:num="1"/>
          <w:titlePg/>
          <w:rtlGutter w:val="0"/>
          <w:docGrid w:type="lines" w:linePitch="312" w:charSpace="0"/>
        </w:sectPr>
      </w:pPr>
    </w:p>
    <w:p>
      <w:pPr>
        <w:pStyle w:val="5"/>
        <w:spacing w:before="0" w:beforeAutospacing="0" w:after="0" w:afterAutospacing="0" w:line="360" w:lineRule="auto"/>
        <w:ind w:firstLine="0" w:firstLineChars="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附件十二 </w:t>
      </w:r>
    </w:p>
    <w:p>
      <w:pPr>
        <w:pStyle w:val="5"/>
        <w:spacing w:before="0" w:beforeAutospacing="0" w:after="0" w:afterAutospacing="0" w:line="360" w:lineRule="auto"/>
        <w:ind w:firstLine="0" w:firstLineChars="0"/>
        <w:jc w:val="center"/>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补充协议</w:t>
      </w:r>
    </w:p>
    <w:p>
      <w:pPr>
        <w:pStyle w:val="10"/>
        <w:spacing w:before="0" w:beforeAutospacing="0" w:after="0" w:afterAutospacing="0"/>
        <w:ind w:firstLine="0"/>
        <w:rPr>
          <w:rFonts w:hint="default" w:eastAsia="宋体"/>
          <w:b/>
          <w:bCs/>
          <w:color w:val="000000" w:themeColor="text1"/>
          <w:szCs w:val="18"/>
          <w:highlight w:val="none"/>
          <w:lang w:val="en-US" w:eastAsia="zh-CN"/>
          <w14:textFill>
            <w14:solidFill>
              <w14:schemeClr w14:val="tx1"/>
            </w14:solidFill>
          </w14:textFill>
        </w:rPr>
      </w:pPr>
      <w:r>
        <w:rPr>
          <w:rFonts w:hint="eastAsia"/>
          <w:b/>
          <w:bCs/>
          <w:color w:val="000000" w:themeColor="text1"/>
          <w:szCs w:val="18"/>
          <w:highlight w:val="none"/>
          <w:lang w:val="en-US" w:eastAsia="zh-CN"/>
          <w14:textFill>
            <w14:solidFill>
              <w14:schemeClr w14:val="tx1"/>
            </w14:solidFill>
          </w14:textFill>
        </w:rPr>
        <w:t xml:space="preserve">                    （</w:t>
      </w:r>
      <w:r>
        <w:rPr>
          <w:rFonts w:ascii="宋体" w:hAnsi="宋体" w:eastAsia="宋体" w:cs="Times New Roman"/>
          <w:color w:val="000000" w:themeColor="text1"/>
          <w:kern w:val="0"/>
          <w:sz w:val="24"/>
          <w:szCs w:val="18"/>
          <w:highlight w:val="none"/>
          <w:lang w:val="en-US" w:eastAsia="zh-CN" w:bidi="ar"/>
          <w14:textFill>
            <w14:solidFill>
              <w14:schemeClr w14:val="tx1"/>
            </w14:solidFill>
          </w14:textFill>
        </w:rPr>
        <w:t>补充协议内容不得与主合同条款冲突</w:t>
      </w:r>
      <w:r>
        <w:rPr>
          <w:rFonts w:hint="eastAsia" w:eastAsia="宋体" w:cs="Times New Roman"/>
          <w:color w:val="000000" w:themeColor="text1"/>
          <w:kern w:val="0"/>
          <w:sz w:val="24"/>
          <w:szCs w:val="18"/>
          <w:highlight w:val="none"/>
          <w:lang w:val="en-US" w:eastAsia="zh-CN" w:bidi="ar"/>
          <w14:textFill>
            <w14:solidFill>
              <w14:schemeClr w14:val="tx1"/>
            </w14:solidFill>
          </w14:textFill>
        </w:rPr>
        <w:t>）</w:t>
      </w:r>
    </w:p>
    <w:p/>
    <w:sectPr>
      <w:footerReference r:id="rId35" w:type="first"/>
      <w:footerReference r:id="rId34" w:type="default"/>
      <w:pgSz w:w="11905" w:h="16837"/>
      <w:pgMar w:top="1440" w:right="1415" w:bottom="1440" w:left="1560" w:header="720" w:footer="720"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5"/>
      </w:tabs>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jZA3K4BAABN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NkDc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pr9a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bv+HNqT5CeZnT6+uX07cfp+2dGPmrQGLGlvIdImXl6BRMNevYjOYvuySRfvqSI&#10;UZywjtf26ikzVR6tlqtVQyFFsflC+OLxeUyYX2vwrBgdTzS/2lZ5eIv5nDqnlGoB7q1zdYYu/OYg&#10;zOIRhfuZY7HytJ0ugrbQH0nPSKPveKDd5My9CdTZsiWzkWZjOxv7mOxuqGtU6mF8uc9EonIrFc6w&#10;l8I0s6rusl9lKX6916zHv2D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mv1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5R+da4BAABNAwAADgAAAGRycy9lMm9Eb2MueG1srVNLjhMxEN0jcQfL&#10;e+KeLCBq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ly84C9LTjE5fv5y+/Th9/8zIRw0aE7aU95AoM0+v4kSDnv1IzqJ7MuDLlxQx&#10;ilOrj9f26ikzVR6tlqtVQyFFsflC+OLxeQLMr3X0rBgdB5pfbas8vMV8Tp1TSrUQ761zdYYu/OYg&#10;zOIRhfuZY7HytJ0ugraxP5KekUbf8UC7yZl7E6izZUtmA2ZjOxv7BHY31DUq9TC9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flH51rgEAAE0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4dq4BAABNAwAADgAAAGRycy9lMm9Eb2MueG1srVNNrhMxDN4jcYco&#10;e5p5XaAy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j4Ph2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WFDa4BAABN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OVYUN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XsxK4BAABNAwAADgAAAGRycy9lMm9Eb2MueG1srVNLjhMxEN0jcQfL&#10;e+KeLFBo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ly84C9LTjE5fv5y+/Th9/8zIRw0aE7aU95AoM0+v4kSDnv1IzqJ7MuDLlxQx&#10;ilOrj9f26ikzVR6tlqtVQyFFsflC+OLxeQLMr3X0rBgdB5pfbas8vMV8Tp1TSrUQ761zdYYu/OYg&#10;zOIRhfuZY7HytJ0ugraxP5KekUbf8UC7yZl7E6izZUtmA2ZjOxv7BHY31DUq9TC9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p1ezErgEAAE0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tikVrgEAAE0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7pK8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PKWsyA9zej09cvp24/T98+MfNSgMWJLeY+RMvP0CiYa9OxHchbdk0m+fEkR&#10;ozi1+nhtr54yU+XRarlaNRRSFJsvhC+enseE+bUGz4rR8UTzq22Vh7eYz6lzSqkW4ME6V2fowm8O&#10;wiweUbifORYrT9vpImgL/ZH0jDT6jgfaTc7cm0CdLVsyG2k2trOxj8nuhrpGpR7Gl/tMJCq3UuEM&#10;eylMM6vqLvtVluLXe816+gs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e7pK8BAABN&#10;AwAADgAAAAAAAAABACAAAAAeAQAAZHJzL2Uyb0RvYy54bWxQSwUGAAAAAAYABgBZAQAAP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aJhK4BAABN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FomE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IuDPaetAQAATQMA&#10;AA4AAAAAAAAAAQAgAAAAHgEAAGRycy9lMm9Eb2MueG1sUEsFBgAAAAAGAAYAWQEAAD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S3La0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vuOL6k9QXqa0enb19P3n6cfXxj5qEFjxJbyHiJl5uk1TDTo2Y/kLLonk3z5kiJG&#10;ccI6Xturp8xUebRarlYNhRTF5gvhi8fnMWF+o8GzYnQ80fxqW+XhHeZz6pxSqgW4t87VGbrwm4Mw&#10;i0cU7meOxcrTdroI2kJ/JD0jjb7jgXaTM/c2UGfLlsxGmo3tbOxjsruhrlGph/HVPhOJyq1UOMNe&#10;CtPMqrrLfpWleHqvWY9/w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AS0ty2tAQAATQMA&#10;AA4AAAAAAAAAAQAgAAAAHgEAAGRycy9lMm9Eb2MueG1sUEsFBgAAAAAGAAYAWQEAAD0FA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Fqx64BAABNAwAADgAAAGRycy9lMm9Eb2MueG1srVNNrhMxDN4jcYco&#10;e5p5XUA1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VoWrHrgEAAE0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VMVa8BAABN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dU+K4xRntn3/uf73sf/8g6MMGDSE2mPcQMDONX/yIg578EZ1Z96jA5i8q&#10;IhjHVu9O7ZVjIiI/mtfzeYUhgbHpgvjs7XmAmG6ltyQbLQWcX2kr336N6ZA6peRqzt9oY8oMjfvD&#10;gZjZwzL3A8dspXE1HgWtfLdDPQOOvqUOd5MSc+ews3lLJgMmYzUZmwB63Zc1yvVi+LxJSKJwyxUO&#10;sMfCOLOi7rhfeSne30vW21+wf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XVMVa8BAABN&#10;AwAADgAAAAAAAAABACAAAAAeAQAAZHJzL2Uyb0RvYy54bWxQSwUGAAAAAAYABgBZAQAAPwU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y/K8BAABN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DZlBLHLc5o//R7//xn//KLoA8b1IdYY959wMw0XPoBBz36Izqz7kGBzV9U&#10;RDCOrd6d2iuHRER+NJ/N5xWGBMbGC+Kzt+cBYrqR3pJsNBRwfqWtfPs9pkPqmJKrOX+tjSkzNO4v&#10;B2JmD8vcDxyzlYbVcBS08u0O9fQ4+oY63E1KzK3DzuYtGQ0YjdVobALodVfWKNeL4WKTkEThlisc&#10;YI+FcWZF3XG/8lK8v5est79g+Q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Ndy/K8BAABN&#10;AwAADgAAAAAAAAABACAAAAAeAQAAZHJzL2Uyb0RvYy54bWxQSwUGAAAAAAYABgBZAQAAP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5"/>
      </w:tabs>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color w:val="000000"/>
                            </w:rPr>
                          </w:pPr>
                          <w:r>
                            <w:rPr>
                              <w:color w:val="000000"/>
                            </w:rPr>
                            <w:fldChar w:fldCharType="begin"/>
                          </w:r>
                          <w:r>
                            <w:rPr>
                              <w:color w:val="000000"/>
                            </w:rPr>
                            <w:instrText xml:space="preserve"> PAGE  \* MERGEFORMAT </w:instrText>
                          </w:r>
                          <w:r>
                            <w:rPr>
                              <w:color w:val="000000"/>
                            </w:rPr>
                            <w:fldChar w:fldCharType="separate"/>
                          </w:r>
                          <w:r>
                            <w:rPr>
                              <w:color w:val="000000"/>
                            </w:rPr>
                            <w:t>1</w:t>
                          </w:r>
                          <w:r>
                            <w:rPr>
                              <w:color w:val="00000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3"/>
                      <w:rPr>
                        <w:color w:val="000000"/>
                      </w:rPr>
                    </w:pPr>
                    <w:r>
                      <w:rPr>
                        <w:color w:val="000000"/>
                      </w:rPr>
                      <w:fldChar w:fldCharType="begin"/>
                    </w:r>
                    <w:r>
                      <w:rPr>
                        <w:color w:val="000000"/>
                      </w:rPr>
                      <w:instrText xml:space="preserve"> PAGE  \* MERGEFORMAT </w:instrText>
                    </w:r>
                    <w:r>
                      <w:rPr>
                        <w:color w:val="000000"/>
                      </w:rPr>
                      <w:fldChar w:fldCharType="separate"/>
                    </w:r>
                    <w:r>
                      <w:rPr>
                        <w:color w:val="000000"/>
                      </w:rPr>
                      <w:t>1</w:t>
                    </w:r>
                    <w:r>
                      <w:rPr>
                        <w:color w:val="000000"/>
                      </w:rP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155"/>
        <w:tab w:val="clear" w:pos="8311"/>
      </w:tabs>
      <w:jc w:val="cente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tabs>
                              <w:tab w:val="center" w:pos="4153"/>
                              <w:tab w:val="right" w:pos="8306"/>
                              <w:tab w:val="clear" w:pos="4155"/>
                              <w:tab w:val="clear" w:pos="8311"/>
                            </w:tabs>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pStyle w:val="3"/>
                      <w:tabs>
                        <w:tab w:val="center" w:pos="4153"/>
                        <w:tab w:val="right" w:pos="8306"/>
                        <w:tab w:val="clear" w:pos="4155"/>
                        <w:tab w:val="clear" w:pos="8311"/>
                      </w:tabs>
                    </w:pPr>
                    <w:r>
                      <w:fldChar w:fldCharType="begin"/>
                    </w:r>
                    <w:r>
                      <w:instrText xml:space="preserve"> PAGE  \* MERGEFORMAT </w:instrText>
                    </w:r>
                    <w:r>
                      <w:fldChar w:fldCharType="separate"/>
                    </w:r>
                    <w:r>
                      <w:t>- 0 -</w:t>
                    </w:r>
                    <w:r>
                      <w:fldChar w:fldCharType="end"/>
                    </w:r>
                  </w:p>
                </w:txbxContent>
              </v:textbox>
            </v:shape>
          </w:pict>
        </mc:Fallback>
      </mc:AlternateContent>
    </w:r>
  </w:p>
  <w:p>
    <w:pPr>
      <w:pStyle w:val="3"/>
      <w:tabs>
        <w:tab w:val="center" w:pos="4153"/>
        <w:tab w:val="right" w:pos="8306"/>
        <w:tab w:val="clear" w:pos="4155"/>
        <w:tab w:val="clear" w:pos="8311"/>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155"/>
        <w:tab w:val="clear" w:pos="8311"/>
      </w:tabs>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tabs>
                              <w:tab w:val="center" w:pos="4153"/>
                              <w:tab w:val="right" w:pos="8306"/>
                              <w:tab w:val="clear" w:pos="4155"/>
                              <w:tab w:val="clear" w:pos="8311"/>
                            </w:tabs>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pStyle w:val="3"/>
                      <w:tabs>
                        <w:tab w:val="center" w:pos="4153"/>
                        <w:tab w:val="right" w:pos="8306"/>
                        <w:tab w:val="clear" w:pos="4155"/>
                        <w:tab w:val="clear" w:pos="8311"/>
                      </w:tabs>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5"/>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NUbq4BAABNAwAADgAAAGRycy9lMm9Eb2MueG1srVNNrhMxDN4jcYco&#10;e5p5F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A1RurgEAAE0D&#10;AAAOAAAAAAAAAAEAIAAAAB4BAABkcnMvZTJvRG9jLnhtbFBLBQYAAAAABgAGAFkBAAA+BQ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 PAGE  \* MERGEFORMAT </w:instrText>
                    </w:r>
                    <w:r>
                      <w:fldChar w:fldCharType="separate"/>
                    </w:r>
                    <w:r>
                      <w:rPr>
                        <w:rStyle w:val="9"/>
                      </w:rPr>
                      <w:t>0</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E636E"/>
    <w:multiLevelType w:val="singleLevel"/>
    <w:tmpl w:val="BF6E636E"/>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2"/>
      <w:numFmt w:val="chineseCounting"/>
      <w:suff w:val="nothing"/>
      <w:lvlText w:val="（%1）"/>
      <w:lvlJc w:val="left"/>
    </w:lvl>
  </w:abstractNum>
  <w:abstractNum w:abstractNumId="2">
    <w:nsid w:val="3730961E"/>
    <w:multiLevelType w:val="singleLevel"/>
    <w:tmpl w:val="3730961E"/>
    <w:lvl w:ilvl="0" w:tentative="0">
      <w:start w:val="3"/>
      <w:numFmt w:val="chineseCounting"/>
      <w:suff w:val="space"/>
      <w:lvlText w:val="第%1条"/>
      <w:lvlJc w:val="left"/>
      <w:rPr>
        <w:rFonts w:hint="eastAsia"/>
      </w:rPr>
    </w:lvl>
  </w:abstractNum>
  <w:abstractNum w:abstractNumId="3">
    <w:nsid w:val="7AFE3BC5"/>
    <w:multiLevelType w:val="singleLevel"/>
    <w:tmpl w:val="7AFE3BC5"/>
    <w:lvl w:ilvl="0" w:tentative="0">
      <w:start w:val="4"/>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Tk5YTA3MmI4Y2FiOTQxMjU2MzZmNGU1YmZkNGQifQ=="/>
  </w:docVars>
  <w:rsids>
    <w:rsidRoot w:val="7DC34AB0"/>
    <w:rsid w:val="08633850"/>
    <w:rsid w:val="257E62C3"/>
    <w:rsid w:val="5FF0252E"/>
    <w:rsid w:val="77947B83"/>
    <w:rsid w:val="7DC3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580" w:lineRule="exact"/>
      <w:ind w:firstLine="482" w:firstLineChars="200"/>
    </w:pPr>
    <w:rPr>
      <w:rFonts w:ascii="宋体" w:hAnsi="宋体"/>
      <w:b/>
      <w:bCs/>
      <w:sz w:val="24"/>
      <w:szCs w:val="32"/>
    </w:rPr>
  </w:style>
  <w:style w:type="paragraph" w:styleId="3">
    <w:name w:val="footer"/>
    <w:basedOn w:val="1"/>
    <w:qFormat/>
    <w:uiPriority w:val="99"/>
    <w:pPr>
      <w:suppressLineNumbers/>
      <w:tabs>
        <w:tab w:val="center" w:pos="4155"/>
        <w:tab w:val="right" w:pos="8311"/>
      </w:tabs>
      <w:suppressAutoHyphens/>
    </w:pPr>
    <w:rPr>
      <w:kern w:val="1"/>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styleId="8">
    <w:name w:val="Strong"/>
    <w:qFormat/>
    <w:uiPriority w:val="0"/>
    <w:rPr>
      <w:b/>
      <w:bCs/>
    </w:rPr>
  </w:style>
  <w:style w:type="character" w:styleId="9">
    <w:name w:val="page number"/>
    <w:basedOn w:val="7"/>
    <w:qFormat/>
    <w:uiPriority w:val="0"/>
  </w:style>
  <w:style w:type="paragraph" w:customStyle="1" w:styleId="10">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11">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styleId="12">
    <w:name w:val="List Paragraph"/>
    <w:basedOn w:val="1"/>
    <w:qFormat/>
    <w:uiPriority w:val="99"/>
    <w:pPr>
      <w:ind w:firstLine="420" w:firstLineChars="200"/>
    </w:pPr>
  </w:style>
  <w:style w:type="paragraph" w:customStyle="1" w:styleId="13">
    <w:name w:val="正文文本13"/>
    <w:basedOn w:val="1"/>
    <w:qFormat/>
    <w:uiPriority w:val="99"/>
    <w:pPr>
      <w:spacing w:before="120" w:line="240" w:lineRule="atLeast"/>
      <w:ind w:hanging="480"/>
      <w:jc w:val="left"/>
    </w:pPr>
    <w:rPr>
      <w:rFonts w:ascii="MingLiU" w:hAnsi="MingLiU" w:eastAsia="MingLiU"/>
      <w:sz w:val="17"/>
      <w:szCs w:val="17"/>
    </w:rPr>
  </w:style>
  <w:style w:type="character" w:customStyle="1" w:styleId="14">
    <w:name w:val="正文文本2"/>
    <w:uiPriority w:val="99"/>
    <w:rPr>
      <w:rFonts w:ascii="MingLiU" w:hAnsi="MingLiU" w:eastAsia="MingLiU" w:cs="MingLiU"/>
      <w:color w:val="39383A"/>
      <w:spacing w:val="0"/>
      <w:w w:val="100"/>
      <w:kern w:val="2"/>
      <w:position w:val="0"/>
      <w:sz w:val="17"/>
      <w:szCs w:val="17"/>
      <w:u w:val="none"/>
      <w:lang w:val="zh-CN"/>
    </w:rPr>
  </w:style>
  <w:style w:type="character" w:customStyle="1" w:styleId="15">
    <w:name w:val="正文文本 + Arial Unicode MS27"/>
    <w:qFormat/>
    <w:uiPriority w:val="99"/>
    <w:rPr>
      <w:rFonts w:ascii="Arial Unicode MS" w:hAnsi="Arial Unicode MS" w:eastAsia="Times New Roman" w:cs="Arial Unicode MS"/>
      <w:color w:val="39383A"/>
      <w:spacing w:val="0"/>
      <w:w w:val="100"/>
      <w:kern w:val="2"/>
      <w:position w:val="0"/>
      <w:sz w:val="16"/>
      <w:szCs w:val="16"/>
      <w:u w:val="none"/>
      <w:lang w:val="zh-CN"/>
    </w:rPr>
  </w:style>
  <w:style w:type="character" w:customStyle="1" w:styleId="16">
    <w:name w:val="正文文本4"/>
    <w:uiPriority w:val="99"/>
    <w:rPr>
      <w:rFonts w:ascii="MingLiU" w:hAnsi="MingLiU" w:eastAsia="MingLiU" w:cs="MingLiU"/>
      <w:color w:val="auto"/>
      <w:spacing w:val="0"/>
      <w:w w:val="100"/>
      <w:kern w:val="2"/>
      <w:position w:val="0"/>
      <w:sz w:val="17"/>
      <w:szCs w:val="17"/>
      <w:u w:val="none"/>
      <w:lang w:val="zh-CN"/>
    </w:rPr>
  </w:style>
  <w:style w:type="character" w:customStyle="1" w:styleId="17">
    <w:name w:val="正文文本 + 间距 2 pt5"/>
    <w:uiPriority w:val="99"/>
    <w:rPr>
      <w:rFonts w:ascii="MingLiU" w:hAnsi="MingLiU" w:eastAsia="MingLiU" w:cs="MingLiU"/>
      <w:color w:val="39383A"/>
      <w:spacing w:val="40"/>
      <w:w w:val="100"/>
      <w:kern w:val="2"/>
      <w:position w:val="0"/>
      <w:sz w:val="17"/>
      <w:szCs w:val="17"/>
      <w:u w:val="none"/>
      <w:lang w:val="zh-CN"/>
    </w:rPr>
  </w:style>
  <w:style w:type="character" w:customStyle="1" w:styleId="18">
    <w:name w:val="正文文本 + 间距 2 pt4"/>
    <w:qFormat/>
    <w:uiPriority w:val="99"/>
    <w:rPr>
      <w:rFonts w:ascii="MingLiU" w:hAnsi="MingLiU" w:eastAsia="MingLiU" w:cs="MingLiU"/>
      <w:color w:val="auto"/>
      <w:spacing w:val="40"/>
      <w:w w:val="100"/>
      <w:kern w:val="2"/>
      <w:position w:val="0"/>
      <w:sz w:val="17"/>
      <w:szCs w:val="17"/>
      <w:u w:val="none"/>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2024-08-01T15:28:00Z</dcterms:created>
  <dc:creator>若楠</dc:creator>
  <cp:lastModifiedBy>演示人</cp:lastModifiedBy>
  <dcterms:modified xsi:type="dcterms:W3CDTF">2024-11-22T07:05:52Z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2C97E7395BD566A8DD5135673FB92664_43</vt:lpwstr>
  </property>
</Properties>
</file>