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90" w:lineRule="exact"/>
        <w:jc w:val="center"/>
        <w:rPr>
          <w:rFonts w:ascii="华文中宋" w:hAnsi="华文中宋" w:eastAsia="华文中宋"/>
          <w:b/>
          <w:color w:val="FF0000"/>
          <w:spacing w:val="30"/>
          <w:sz w:val="30"/>
          <w:szCs w:val="30"/>
        </w:rPr>
      </w:pPr>
    </w:p>
    <w:p>
      <w:pPr>
        <w:spacing w:line="790" w:lineRule="exact"/>
        <w:jc w:val="center"/>
        <w:rPr>
          <w:rFonts w:ascii="华文中宋" w:hAnsi="华文中宋" w:eastAsia="华文中宋"/>
          <w:b/>
          <w:color w:val="FF0000"/>
          <w:spacing w:val="30"/>
          <w:sz w:val="30"/>
          <w:szCs w:val="30"/>
        </w:rPr>
      </w:pPr>
    </w:p>
    <w:p>
      <w:pPr>
        <w:jc w:val="distribute"/>
        <w:rPr>
          <w:rFonts w:ascii="方正小标宋简体" w:hAnsi="宋体" w:eastAsia="方正小标宋简体"/>
          <w:color w:val="FF0000"/>
          <w:spacing w:val="-20"/>
          <w:w w:val="60"/>
          <w:sz w:val="100"/>
          <w:szCs w:val="100"/>
        </w:rPr>
      </w:pPr>
      <w:r>
        <w:rPr>
          <w:rFonts w:hint="eastAsia" w:ascii="方正小标宋简体" w:hAnsi="宋体" w:eastAsia="方正小标宋简体"/>
          <w:color w:val="FF0000"/>
          <w:spacing w:val="-20"/>
          <w:w w:val="60"/>
          <w:sz w:val="100"/>
          <w:szCs w:val="100"/>
        </w:rPr>
        <w:t>北京市大兴区卫生健康委员会文件</w:t>
      </w:r>
    </w:p>
    <w:p>
      <w:pPr>
        <w:spacing w:line="560" w:lineRule="exact"/>
        <w:jc w:val="center"/>
        <w:rPr>
          <w:rFonts w:hint="eastAsia" w:ascii="仿宋_GB2312" w:hAnsi="仿宋" w:eastAsia="仿宋_GB2312"/>
          <w:sz w:val="32"/>
          <w:szCs w:val="32"/>
        </w:rPr>
      </w:pPr>
    </w:p>
    <w:p>
      <w:pPr>
        <w:spacing w:line="560" w:lineRule="exact"/>
        <w:jc w:val="center"/>
        <w:rPr>
          <w:rFonts w:ascii="仿宋_GB2312" w:hAnsi="仿宋" w:eastAsia="仿宋_GB2312"/>
          <w:sz w:val="32"/>
          <w:szCs w:val="32"/>
        </w:rPr>
      </w:pPr>
    </w:p>
    <w:p>
      <w:pPr>
        <w:widowControl/>
        <w:jc w:val="center"/>
        <w:rPr>
          <w:rFonts w:ascii="仿宋_GB2312" w:hAnsi="华文中宋" w:eastAsia="仿宋_GB2312"/>
          <w:sz w:val="32"/>
          <w:szCs w:val="32"/>
        </w:rPr>
      </w:pPr>
      <w:r>
        <w:rPr>
          <w:rFonts w:ascii="仿宋_GB2312" w:hAnsi="华文中宋" w:eastAsia="仿宋_GB2312"/>
          <w:sz w:val="32"/>
          <w:szCs w:val="32"/>
        </w:rPr>
        <w:t>京兴政卫发〔20</w:t>
      </w:r>
      <w:r>
        <w:rPr>
          <w:rFonts w:hint="eastAsia" w:ascii="仿宋_GB2312" w:hAnsi="华文中宋" w:eastAsia="仿宋_GB2312"/>
          <w:sz w:val="32"/>
          <w:szCs w:val="32"/>
          <w:lang w:val="en-US" w:eastAsia="zh-CN"/>
        </w:rPr>
        <w:t>26</w:t>
      </w:r>
      <w:r>
        <w:rPr>
          <w:rFonts w:ascii="仿宋_GB2312" w:hAnsi="华文中宋" w:eastAsia="仿宋_GB2312"/>
          <w:sz w:val="32"/>
          <w:szCs w:val="32"/>
        </w:rPr>
        <w:t>〕</w:t>
      </w:r>
      <w:r>
        <w:rPr>
          <w:rFonts w:hint="eastAsia" w:ascii="仿宋_GB2312" w:hAnsi="华文中宋" w:eastAsia="仿宋_GB2312"/>
          <w:sz w:val="32"/>
          <w:szCs w:val="32"/>
          <w:lang w:val="en-US" w:eastAsia="zh-CN"/>
        </w:rPr>
        <w:t>13</w:t>
      </w:r>
      <w:r>
        <w:rPr>
          <w:rFonts w:ascii="仿宋_GB2312" w:hAnsi="华文中宋" w:eastAsia="仿宋_GB2312"/>
          <w:sz w:val="32"/>
          <w:szCs w:val="32"/>
        </w:rPr>
        <w:t>号</w:t>
      </w:r>
    </w:p>
    <w:p>
      <w:pPr>
        <w:spacing w:line="540" w:lineRule="exact"/>
        <w:jc w:val="center"/>
        <w:rPr>
          <w:rFonts w:ascii="仿宋_GB2312" w:hAnsi="仿宋" w:eastAsia="仿宋_GB2312"/>
          <w:sz w:val="32"/>
          <w:szCs w:val="32"/>
        </w:rPr>
      </w:pPr>
      <w:r>
        <w:rPr>
          <w:rFonts w:ascii="方正小标宋简体" w:hAnsi="华文中宋" w:eastAsia="方正小标宋简体"/>
          <w:sz w:val="36"/>
          <w:szCs w:val="36"/>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32385</wp:posOffset>
                </wp:positionV>
                <wp:extent cx="5600700" cy="0"/>
                <wp:effectExtent l="0" t="9525" r="0" b="9525"/>
                <wp:wrapNone/>
                <wp:docPr id="1" name="直线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2pt;margin-top:2.55pt;height:0pt;width:441pt;z-index:251659264;mso-width-relative:page;mso-height-relative:page;" filled="f" stroked="t" coordsize="21600,21600" o:gfxdata="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cbe/zTAAAABAEAAA8AAAAAAAAAAQAgAAAAIgAAAGRycy9k&#10;b3ducmV2LnhtbFBLAQIUABQAAAAIAIdO4kAq1hFzzgEAAI4DAAAOAAAAAAAAAAEAIAAAACIBAABk&#10;cnMvZTJvRG9jLnhtbFBLBQYAAAAABgAGAFkBAABiBQAAAAA=&#10;">
                <v:fill on="f" focussize="0,0"/>
                <v:stroke weight="1.5pt" color="#FF0000" joinstyle="round"/>
                <v:imagedata o:title=""/>
                <o:lock v:ext="edit" aspectratio="f"/>
              </v:line>
            </w:pict>
          </mc:Fallback>
        </mc:AlternateContent>
      </w:r>
    </w:p>
    <w:p>
      <w:pPr>
        <w:spacing w:line="540" w:lineRule="exact"/>
        <w:jc w:val="center"/>
        <w:rPr>
          <w:rFonts w:ascii="仿宋_GB2312" w:hAnsi="仿宋" w:eastAsia="仿宋_GB2312"/>
          <w:sz w:val="32"/>
          <w:szCs w:val="32"/>
        </w:rPr>
      </w:pPr>
    </w:p>
    <w:p>
      <w:pPr>
        <w:spacing w:line="540" w:lineRule="exact"/>
        <w:jc w:val="center"/>
        <w:rPr>
          <w:rFonts w:ascii="方正小标宋简体" w:hAnsi="华文中宋" w:eastAsia="方正小标宋简体"/>
          <w:w w:val="97"/>
          <w:sz w:val="44"/>
          <w:szCs w:val="44"/>
        </w:rPr>
      </w:pPr>
      <w:r>
        <w:rPr>
          <w:rFonts w:hint="eastAsia" w:ascii="方正小标宋简体" w:hAnsi="华文中宋" w:eastAsia="方正小标宋简体"/>
          <w:w w:val="97"/>
          <w:sz w:val="44"/>
          <w:szCs w:val="44"/>
        </w:rPr>
        <w:t>北京市大兴区卫生健康委员会</w:t>
      </w:r>
    </w:p>
    <w:p>
      <w:pPr>
        <w:spacing w:line="540" w:lineRule="exact"/>
        <w:jc w:val="center"/>
        <w:rPr>
          <w:rFonts w:ascii="方正小标宋简体" w:hAnsi="华文中宋" w:eastAsia="方正小标宋简体"/>
          <w:w w:val="97"/>
          <w:sz w:val="44"/>
          <w:szCs w:val="44"/>
        </w:rPr>
      </w:pPr>
      <w:r>
        <w:rPr>
          <w:rFonts w:hint="eastAsia" w:ascii="方正小标宋简体" w:hAnsi="华文中宋" w:eastAsia="方正小标宋简体"/>
          <w:w w:val="97"/>
          <w:sz w:val="44"/>
          <w:szCs w:val="44"/>
        </w:rPr>
        <w:t>关于</w:t>
      </w:r>
      <w:r>
        <w:rPr>
          <w:rFonts w:hint="eastAsia" w:ascii="方正小标宋简体" w:hAnsi="华文中宋" w:eastAsia="方正小标宋简体"/>
          <w:w w:val="97"/>
          <w:sz w:val="44"/>
          <w:szCs w:val="44"/>
          <w:lang w:eastAsia="zh-CN"/>
        </w:rPr>
        <w:t>印发《大兴区</w:t>
      </w:r>
      <w:r>
        <w:rPr>
          <w:rFonts w:hint="eastAsia" w:ascii="方正小标宋简体" w:hAnsi="华文中宋" w:eastAsia="方正小标宋简体"/>
          <w:w w:val="97"/>
          <w:sz w:val="44"/>
          <w:szCs w:val="44"/>
          <w:lang w:val="en-US" w:eastAsia="zh-CN"/>
        </w:rPr>
        <w:t>2026年度医师定期考核工作方案</w:t>
      </w:r>
      <w:r>
        <w:rPr>
          <w:rFonts w:hint="eastAsia" w:ascii="方正小标宋简体" w:hAnsi="华文中宋" w:eastAsia="方正小标宋简体"/>
          <w:w w:val="97"/>
          <w:sz w:val="44"/>
          <w:szCs w:val="44"/>
          <w:lang w:eastAsia="zh-CN"/>
        </w:rPr>
        <w:t>》</w:t>
      </w:r>
      <w:r>
        <w:rPr>
          <w:rFonts w:hint="eastAsia" w:ascii="方正小标宋简体" w:hAnsi="华文中宋" w:eastAsia="方正小标宋简体"/>
          <w:w w:val="97"/>
          <w:sz w:val="44"/>
          <w:szCs w:val="44"/>
        </w:rPr>
        <w:t>的通知</w:t>
      </w:r>
    </w:p>
    <w:p>
      <w:pPr>
        <w:spacing w:line="540" w:lineRule="exact"/>
        <w:rPr>
          <w:rFonts w:ascii="华文中宋" w:hAnsi="华文中宋" w:eastAsia="华文中宋"/>
          <w:sz w:val="44"/>
          <w:szCs w:val="44"/>
        </w:rPr>
      </w:pPr>
    </w:p>
    <w:p>
      <w:pPr>
        <w:spacing w:line="540" w:lineRule="exact"/>
        <w:rPr>
          <w:rFonts w:ascii="仿宋_GB2312" w:hAnsi="华文中宋" w:eastAsia="仿宋_GB2312"/>
          <w:sz w:val="32"/>
          <w:szCs w:val="32"/>
        </w:rPr>
      </w:pPr>
      <w:r>
        <w:rPr>
          <w:rFonts w:hint="eastAsia" w:ascii="仿宋_GB2312" w:hAnsi="华文中宋" w:eastAsia="仿宋_GB2312"/>
          <w:sz w:val="32"/>
          <w:szCs w:val="32"/>
          <w:lang w:eastAsia="zh-CN"/>
        </w:rPr>
        <w:t>各医疗卫生机构</w:t>
      </w:r>
      <w:r>
        <w:rPr>
          <w:rFonts w:hint="eastAsia" w:ascii="仿宋_GB2312" w:hAnsi="华文中宋" w:eastAsia="仿宋_GB2312"/>
          <w:sz w:val="32"/>
          <w:szCs w:val="32"/>
        </w:rPr>
        <w:t>：</w:t>
      </w:r>
    </w:p>
    <w:p>
      <w:pPr>
        <w:tabs>
          <w:tab w:val="left" w:pos="2127"/>
          <w:tab w:val="left" w:pos="3828"/>
        </w:tabs>
        <w:spacing w:line="54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eastAsia="zh-CN"/>
        </w:rPr>
        <w:t>为严谨有序地开展北京市</w:t>
      </w:r>
      <w:r>
        <w:rPr>
          <w:rFonts w:hint="eastAsia" w:ascii="仿宋_GB2312" w:hAnsi="仿宋" w:eastAsia="仿宋_GB2312"/>
          <w:sz w:val="32"/>
          <w:szCs w:val="32"/>
          <w:lang w:val="en-US" w:eastAsia="zh-CN"/>
        </w:rPr>
        <w:t>2026年度医师定期考核工作，</w:t>
      </w:r>
      <w:r>
        <w:rPr>
          <w:rFonts w:hint="eastAsia" w:ascii="仿宋_GB2312" w:hAnsi="仿宋" w:eastAsia="仿宋_GB2312"/>
          <w:sz w:val="32"/>
          <w:szCs w:val="32"/>
          <w:lang w:eastAsia="zh-CN"/>
        </w:rPr>
        <w:t>加强对执业医师的规范化管理，提高医师素质，切实保障医疗质量和医疗安全，根据《北京市</w:t>
      </w:r>
      <w:r>
        <w:rPr>
          <w:rFonts w:hint="eastAsia" w:ascii="仿宋_GB2312" w:hAnsi="仿宋" w:eastAsia="仿宋_GB2312"/>
          <w:sz w:val="32"/>
          <w:szCs w:val="32"/>
          <w:lang w:val="en-US" w:eastAsia="zh-CN"/>
        </w:rPr>
        <w:t>2026年度医师定期考核工作方案</w:t>
      </w:r>
      <w:r>
        <w:rPr>
          <w:rFonts w:hint="eastAsia" w:ascii="仿宋_GB2312" w:hAnsi="仿宋" w:eastAsia="仿宋_GB2312"/>
          <w:sz w:val="32"/>
          <w:szCs w:val="32"/>
          <w:lang w:eastAsia="zh-CN"/>
        </w:rPr>
        <w:t>》及相关文件要求，区卫生健康委组织制定了《大兴区2026年度医师定期考核工作方案》，现印发给你们，请遵照执行。</w:t>
      </w:r>
    </w:p>
    <w:p>
      <w:pPr>
        <w:tabs>
          <w:tab w:val="left" w:pos="2127"/>
          <w:tab w:val="left" w:pos="3828"/>
        </w:tabs>
        <w:spacing w:line="540" w:lineRule="exact"/>
        <w:ind w:firstLine="640" w:firstLineChars="200"/>
        <w:rPr>
          <w:rFonts w:ascii="仿宋_GB2312" w:hAnsi="仿宋" w:eastAsia="仿宋_GB2312"/>
          <w:sz w:val="32"/>
          <w:szCs w:val="32"/>
        </w:rPr>
      </w:pPr>
    </w:p>
    <w:p>
      <w:pPr>
        <w:tabs>
          <w:tab w:val="left" w:pos="2127"/>
          <w:tab w:val="left" w:pos="3828"/>
        </w:tabs>
        <w:spacing w:line="540" w:lineRule="exact"/>
        <w:rPr>
          <w:rFonts w:hint="eastAsia" w:ascii="仿宋_GB2312" w:hAnsi="仿宋" w:eastAsia="仿宋_GB2312"/>
          <w:sz w:val="32"/>
          <w:szCs w:val="32"/>
          <w:lang w:eastAsia="zh-CN"/>
        </w:rPr>
      </w:pPr>
    </w:p>
    <w:p>
      <w:pPr>
        <w:tabs>
          <w:tab w:val="left" w:pos="2127"/>
          <w:tab w:val="left" w:pos="3828"/>
        </w:tabs>
        <w:spacing w:line="540" w:lineRule="exact"/>
        <w:ind w:firstLine="640" w:firstLineChars="200"/>
        <w:rPr>
          <w:rFonts w:hint="eastAsia" w:ascii="仿宋_GB2312" w:hAnsi="仿宋" w:eastAsia="仿宋_GB2312"/>
          <w:sz w:val="32"/>
          <w:szCs w:val="32"/>
          <w:lang w:eastAsia="zh-CN"/>
        </w:rPr>
      </w:pPr>
    </w:p>
    <w:p>
      <w:pPr>
        <w:spacing w:line="540" w:lineRule="exact"/>
        <w:ind w:firstLine="4320" w:firstLineChars="1350"/>
        <w:rPr>
          <w:rFonts w:ascii="仿宋_GB2312" w:hAnsi="仿宋" w:eastAsia="仿宋_GB2312"/>
          <w:sz w:val="32"/>
          <w:szCs w:val="32"/>
        </w:rPr>
      </w:pPr>
      <w:r>
        <w:rPr>
          <w:rFonts w:hint="eastAsia" w:ascii="仿宋_GB2312" w:hAnsi="仿宋" w:eastAsia="仿宋_GB2312"/>
          <w:sz w:val="32"/>
          <w:szCs w:val="32"/>
        </w:rPr>
        <w:t>北京市大兴区卫生健康委员会</w:t>
      </w:r>
    </w:p>
    <w:p>
      <w:pPr>
        <w:spacing w:line="540" w:lineRule="exact"/>
        <w:ind w:firstLine="5280" w:firstLineChars="1650"/>
        <w:rPr>
          <w:rFonts w:ascii="仿宋_GB2312" w:hAnsi="仿宋" w:eastAsia="仿宋_GB2312"/>
          <w:sz w:val="32"/>
          <w:szCs w:val="32"/>
        </w:rPr>
      </w:pPr>
      <w:r>
        <w:rPr>
          <w:rFonts w:hint="eastAsia" w:ascii="仿宋_GB2312" w:hAnsi="仿宋" w:eastAsia="仿宋_GB2312"/>
          <w:sz w:val="32"/>
          <w:szCs w:val="32"/>
        </w:rPr>
        <w:t>20</w:t>
      </w:r>
      <w:r>
        <w:rPr>
          <w:rFonts w:hint="eastAsia" w:ascii="仿宋_GB2312" w:hAnsi="仿宋" w:eastAsia="仿宋_GB2312"/>
          <w:sz w:val="32"/>
          <w:szCs w:val="32"/>
          <w:lang w:val="en-US" w:eastAsia="zh-CN"/>
        </w:rPr>
        <w:t>26</w:t>
      </w:r>
      <w:r>
        <w:rPr>
          <w:rFonts w:hint="eastAsia" w:ascii="仿宋_GB2312" w:hAnsi="仿宋" w:eastAsia="仿宋_GB2312"/>
          <w:sz w:val="32"/>
          <w:szCs w:val="32"/>
        </w:rPr>
        <w:t>年</w:t>
      </w:r>
      <w:r>
        <w:rPr>
          <w:rFonts w:hint="eastAsia" w:ascii="仿宋_GB2312" w:hAnsi="仿宋" w:eastAsia="仿宋_GB2312"/>
          <w:sz w:val="32"/>
          <w:szCs w:val="32"/>
          <w:lang w:val="en-US" w:eastAsia="zh-CN"/>
        </w:rPr>
        <w:t>3</w:t>
      </w:r>
      <w:r>
        <w:rPr>
          <w:rFonts w:hint="eastAsia" w:ascii="仿宋_GB2312" w:hAnsi="仿宋" w:eastAsia="仿宋_GB2312"/>
          <w:sz w:val="32"/>
          <w:szCs w:val="32"/>
        </w:rPr>
        <w:t>月</w:t>
      </w:r>
      <w:r>
        <w:rPr>
          <w:rFonts w:hint="eastAsia" w:ascii="仿宋_GB2312" w:hAnsi="仿宋" w:eastAsia="仿宋_GB2312"/>
          <w:sz w:val="32"/>
          <w:szCs w:val="32"/>
          <w:lang w:val="en-US" w:eastAsia="zh-CN"/>
        </w:rPr>
        <w:t>4</w:t>
      </w:r>
      <w:r>
        <w:rPr>
          <w:rFonts w:hint="eastAsia" w:ascii="仿宋_GB2312" w:hAnsi="仿宋" w:eastAsia="仿宋_GB2312"/>
          <w:sz w:val="32"/>
          <w:szCs w:val="32"/>
        </w:rPr>
        <w:t>日</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（联系人：</w:t>
      </w:r>
      <w:r>
        <w:rPr>
          <w:rFonts w:hint="eastAsia" w:ascii="仿宋_GB2312" w:hAnsi="华文中宋" w:eastAsia="仿宋_GB2312"/>
          <w:w w:val="97"/>
          <w:sz w:val="32"/>
          <w:szCs w:val="32"/>
          <w:lang w:eastAsia="zh-CN"/>
        </w:rPr>
        <w:t>冯云彬</w:t>
      </w:r>
      <w:r>
        <w:rPr>
          <w:rFonts w:hint="eastAsia" w:ascii="仿宋_GB2312" w:hAnsi="仿宋" w:eastAsia="仿宋_GB2312"/>
          <w:sz w:val="32"/>
          <w:szCs w:val="32"/>
        </w:rPr>
        <w:t>；联系电话：</w:t>
      </w:r>
      <w:r>
        <w:rPr>
          <w:rFonts w:hint="eastAsia" w:ascii="仿宋_GB2312" w:hAnsi="华文中宋" w:eastAsia="仿宋_GB2312"/>
          <w:w w:val="97"/>
          <w:sz w:val="32"/>
          <w:szCs w:val="32"/>
          <w:lang w:val="en-US" w:eastAsia="zh-CN"/>
        </w:rPr>
        <w:t>61211687</w:t>
      </w:r>
      <w:r>
        <w:rPr>
          <w:rFonts w:hint="eastAsia" w:ascii="仿宋_GB2312" w:hAnsi="仿宋" w:eastAsia="仿宋_GB2312"/>
          <w:sz w:val="32"/>
          <w:szCs w:val="32"/>
        </w:rPr>
        <w:t>）</w:t>
      </w: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ind w:firstLine="640" w:firstLineChars="200"/>
        <w:rPr>
          <w:rFonts w:hint="eastAsia" w:ascii="仿宋_GB2312" w:hAnsi="仿宋" w:eastAsia="仿宋_GB2312"/>
          <w:sz w:val="32"/>
          <w:szCs w:val="32"/>
        </w:rPr>
      </w:pPr>
    </w:p>
    <w:p>
      <w:pPr>
        <w:spacing w:line="560" w:lineRule="exact"/>
        <w:rPr>
          <w:rFonts w:hint="eastAsia" w:ascii="仿宋_GB2312" w:hAnsi="仿宋" w:eastAsia="仿宋_GB2312"/>
          <w:sz w:val="32"/>
          <w:szCs w:val="32"/>
          <w:lang w:val="en-US" w:eastAsia="zh-CN"/>
        </w:rPr>
      </w:pPr>
    </w:p>
    <w:p>
      <w:pPr>
        <w:spacing w:line="560" w:lineRule="exact"/>
        <w:rPr>
          <w:rFonts w:hint="eastAsia" w:ascii="仿宋_GB2312" w:hAnsi="仿宋" w:eastAsia="仿宋_GB2312"/>
          <w:sz w:val="32"/>
          <w:szCs w:val="32"/>
          <w:lang w:val="en-US" w:eastAsia="zh-CN"/>
        </w:rPr>
      </w:pPr>
    </w:p>
    <w:p>
      <w:pPr>
        <w:spacing w:line="560" w:lineRule="exact"/>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w:t>
      </w:r>
    </w:p>
    <w:p>
      <w:pPr>
        <w:bidi w:val="0"/>
        <w:jc w:val="left"/>
        <w:rPr>
          <w:rFonts w:hint="default" w:ascii="Times New Roman" w:hAnsi="Times New Roman" w:eastAsia="宋体" w:cs="Times New Roman"/>
          <w:kern w:val="2"/>
          <w:sz w:val="21"/>
          <w:szCs w:val="24"/>
          <w:lang w:val="en-US" w:eastAsia="zh-CN" w:bidi="ar-SA"/>
        </w:rPr>
      </w:pPr>
    </w:p>
    <w:p>
      <w:pPr>
        <w:spacing w:line="560" w:lineRule="exact"/>
        <w:ind w:firstLine="280" w:firstLineChars="100"/>
        <w:rPr>
          <w:sz w:val="28"/>
          <w:szCs w:val="28"/>
        </w:rPr>
      </w:pPr>
      <w:r>
        <w:rPr>
          <w:rFonts w:ascii="仿宋_GB2312"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53340</wp:posOffset>
                </wp:positionV>
                <wp:extent cx="5636895" cy="0"/>
                <wp:effectExtent l="0" t="0" r="0" b="0"/>
                <wp:wrapNone/>
                <wp:docPr id="4" name="自选图形 4"/>
                <wp:cNvGraphicFramePr/>
                <a:graphic xmlns:a="http://schemas.openxmlformats.org/drawingml/2006/main">
                  <a:graphicData uri="http://schemas.microsoft.com/office/word/2010/wordprocessingShape">
                    <wps:wsp>
                      <wps:cNvCnPr/>
                      <wps:spPr>
                        <a:xfrm>
                          <a:off x="0" y="0"/>
                          <a:ext cx="5636895" cy="0"/>
                        </a:xfrm>
                        <a:prstGeom prst="straightConnector1">
                          <a:avLst/>
                        </a:prstGeom>
                        <a:ln w="12600"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0.15pt;margin-top:4.2pt;height:0pt;width:443.85pt;z-index:251661312;mso-width-relative:page;mso-height-relative:page;" filled="f" stroked="t" coordsize="21600,21600" o:gfxdata="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d/RaNMAAAAEAQAADwAAAAAAAAAB&#10;ACAAAAAiAAAAZHJzL2Rvd25yZXYueG1sUEsBAhQAFAAAAAgAh07iQJnky+vcAQAAlgMAAA4AAAAA&#10;AAAAAQAgAAAAIgEAAGRycy9lMm9Eb2MueG1sUEsFBgAAAAAGAAYAWQEAAHAFAAAAAA==&#10;">
                <v:fill on="f" focussize="0,0"/>
                <v:stroke weight="0.992125984251969pt" color="#000000" joinstyle="round"/>
                <v:imagedata o:title=""/>
                <o:lock v:ext="edit" aspectratio="f"/>
              </v:shape>
            </w:pict>
          </mc:Fallback>
        </mc:AlternateContent>
      </w:r>
      <w:r>
        <w:rPr>
          <w:rFonts w:ascii="仿宋_GB2312" w:eastAsia="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361950</wp:posOffset>
                </wp:positionV>
                <wp:extent cx="5636895" cy="0"/>
                <wp:effectExtent l="0" t="0" r="0" b="0"/>
                <wp:wrapNone/>
                <wp:docPr id="3" name="自选图形 3"/>
                <wp:cNvGraphicFramePr/>
                <a:graphic xmlns:a="http://schemas.openxmlformats.org/drawingml/2006/main">
                  <a:graphicData uri="http://schemas.microsoft.com/office/word/2010/wordprocessingShape">
                    <wps:wsp>
                      <wps:cNvCnPr/>
                      <wps:spPr>
                        <a:xfrm>
                          <a:off x="0" y="0"/>
                          <a:ext cx="5636895" cy="0"/>
                        </a:xfrm>
                        <a:prstGeom prst="straightConnector1">
                          <a:avLst/>
                        </a:prstGeom>
                        <a:ln w="1260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0.45pt;margin-top:28.5pt;height:0pt;width:443.85pt;z-index:251660288;mso-width-relative:page;mso-height-relative:page;" filled="f" stroked="t" coordsize="21600,21600" o:gfxdata="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qSy8NYAAAAHAQAADwAAAAAA&#10;AAABACAAAAAiAAAAZHJzL2Rvd25yZXYueG1sUEsBAhQAFAAAAAgAh07iQCcmgZTcAQAAlgMAAA4A&#10;AAAAAAAAAQAgAAAAJQEAAGRycy9lMm9Eb2MueG1sUEsFBgAAAAAGAAYAWQEAAHMFAAAAAA==&#10;">
                <v:fill on="f" focussize="0,0"/>
                <v:stroke weight="0.992125984251969pt" color="#000000" joinstyle="round"/>
                <v:imagedata o:title=""/>
                <o:lock v:ext="edit" aspectratio="f"/>
              </v:shape>
            </w:pict>
          </mc:Fallback>
        </mc:AlternateContent>
      </w:r>
      <w:r>
        <w:rPr>
          <w:rFonts w:hint="eastAsia" w:ascii="仿宋_GB2312" w:eastAsia="仿宋_GB2312"/>
          <w:sz w:val="28"/>
          <w:szCs w:val="28"/>
        </w:rPr>
        <w:t>北京市大兴区卫生健康委员会办公室        20</w:t>
      </w:r>
      <w:r>
        <w:rPr>
          <w:rFonts w:hint="eastAsia" w:ascii="仿宋_GB2312" w:eastAsia="仿宋_GB2312"/>
          <w:sz w:val="28"/>
          <w:szCs w:val="28"/>
          <w:lang w:val="en-US" w:eastAsia="zh-CN"/>
        </w:rPr>
        <w:t>26</w:t>
      </w:r>
      <w:r>
        <w:rPr>
          <w:rFonts w:hint="eastAsia" w:ascii="仿宋_GB2312" w:eastAsia="仿宋_GB2312"/>
          <w:sz w:val="28"/>
          <w:szCs w:val="28"/>
        </w:rPr>
        <w:t>年</w:t>
      </w:r>
      <w:r>
        <w:rPr>
          <w:rFonts w:hint="eastAsia" w:ascii="仿宋_GB2312" w:eastAsia="仿宋_GB2312"/>
          <w:sz w:val="28"/>
          <w:szCs w:val="28"/>
          <w:lang w:val="en-US" w:eastAsia="zh-CN"/>
        </w:rPr>
        <w:t>3</w:t>
      </w:r>
      <w:r>
        <w:rPr>
          <w:rFonts w:hint="eastAsia" w:ascii="仿宋_GB2312" w:eastAsia="仿宋_GB2312"/>
          <w:sz w:val="28"/>
          <w:szCs w:val="28"/>
        </w:rPr>
        <w:t>月</w:t>
      </w:r>
      <w:r>
        <w:rPr>
          <w:rFonts w:hint="eastAsia" w:ascii="仿宋_GB2312" w:eastAsia="仿宋_GB2312"/>
          <w:sz w:val="28"/>
          <w:szCs w:val="28"/>
          <w:lang w:val="en-US" w:eastAsia="zh-CN"/>
        </w:rPr>
        <w:t>4</w:t>
      </w:r>
      <w:bookmarkStart w:id="150" w:name="_GoBack"/>
      <w:bookmarkEnd w:id="150"/>
      <w:r>
        <w:rPr>
          <w:rFonts w:hint="eastAsia" w:ascii="仿宋_GB2312" w:eastAsia="仿宋_GB2312"/>
          <w:sz w:val="28"/>
          <w:szCs w:val="28"/>
        </w:rPr>
        <w:t>日印发</w:t>
      </w:r>
    </w:p>
    <w:p>
      <w:pPr>
        <w:keepNext w:val="0"/>
        <w:keepLines w:val="0"/>
        <w:pageBreakBefore w:val="0"/>
        <w:kinsoku/>
        <w:wordWrap/>
        <w:overflowPunct/>
        <w:topLinePunct w:val="0"/>
        <w:autoSpaceDE/>
        <w:autoSpaceDN/>
        <w:bidi w:val="0"/>
        <w:spacing w:line="560" w:lineRule="exact"/>
        <w:ind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北京市大兴区</w:t>
      </w:r>
    </w:p>
    <w:p>
      <w:pPr>
        <w:keepNext w:val="0"/>
        <w:keepLines w:val="0"/>
        <w:pageBreakBefore w:val="0"/>
        <w:kinsoku/>
        <w:wordWrap/>
        <w:overflowPunct/>
        <w:topLinePunct w:val="0"/>
        <w:autoSpaceDE/>
        <w:autoSpaceDN/>
        <w:bidi w:val="0"/>
        <w:spacing w:line="560" w:lineRule="exact"/>
        <w:ind w:right="0" w:rightChars="0" w:firstLine="0" w:firstLineChars="0"/>
        <w:jc w:val="center"/>
        <w:textAlignment w:val="auto"/>
        <w:outlineLvl w:val="9"/>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val="0"/>
          <w:bCs/>
          <w:sz w:val="44"/>
          <w:szCs w:val="44"/>
        </w:rPr>
        <w:t>2</w:t>
      </w:r>
      <w:r>
        <w:rPr>
          <w:rFonts w:hint="eastAsia" w:ascii="方正小标宋简体" w:hAnsi="方正小标宋简体" w:eastAsia="方正小标宋简体" w:cs="方正小标宋简体"/>
          <w:b w:val="0"/>
          <w:bCs/>
          <w:sz w:val="44"/>
          <w:szCs w:val="44"/>
          <w:lang w:val="en-US" w:eastAsia="zh-CN"/>
        </w:rPr>
        <w:t>026</w:t>
      </w:r>
      <w:r>
        <w:rPr>
          <w:rFonts w:hint="eastAsia" w:ascii="方正小标宋简体" w:hAnsi="方正小标宋简体" w:eastAsia="方正小标宋简体" w:cs="方正小标宋简体"/>
          <w:b w:val="0"/>
          <w:bCs/>
          <w:sz w:val="44"/>
          <w:szCs w:val="44"/>
        </w:rPr>
        <w:t>年</w:t>
      </w:r>
      <w:r>
        <w:rPr>
          <w:rFonts w:hint="eastAsia" w:ascii="方正小标宋简体" w:hAnsi="方正小标宋简体" w:eastAsia="方正小标宋简体" w:cs="方正小标宋简体"/>
          <w:b w:val="0"/>
          <w:bCs/>
          <w:sz w:val="44"/>
          <w:szCs w:val="44"/>
          <w:lang w:eastAsia="zh-CN"/>
        </w:rPr>
        <w:t>度</w:t>
      </w:r>
      <w:r>
        <w:rPr>
          <w:rFonts w:hint="eastAsia" w:ascii="方正小标宋简体" w:hAnsi="方正小标宋简体" w:eastAsia="方正小标宋简体" w:cs="方正小标宋简体"/>
          <w:b w:val="0"/>
          <w:bCs/>
          <w:sz w:val="44"/>
          <w:szCs w:val="44"/>
        </w:rPr>
        <w:t>医师定期考核工作</w:t>
      </w:r>
      <w:r>
        <w:rPr>
          <w:rFonts w:hint="eastAsia" w:ascii="方正小标宋简体" w:hAnsi="方正小标宋简体" w:eastAsia="方正小标宋简体" w:cs="方正小标宋简体"/>
          <w:b w:val="0"/>
          <w:bCs/>
          <w:sz w:val="44"/>
          <w:szCs w:val="44"/>
          <w:lang w:eastAsia="zh-CN"/>
        </w:rPr>
        <w:t>方案</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jc w:val="both"/>
        <w:textAlignment w:val="auto"/>
        <w:outlineLvl w:val="9"/>
        <w:rPr>
          <w:rFonts w:hint="eastAsia" w:ascii="仿宋_GB2312" w:hAnsi="宋体" w:eastAsia="仿宋_GB2312" w:cs="宋体"/>
          <w:color w:val="333333"/>
          <w:kern w:val="0"/>
          <w:sz w:val="32"/>
          <w:szCs w:val="32"/>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eastAsia" w:ascii="仿宋_GB2312" w:hAnsi="宋体" w:eastAsia="仿宋_GB2312" w:cs="宋体"/>
          <w:color w:val="333333"/>
          <w:kern w:val="0"/>
          <w:sz w:val="32"/>
          <w:szCs w:val="32"/>
          <w:lang w:val="en-US" w:eastAsia="zh-CN" w:bidi="ar-SA"/>
        </w:rPr>
      </w:pPr>
      <w:r>
        <w:rPr>
          <w:rFonts w:hint="eastAsia" w:ascii="仿宋_GB2312" w:hAnsi="宋体" w:eastAsia="仿宋_GB2312" w:cs="宋体"/>
          <w:color w:val="333333"/>
          <w:kern w:val="0"/>
          <w:sz w:val="32"/>
          <w:szCs w:val="32"/>
          <w:lang w:val="en-US" w:eastAsia="zh-CN" w:bidi="ar-SA"/>
        </w:rPr>
        <w:t>为加强执业医师管理，做好2026年度医师定期考核工作，依据《中华人民共和国医师法》《北京市医师定期考核管理暂行办法》（京卫医〔2010〕85号）《北京市2026年度医师定期考核工作方案》（京卫医〔2025〕110号），结合实际，制定具体工作方案。要求如下：</w:t>
      </w:r>
    </w:p>
    <w:p>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jc w:val="left"/>
        <w:textAlignment w:val="auto"/>
        <w:outlineLvl w:val="9"/>
        <w:rPr>
          <w:rFonts w:hint="eastAsia" w:ascii="黑体" w:hAnsi="黑体" w:eastAsia="黑体" w:cs="黑体"/>
          <w:b w:val="0"/>
          <w:bCs w:val="0"/>
          <w:color w:val="333333"/>
          <w:kern w:val="0"/>
          <w:sz w:val="32"/>
          <w:szCs w:val="32"/>
          <w:lang w:val="en-US" w:eastAsia="zh-CN" w:bidi="ar-SA"/>
        </w:rPr>
      </w:pPr>
      <w:r>
        <w:rPr>
          <w:rFonts w:hint="eastAsia" w:ascii="黑体" w:hAnsi="黑体" w:eastAsia="黑体" w:cs="黑体"/>
          <w:b w:val="0"/>
          <w:bCs w:val="0"/>
          <w:color w:val="333333"/>
          <w:kern w:val="0"/>
          <w:sz w:val="32"/>
          <w:szCs w:val="32"/>
          <w:lang w:val="en-US" w:eastAsia="zh-CN" w:bidi="ar-SA"/>
        </w:rPr>
        <w:t xml:space="preserve">    一、组织管理</w:t>
      </w:r>
    </w:p>
    <w:p>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jc w:val="both"/>
        <w:textAlignment w:val="auto"/>
        <w:outlineLvl w:val="9"/>
        <w:rPr>
          <w:rFonts w:hint="eastAsia" w:ascii="仿宋_GB2312" w:hAnsi="仿宋_GB2312" w:eastAsia="仿宋_GB2312" w:cs="仿宋_GB2312"/>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 xml:space="preserve">    1.大兴区卫生人才教育服务中心作为辖区医师定期考核办公室，牵头负责医师定期考核的组织实施、沟通协调，考核数据汇总核对、审核上报等工作。</w:t>
      </w:r>
    </w:p>
    <w:p>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left"/>
        <w:textAlignment w:val="auto"/>
        <w:outlineLvl w:val="9"/>
        <w:rPr>
          <w:rFonts w:hint="eastAsia" w:ascii="仿宋_GB2312" w:hAnsi="仿宋_GB2312" w:eastAsia="仿宋_GB2312" w:cs="仿宋_GB2312"/>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2.各医疗机构作为考核实施主体，负责通知本单位医师按时限要求参加定期考核、组织报名、信息审核，医师职业道德、工作成绩的考核评定与结果确认。</w:t>
      </w:r>
    </w:p>
    <w:p>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default" w:ascii="黑体" w:hAnsi="黑体" w:eastAsia="黑体" w:cs="黑体"/>
          <w:b w:val="0"/>
          <w:bCs w:val="0"/>
          <w:color w:val="333333"/>
          <w:kern w:val="0"/>
          <w:sz w:val="32"/>
          <w:szCs w:val="32"/>
          <w:lang w:val="en-US" w:eastAsia="zh-CN" w:bidi="ar-SA"/>
        </w:rPr>
      </w:pPr>
      <w:r>
        <w:rPr>
          <w:rFonts w:hint="eastAsia" w:ascii="仿宋_GB2312" w:hAnsi="仿宋_GB2312" w:eastAsia="仿宋_GB2312" w:cs="仿宋_GB2312"/>
          <w:b w:val="0"/>
          <w:bCs w:val="0"/>
          <w:color w:val="333333"/>
          <w:kern w:val="0"/>
          <w:sz w:val="32"/>
          <w:szCs w:val="32"/>
          <w:lang w:val="en-US" w:eastAsia="zh-CN" w:bidi="ar-SA"/>
        </w:rPr>
        <w:t>3.医师个人须严格按照考核工作通知要求，按时完成报名、信息填报，依规参加业务水平测试等相关考核环节。</w:t>
      </w:r>
    </w:p>
    <w:p>
      <w:pPr>
        <w:keepNext w:val="0"/>
        <w:keepLines w:val="0"/>
        <w:pageBreakBefore w:val="0"/>
        <w:widowControl/>
        <w:numPr>
          <w:ilvl w:val="0"/>
          <w:numId w:val="0"/>
        </w:numPr>
        <w:kinsoku/>
        <w:wordWrap/>
        <w:overflowPunct/>
        <w:topLinePunct w:val="0"/>
        <w:autoSpaceDE/>
        <w:autoSpaceDN/>
        <w:bidi w:val="0"/>
        <w:adjustRightInd w:val="0"/>
        <w:snapToGrid w:val="0"/>
        <w:spacing w:before="0" w:beforeAutospacing="0" w:after="0" w:afterAutospacing="0" w:line="560" w:lineRule="exact"/>
        <w:ind w:right="0" w:rightChars="0" w:firstLine="640" w:firstLineChars="200"/>
        <w:jc w:val="both"/>
        <w:textAlignment w:val="auto"/>
        <w:outlineLvl w:val="9"/>
        <w:rPr>
          <w:rFonts w:hint="eastAsia" w:ascii="黑体" w:hAnsi="黑体" w:eastAsia="黑体" w:cs="黑体"/>
          <w:b w:val="0"/>
          <w:bCs w:val="0"/>
          <w:color w:val="333333"/>
          <w:kern w:val="0"/>
          <w:sz w:val="32"/>
          <w:szCs w:val="32"/>
          <w:lang w:val="en-US" w:eastAsia="zh-CN" w:bidi="ar-SA"/>
        </w:rPr>
      </w:pPr>
      <w:r>
        <w:rPr>
          <w:rFonts w:hint="eastAsia" w:ascii="黑体" w:hAnsi="黑体" w:eastAsia="黑体" w:cs="黑体"/>
          <w:b w:val="0"/>
          <w:bCs w:val="0"/>
          <w:color w:val="333333"/>
          <w:kern w:val="0"/>
          <w:sz w:val="32"/>
          <w:szCs w:val="32"/>
          <w:lang w:val="en-US" w:eastAsia="zh-CN" w:bidi="ar-SA"/>
        </w:rPr>
        <w:t>二、医师定期考核程序</w:t>
      </w:r>
    </w:p>
    <w:p>
      <w:pPr>
        <w:keepNext w:val="0"/>
        <w:keepLines w:val="0"/>
        <w:pageBreakBefore w:val="0"/>
        <w:widowControl w:val="0"/>
        <w:kinsoku/>
        <w:wordWrap/>
        <w:overflowPunct/>
        <w:topLinePunct w:val="0"/>
        <w:autoSpaceDE/>
        <w:autoSpaceDN/>
        <w:bidi w:val="0"/>
        <w:spacing w:line="56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2026年度医师定期考核周期自2024年至2026年。</w:t>
      </w:r>
    </w:p>
    <w:p>
      <w:pPr>
        <w:keepNext w:val="0"/>
        <w:keepLines w:val="0"/>
        <w:pageBreakBefore w:val="0"/>
        <w:widowControl/>
        <w:shd w:val="clear" w:color="auto" w:fill="FFFFFF"/>
        <w:kinsoku/>
        <w:wordWrap/>
        <w:overflowPunct/>
        <w:topLinePunct w:val="0"/>
        <w:autoSpaceDE/>
        <w:autoSpaceDN/>
        <w:bidi w:val="0"/>
        <w:spacing w:line="560" w:lineRule="exact"/>
        <w:ind w:left="638" w:leftChars="304" w:right="0" w:rightChars="0" w:firstLine="0" w:firstLineChars="0"/>
        <w:jc w:val="both"/>
        <w:textAlignment w:val="auto"/>
        <w:outlineLvl w:val="9"/>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北京市</w:t>
      </w:r>
      <w:r>
        <w:rPr>
          <w:rFonts w:hint="eastAsia" w:ascii="仿宋_GB2312" w:hAnsi="宋体" w:eastAsia="仿宋_GB2312" w:cs="宋体"/>
          <w:color w:val="000000"/>
          <w:kern w:val="0"/>
          <w:sz w:val="32"/>
          <w:szCs w:val="32"/>
          <w:lang w:eastAsia="zh-CN"/>
        </w:rPr>
        <w:t>医师定期考核</w:t>
      </w:r>
      <w:r>
        <w:rPr>
          <w:rFonts w:hint="eastAsia" w:ascii="仿宋_GB2312" w:hAnsi="宋体" w:eastAsia="仿宋_GB2312" w:cs="宋体"/>
          <w:color w:val="000000"/>
          <w:kern w:val="0"/>
          <w:sz w:val="32"/>
          <w:szCs w:val="32"/>
        </w:rPr>
        <w:t>管理系统网址：</w:t>
      </w:r>
    </w:p>
    <w:p>
      <w:pPr>
        <w:keepNext w:val="0"/>
        <w:keepLines w:val="0"/>
        <w:pageBreakBefore w:val="0"/>
        <w:widowControl/>
        <w:shd w:val="clear" w:color="auto" w:fill="FFFFFF"/>
        <w:kinsoku/>
        <w:wordWrap/>
        <w:overflowPunct/>
        <w:topLinePunct w:val="0"/>
        <w:autoSpaceDE/>
        <w:autoSpaceDN/>
        <w:bidi w:val="0"/>
        <w:spacing w:line="560" w:lineRule="exact"/>
        <w:ind w:left="638" w:leftChars="304" w:right="0" w:rightChars="0" w:firstLine="0" w:firstLineChars="0"/>
        <w:jc w:val="both"/>
        <w:textAlignment w:val="auto"/>
        <w:outlineLvl w:val="9"/>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i w:val="0"/>
          <w:iCs w:val="0"/>
          <w:caps w:val="0"/>
          <w:color w:val="232930"/>
          <w:spacing w:val="0"/>
          <w:sz w:val="32"/>
          <w:szCs w:val="32"/>
          <w:shd w:val="clear" w:fill="FFFFFF"/>
        </w:rPr>
        <w:t>https://120.52.191.195:8090/hrms_pro</w:t>
      </w:r>
    </w:p>
    <w:p>
      <w:pPr>
        <w:keepNext w:val="0"/>
        <w:keepLines w:val="0"/>
        <w:pageBreakBefore w:val="0"/>
        <w:widowControl/>
        <w:shd w:val="clear" w:color="auto" w:fill="FFFFFF"/>
        <w:kinsoku/>
        <w:wordWrap/>
        <w:overflowPunct/>
        <w:topLinePunct w:val="0"/>
        <w:autoSpaceDE/>
        <w:autoSpaceDN/>
        <w:bidi w:val="0"/>
        <w:spacing w:line="560" w:lineRule="exact"/>
        <w:ind w:right="0" w:rightChars="0" w:firstLine="640" w:firstLineChars="200"/>
        <w:jc w:val="both"/>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eastAsia="zh-CN"/>
        </w:rPr>
        <w:t>机构账号</w:t>
      </w:r>
      <w:r>
        <w:rPr>
          <w:rFonts w:hint="eastAsia" w:ascii="仿宋_GB2312" w:hAnsi="仿宋_GB2312" w:eastAsia="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eastAsia="zh-CN"/>
        </w:rPr>
        <w:t>《医疗机构许可证号》或《诊所备案证号》</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医师账号：个人</w:t>
      </w:r>
      <w:r>
        <w:rPr>
          <w:rFonts w:hint="eastAsia" w:ascii="仿宋_GB2312" w:hAnsi="仿宋_GB2312" w:eastAsia="仿宋_GB2312" w:cs="仿宋_GB2312"/>
          <w:color w:val="000000"/>
          <w:kern w:val="0"/>
          <w:sz w:val="32"/>
          <w:szCs w:val="32"/>
          <w:lang w:val="en-US" w:eastAsia="zh-CN"/>
        </w:rPr>
        <w:t>18位</w:t>
      </w:r>
      <w:r>
        <w:rPr>
          <w:rFonts w:hint="eastAsia" w:ascii="仿宋_GB2312" w:hAnsi="仿宋_GB2312" w:eastAsia="仿宋_GB2312" w:cs="仿宋_GB2312"/>
          <w:color w:val="000000"/>
          <w:kern w:val="0"/>
          <w:sz w:val="32"/>
          <w:szCs w:val="32"/>
          <w:lang w:eastAsia="zh-CN"/>
        </w:rPr>
        <w:t>身份证号码</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default" w:ascii="仿宋_GB2312" w:hAnsi="Calibri" w:eastAsia="仿宋_GB2312" w:cs="Times New Roman"/>
          <w:b w:val="0"/>
          <w:bCs w:val="0"/>
          <w:sz w:val="32"/>
          <w:szCs w:val="32"/>
          <w:lang w:val="en-US" w:eastAsia="zh-CN"/>
        </w:rPr>
      </w:pPr>
      <w:r>
        <w:rPr>
          <w:rFonts w:hint="eastAsia" w:ascii="仿宋_GB2312" w:hAnsi="仿宋_GB2312" w:eastAsia="仿宋_GB2312" w:cs="仿宋_GB2312"/>
          <w:color w:val="000000"/>
          <w:kern w:val="0"/>
          <w:sz w:val="32"/>
          <w:szCs w:val="32"/>
          <w:lang w:eastAsia="zh-CN"/>
        </w:rPr>
        <w:t>默认</w:t>
      </w:r>
      <w:r>
        <w:rPr>
          <w:rFonts w:hint="eastAsia" w:ascii="仿宋_GB2312" w:hAnsi="仿宋_GB2312" w:eastAsia="仿宋_GB2312" w:cs="仿宋_GB2312"/>
          <w:color w:val="000000"/>
          <w:kern w:val="0"/>
          <w:sz w:val="32"/>
          <w:szCs w:val="32"/>
        </w:rPr>
        <w:t>初始密码：</w:t>
      </w:r>
      <w:r>
        <w:rPr>
          <w:rFonts w:hint="eastAsia" w:ascii="仿宋_GB2312" w:hAnsi="仿宋_GB2312" w:eastAsia="仿宋_GB2312" w:cs="仿宋_GB2312"/>
          <w:color w:val="000000"/>
          <w:kern w:val="0"/>
          <w:sz w:val="32"/>
          <w:szCs w:val="32"/>
          <w:lang w:eastAsia="zh-CN"/>
        </w:rPr>
        <w:t>账号后六位</w:t>
      </w:r>
      <w:r>
        <w:rPr>
          <w:rFonts w:hint="eastAsia" w:ascii="仿宋_GB2312" w:hAnsi="仿宋_GB2312" w:eastAsia="仿宋_GB2312" w:cs="仿宋_GB2312"/>
          <w:color w:val="000000"/>
          <w:kern w:val="0"/>
          <w:sz w:val="32"/>
          <w:szCs w:val="32"/>
          <w:lang w:val="en-US" w:eastAsia="zh-CN"/>
        </w:rPr>
        <w:t>*Dk（请及时修改默认密码）</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医师定期考核工作应严格按照考核要求，依程序完成。</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（一）2026年度的医师定期考核事宜，由医师所在的医疗</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卫生机构最迟于定期考核前30日内通知需要接受定期考核的医师参加考核。</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（二）注册在北京市的医疗卫生机构且在医疗卫生机构相应</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岗位执业的医师均需参加2026年度医师定期考核。</w:t>
      </w:r>
    </w:p>
    <w:p>
      <w:pPr>
        <w:keepNext w:val="0"/>
        <w:keepLines w:val="0"/>
        <w:pageBreakBefore w:val="0"/>
        <w:widowControl w:val="0"/>
        <w:kinsoku/>
        <w:wordWrap w:val="0"/>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spacing w:val="-11"/>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（三）医疗卫生机构应按要求对注册在本机构的医师（含多点执业、多机构备案医师）进行职业道德评定和工作成绩考核，</w:t>
      </w:r>
      <w:r>
        <w:rPr>
          <w:rFonts w:hint="eastAsia" w:ascii="仿宋_GB2312" w:hAnsi="Courier New" w:eastAsia="仿宋_GB2312" w:cs="Courier New"/>
          <w:b w:val="0"/>
          <w:bCs w:val="0"/>
          <w:spacing w:val="-11"/>
          <w:kern w:val="2"/>
          <w:sz w:val="32"/>
          <w:szCs w:val="32"/>
          <w:lang w:val="en-US" w:eastAsia="zh-CN" w:bidi="ar-SA"/>
        </w:rPr>
        <w:t>并将职业道德和工作成绩评定意见上报“医师定期考核管理系统”。</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（四）在京多机构执业的医师（含持有外省市医师执业证的</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医师）需在在京所有执业机构（医疗卫生机构）参加医师定期考</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核的职业道德和工作成绩考核，同时需在在京主要执业机构参加</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业务水平测评。</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（五）注册多个执业范围的医师在选择考核专业时，可在其</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注册的多个执业范围内任选一个专业。</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（六）在2026年度定期考核期间办理变更执业机构及首次</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注册医师，完成网上申请报名手续的医师，在已完成申请报名手</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仿宋_GB2312" w:hAnsi="Courier New" w:eastAsia="仿宋_GB2312" w:cs="Courier New"/>
          <w:b w:val="0"/>
          <w:bCs w:val="0"/>
          <w:kern w:val="2"/>
          <w:sz w:val="32"/>
          <w:szCs w:val="32"/>
          <w:lang w:val="en-US" w:eastAsia="zh-CN" w:bidi="ar-SA"/>
        </w:rPr>
      </w:pPr>
      <w:r>
        <w:rPr>
          <w:rFonts w:hint="eastAsia" w:ascii="仿宋_GB2312" w:hAnsi="Courier New" w:eastAsia="仿宋_GB2312" w:cs="Courier New"/>
          <w:b w:val="0"/>
          <w:bCs w:val="0"/>
          <w:kern w:val="2"/>
          <w:sz w:val="32"/>
          <w:szCs w:val="32"/>
          <w:lang w:val="en-US" w:eastAsia="zh-CN" w:bidi="ar-SA"/>
        </w:rPr>
        <w:t>续的执业机构（医疗卫生机构）参加定期考核；未完成网上申请</w:t>
      </w:r>
    </w:p>
    <w:p>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rFonts w:hint="eastAsia" w:ascii="黑体" w:hAnsi="黑体" w:eastAsia="黑体" w:cs="黑体"/>
          <w:b w:val="0"/>
          <w:bCs/>
          <w:kern w:val="2"/>
          <w:sz w:val="32"/>
          <w:szCs w:val="21"/>
          <w:lang w:val="en-US" w:eastAsia="zh-CN" w:bidi="ar-SA"/>
        </w:rPr>
      </w:pPr>
      <w:r>
        <w:rPr>
          <w:rFonts w:hint="eastAsia" w:ascii="仿宋_GB2312" w:hAnsi="Courier New" w:eastAsia="仿宋_GB2312" w:cs="Courier New"/>
          <w:b w:val="0"/>
          <w:bCs w:val="0"/>
          <w:kern w:val="2"/>
          <w:sz w:val="32"/>
          <w:szCs w:val="32"/>
          <w:lang w:val="en-US" w:eastAsia="zh-CN" w:bidi="ar-SA"/>
        </w:rPr>
        <w:t>报名手续的医师，应参加2027年上半年的再次考核。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三、考核内容与时间安排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医师定期考核内容包括职业道德、工作成绩和业务水平测评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三部分内容，且需在规定的时间内完成考核工作。具体安排见附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件1、附件2。</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四、考核标准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（一）合格：职业道德、工作成绩及业务水平三项考核内容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均达到合格线。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（二）不合格：职业道德、工作成绩及业务水平三项考核中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有一项及以上未达到合格线。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2026年度业务水平考核除藏医、蒙医专业外，其它各专业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均为网上考核。网上考核次数最多3次，3次考核未能通过即视为2026年度业务水平考核不合格。</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（三）未参加医师定期考核：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1.医师个人报名后，职业道德、工作成绩及业务水平三项中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其中一项未参加考核。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2.医师个人未报名参加医师定期考核。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五、简易程序条件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对于符合以下条件之一的医师，在本年度可以采用简易程序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的方式进行业务水平测评：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（一）院士及享受国务院政府特殊津贴的医师；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（二）截至2026年12月31日，满60岁仍从事医师执业工作的注册医师；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（三）2024年-2026年内获得省部级以上科技奖励的医师；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（四）国医大师、首都国医名师、国家级和市级老中医学术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经验继承工作指导老师及承担市级基层老中医传承工作室建设任务的老中医专家；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（五）2024年-2026年内参加援外、援藏、援疆、援蒙等政府选派支援外省市工作满三个月的医师；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（六）2026年12月31日前专业技术职务任职资格为主任医师的医师；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（七）2024年-2026年按相关规定通过住院医师/专科医师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培训考试考核或通过上一级专业技术职务任职资格考试或评审的医师（上传合格证书）。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kern w:val="2"/>
          <w:sz w:val="32"/>
          <w:szCs w:val="21"/>
          <w:lang w:val="en-US" w:eastAsia="zh-CN" w:bidi="ar-SA"/>
        </w:rPr>
      </w:pPr>
      <w:r>
        <w:rPr>
          <w:rFonts w:hint="eastAsia" w:ascii="黑体" w:hAnsi="黑体" w:eastAsia="黑体" w:cs="黑体"/>
          <w:b w:val="0"/>
          <w:bCs/>
          <w:kern w:val="2"/>
          <w:sz w:val="32"/>
          <w:szCs w:val="21"/>
          <w:lang w:val="en-US" w:eastAsia="zh-CN" w:bidi="ar-SA"/>
        </w:rPr>
        <w:t>六、其他相关事项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（一）考核结果处理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2026年考核结果统计工作于2026年9月15日前完成，并于2026年10月15日前将考核结果数据导入医师电子化注册信息系统；2027年再次考核结果统计工作于2027年7月22日前完成，并于2027年8月1日前将考核结果数据导入医师电子化注册信息系统，作为医师电子注册管理的内容之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（二）再次考核工作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根据《中华人民共和国医师法》第四十二条和《北京市医师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jc w:val="both"/>
        <w:textAlignment w:val="auto"/>
        <w:outlineLvl w:val="9"/>
        <w:rPr>
          <w:rFonts w:hint="eastAsia" w:ascii="仿宋_GB2312" w:hAnsi="仿宋_GB2312" w:eastAsia="仿宋_GB2312" w:cs="仿宋_GB2312"/>
          <w:b w:val="0"/>
          <w:bCs/>
          <w:kern w:val="2"/>
          <w:sz w:val="32"/>
          <w:szCs w:val="21"/>
          <w:lang w:val="en-US" w:eastAsia="zh-CN" w:bidi="ar-SA"/>
        </w:rPr>
      </w:pPr>
      <w:r>
        <w:rPr>
          <w:rFonts w:hint="eastAsia" w:ascii="仿宋_GB2312" w:hAnsi="仿宋_GB2312" w:eastAsia="仿宋_GB2312" w:cs="仿宋_GB2312"/>
          <w:b w:val="0"/>
          <w:bCs/>
          <w:kern w:val="2"/>
          <w:sz w:val="32"/>
          <w:szCs w:val="21"/>
          <w:lang w:val="en-US" w:eastAsia="zh-CN" w:bidi="ar-SA"/>
        </w:rPr>
        <w:t>定期考核管理暂行办法》第二十七条规定,对2026年度考核不合格的医师，卫生健康行政部门应当责令其暂停执业活动3个月至6个月，并在卫生健康行政部门指定的机构接受相关专业培训；暂停执业活动期满，由考核机构再次进行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（三）结果应用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color w:val="auto"/>
          <w:kern w:val="2"/>
          <w:sz w:val="32"/>
          <w:szCs w:val="32"/>
          <w:lang w:val="en-US" w:eastAsia="zh-CN" w:bidi="ar-SA"/>
        </w:rPr>
      </w:pPr>
      <w:r>
        <w:rPr>
          <w:rFonts w:hint="eastAsia" w:ascii="仿宋_GB2312" w:hAnsi="仿宋" w:eastAsia="仿宋_GB2312" w:cs="Courier New"/>
          <w:color w:val="auto"/>
          <w:kern w:val="2"/>
          <w:sz w:val="32"/>
          <w:szCs w:val="32"/>
          <w:lang w:val="en-US" w:eastAsia="zh-CN" w:bidi="ar-SA"/>
        </w:rPr>
        <w:t>在《关于印发〈北京市深化卫生专业技术人员职称制度改革实施办法〉的通知》（京人社事业发[2023]5号）相关专业职称基本标准条件中均明确规定，需按要求参加定期考核且合格。</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黑体" w:hAnsi="黑体" w:eastAsia="黑体" w:cs="黑体"/>
          <w:b w:val="0"/>
          <w:bCs w:val="0"/>
          <w:color w:val="auto"/>
          <w:kern w:val="2"/>
          <w:sz w:val="32"/>
          <w:szCs w:val="32"/>
          <w:lang w:val="en-US" w:eastAsia="zh-CN" w:bidi="ar-SA"/>
        </w:rPr>
      </w:pPr>
      <w:r>
        <w:rPr>
          <w:rFonts w:hint="eastAsia" w:ascii="黑体" w:hAnsi="黑体" w:eastAsia="黑体" w:cs="黑体"/>
          <w:b w:val="0"/>
          <w:bCs w:val="0"/>
          <w:color w:val="auto"/>
          <w:kern w:val="2"/>
          <w:sz w:val="32"/>
          <w:szCs w:val="32"/>
          <w:lang w:val="en-US" w:eastAsia="zh-CN" w:bidi="ar-SA"/>
        </w:rPr>
        <w:t>七、工作要求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（一）统一思想，加强领导</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医师定期考核是一项法定任务，是提高医师队伍整体素质、保障医疗质量和医疗安全的重要手段，对促进医师执业技能持续提升，保持职业道德具有重要意义。各医疗机构要切实提高思想认识，加强组织领导，健全组织机构，完善工作制度，提供支持保障，严格按照要求推进落实定期考核各项工作。</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（二）规范程序，严格审核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各医疗机构要按照市区文件要求，指定本机构医师定期考核工作主管领导及具体负责人，严格按照全区规定的程序、时间、内容开展医师定期考核，严禁不符合条件的医师按照简易程序进行考核，确保考核工作公平公正。</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楷体_GB2312" w:hAnsi="楷体_GB2312" w:eastAsia="楷体_GB2312" w:cs="楷体_GB2312"/>
          <w:b w:val="0"/>
          <w:bCs/>
          <w:kern w:val="2"/>
          <w:sz w:val="32"/>
          <w:szCs w:val="21"/>
          <w:lang w:val="en-US" w:eastAsia="zh-CN" w:bidi="ar-SA"/>
        </w:rPr>
      </w:pPr>
      <w:r>
        <w:rPr>
          <w:rFonts w:hint="eastAsia" w:ascii="楷体_GB2312" w:hAnsi="楷体_GB2312" w:eastAsia="楷体_GB2312" w:cs="楷体_GB2312"/>
          <w:b w:val="0"/>
          <w:bCs/>
          <w:kern w:val="2"/>
          <w:sz w:val="32"/>
          <w:szCs w:val="21"/>
          <w:lang w:val="en-US" w:eastAsia="zh-CN" w:bidi="ar-SA"/>
        </w:rPr>
        <w:t>（三）广泛宣传，浓厚氛围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hAnsi="仿宋" w:eastAsia="仿宋_GB2312" w:cs="Courier New"/>
          <w:kern w:val="2"/>
          <w:sz w:val="32"/>
          <w:szCs w:val="32"/>
          <w:lang w:val="en-US" w:eastAsia="zh-CN" w:bidi="ar-SA"/>
        </w:rPr>
      </w:pPr>
      <w:r>
        <w:rPr>
          <w:rFonts w:hint="eastAsia" w:ascii="仿宋_GB2312" w:hAnsi="仿宋" w:eastAsia="仿宋_GB2312" w:cs="Courier New"/>
          <w:kern w:val="2"/>
          <w:sz w:val="32"/>
          <w:szCs w:val="32"/>
          <w:lang w:val="en-US" w:eastAsia="zh-CN" w:bidi="ar-SA"/>
        </w:rPr>
        <w:t>各医疗机构要加大宣传力度，多渠道告知单位内的每一名医师定期考核工作时限、要求及对医师个人执业、职称评审等工作的重要意义，引导医师积极主动参与。对涉及医师切身利益的定考政策做好咨询解答，营造良好氛围。</w:t>
      </w:r>
    </w:p>
    <w:p>
      <w:pPr>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八、填报机构负责人信息</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eastAsia="zh-CN"/>
        </w:rPr>
        <w:t>为顺利做好定考工作，方便与各医疗机构沟通，请扫描下方二维码填报机构负责人信息，如有问题请拨打大兴区定期考核办公室电话</w:t>
      </w:r>
      <w:r>
        <w:rPr>
          <w:rFonts w:hint="eastAsia" w:ascii="仿宋_GB2312" w:hAnsi="Calibri" w:eastAsia="仿宋_GB2312" w:cs="Times New Roman"/>
          <w:sz w:val="32"/>
          <w:szCs w:val="32"/>
          <w:lang w:val="en-US" w:eastAsia="zh-CN"/>
        </w:rPr>
        <w:t>61211687（工作日9:00-11:00；13:00-17:00）。</w:t>
      </w:r>
    </w:p>
    <w:p>
      <w:pPr>
        <w:keepNext w:val="0"/>
        <w:keepLines w:val="0"/>
        <w:pageBreakBefore w:val="0"/>
        <w:kinsoku/>
        <w:wordWrap/>
        <w:overflowPunct/>
        <w:topLinePunct w:val="0"/>
        <w:autoSpaceDE/>
        <w:autoSpaceDN/>
        <w:bidi w:val="0"/>
        <w:spacing w:line="560" w:lineRule="exact"/>
        <w:ind w:firstLine="640" w:firstLineChars="200"/>
        <w:jc w:val="righ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drawing>
          <wp:anchor distT="0" distB="0" distL="114300" distR="114300" simplePos="0" relativeHeight="251662336" behindDoc="0" locked="0" layoutInCell="1" allowOverlap="1">
            <wp:simplePos x="0" y="0"/>
            <wp:positionH relativeFrom="column">
              <wp:posOffset>1649095</wp:posOffset>
            </wp:positionH>
            <wp:positionV relativeFrom="paragraph">
              <wp:posOffset>167005</wp:posOffset>
            </wp:positionV>
            <wp:extent cx="2221865" cy="2532380"/>
            <wp:effectExtent l="0" t="0" r="6985" b="1270"/>
            <wp:wrapTopAndBottom/>
            <wp:docPr id="2" name="图片 2" descr="大兴区医师定期考核_医疗机构负责人信息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兴区医师定期考核_医疗机构负责人信息登记"/>
                    <pic:cNvPicPr>
                      <a:picLocks noChangeAspect="1"/>
                    </pic:cNvPicPr>
                  </pic:nvPicPr>
                  <pic:blipFill>
                    <a:blip r:embed="rId10"/>
                    <a:stretch>
                      <a:fillRect/>
                    </a:stretch>
                  </pic:blipFill>
                  <pic:spPr>
                    <a:xfrm>
                      <a:off x="0" y="0"/>
                      <a:ext cx="2221865" cy="2532380"/>
                    </a:xfrm>
                    <a:prstGeom prst="rect">
                      <a:avLst/>
                    </a:prstGeom>
                  </pic:spPr>
                </pic:pic>
              </a:graphicData>
            </a:graphic>
          </wp:anchor>
        </w:drawing>
      </w:r>
    </w:p>
    <w:p>
      <w:pPr>
        <w:keepNext w:val="0"/>
        <w:keepLines w:val="0"/>
        <w:pageBreakBefore w:val="0"/>
        <w:kinsoku/>
        <w:wordWrap/>
        <w:overflowPunct/>
        <w:topLinePunct w:val="0"/>
        <w:autoSpaceDE/>
        <w:autoSpaceDN/>
        <w:bidi w:val="0"/>
        <w:spacing w:line="560" w:lineRule="exact"/>
        <w:ind w:firstLine="640" w:firstLineChars="200"/>
        <w:jc w:val="both"/>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附件：1.2026年度北京市医师定期考核时间安排</w:t>
      </w:r>
    </w:p>
    <w:p>
      <w:pPr>
        <w:keepNext w:val="0"/>
        <w:keepLines w:val="0"/>
        <w:pageBreakBefore w:val="0"/>
        <w:kinsoku/>
        <w:wordWrap/>
        <w:overflowPunct/>
        <w:topLinePunct w:val="0"/>
        <w:autoSpaceDE/>
        <w:autoSpaceDN/>
        <w:bidi w:val="0"/>
        <w:spacing w:line="560" w:lineRule="exact"/>
        <w:ind w:firstLine="1600" w:firstLineChars="500"/>
        <w:jc w:val="both"/>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2.2026年度北京市医师定期考核报考专业</w:t>
      </w:r>
    </w:p>
    <w:p>
      <w:pPr>
        <w:keepNext w:val="0"/>
        <w:keepLines w:val="0"/>
        <w:pageBreakBefore w:val="0"/>
        <w:kinsoku/>
        <w:wordWrap/>
        <w:overflowPunct/>
        <w:topLinePunct w:val="0"/>
        <w:autoSpaceDE/>
        <w:autoSpaceDN/>
        <w:bidi w:val="0"/>
        <w:spacing w:line="560" w:lineRule="exact"/>
        <w:ind w:left="1916" w:leftChars="760" w:hanging="320" w:hangingChars="1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3.北京市医师定期考核管理系统用户操作手册-医疗机构&amp;考核机构</w:t>
      </w:r>
    </w:p>
    <w:p>
      <w:pPr>
        <w:keepNext w:val="0"/>
        <w:keepLines w:val="0"/>
        <w:pageBreakBefore w:val="0"/>
        <w:kinsoku/>
        <w:wordWrap/>
        <w:overflowPunct/>
        <w:topLinePunct w:val="0"/>
        <w:autoSpaceDE/>
        <w:autoSpaceDN/>
        <w:bidi w:val="0"/>
        <w:spacing w:line="560" w:lineRule="exact"/>
        <w:ind w:firstLine="640" w:firstLineChars="200"/>
        <w:jc w:val="both"/>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 xml:space="preserve">      4.北京市医师定期考核管理系统用户操作手册-医师</w:t>
      </w:r>
    </w:p>
    <w:p>
      <w:pPr>
        <w:keepNext w:val="0"/>
        <w:keepLines w:val="0"/>
        <w:pageBreakBefore w:val="0"/>
        <w:kinsoku/>
        <w:wordWrap/>
        <w:overflowPunct/>
        <w:topLinePunct w:val="0"/>
        <w:autoSpaceDE/>
        <w:autoSpaceDN/>
        <w:bidi w:val="0"/>
        <w:spacing w:line="560" w:lineRule="exact"/>
        <w:ind w:firstLine="640" w:firstLineChars="200"/>
        <w:jc w:val="right"/>
        <w:rPr>
          <w:rFonts w:hint="eastAsia" w:ascii="仿宋_GB2312" w:hAnsi="Calibri" w:eastAsia="仿宋_GB2312" w:cs="Times New Roman"/>
          <w:sz w:val="32"/>
          <w:szCs w:val="32"/>
          <w:lang w:val="en-US" w:eastAsia="zh-CN"/>
        </w:rPr>
      </w:pPr>
    </w:p>
    <w:p>
      <w:pPr>
        <w:rPr>
          <w:rFonts w:hint="eastAsia" w:ascii="黑体" w:hAnsi="黑体" w:eastAsia="黑体" w:cs="黑体"/>
          <w:sz w:val="32"/>
          <w:szCs w:val="32"/>
        </w:rPr>
      </w:pPr>
      <w:r>
        <w:rPr>
          <w:rFonts w:hint="eastAsia" w:ascii="仿宋_GB2312" w:hAnsi="Calibri" w:eastAsia="仿宋_GB2312" w:cs="Times New Roman"/>
          <w:sz w:val="32"/>
          <w:szCs w:val="32"/>
          <w:lang w:val="en-US" w:eastAsia="zh-CN"/>
        </w:rPr>
        <w:br w:type="page"/>
      </w:r>
    </w:p>
    <w:p>
      <w:pPr>
        <w:widowControl/>
        <w:spacing w:line="560" w:lineRule="exact"/>
        <w:ind w:firstLine="0" w:firstLineChars="0"/>
        <w:jc w:val="left"/>
        <w:textAlignment w:val="center"/>
        <w:rPr>
          <w:rFonts w:hint="eastAsia" w:ascii="方正小标宋简体" w:hAnsi="方正小标宋简体" w:eastAsia="方正小标宋简体" w:cs="方正小标宋简体"/>
          <w:sz w:val="32"/>
          <w:szCs w:val="32"/>
        </w:rPr>
      </w:pPr>
      <w:r>
        <w:rPr>
          <w:rFonts w:hint="eastAsia" w:ascii="黑体" w:hAnsi="黑体" w:eastAsia="黑体" w:cs="黑体"/>
          <w:sz w:val="32"/>
          <w:szCs w:val="32"/>
        </w:rPr>
        <w:t>附件1</w:t>
      </w:r>
      <w:r>
        <w:rPr>
          <w:rFonts w:hint="eastAsia" w:ascii="黑体" w:hAnsi="黑体" w:eastAsia="黑体" w:cs="黑体"/>
          <w:sz w:val="32"/>
          <w:szCs w:val="32"/>
          <w:lang w:val="en-US" w:eastAsia="zh-CN"/>
        </w:rPr>
        <w:t xml:space="preserve"> </w:t>
      </w:r>
    </w:p>
    <w:p>
      <w:pPr>
        <w:widowControl/>
        <w:spacing w:line="240" w:lineRule="auto"/>
        <w:ind w:firstLine="0" w:firstLineChars="0"/>
        <w:jc w:val="center"/>
        <w:textAlignment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年度北京市医师定期考核时间安排</w:t>
      </w:r>
    </w:p>
    <w:p>
      <w:pPr>
        <w:widowControl/>
        <w:spacing w:line="400" w:lineRule="exact"/>
        <w:ind w:firstLine="0" w:firstLineChars="0"/>
        <w:jc w:val="center"/>
        <w:textAlignment w:val="center"/>
        <w:rPr>
          <w:rFonts w:hint="eastAsia" w:ascii="方正小标宋简体" w:hAnsi="方正小标宋简体" w:eastAsia="方正小标宋简体" w:cs="方正小标宋简体"/>
          <w:sz w:val="44"/>
          <w:szCs w:val="44"/>
        </w:rPr>
      </w:pPr>
    </w:p>
    <w:tbl>
      <w:tblPr>
        <w:tblStyle w:val="10"/>
        <w:tblW w:w="87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35"/>
        <w:gridCol w:w="6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2535" w:type="dxa"/>
            <w:noWrap w:val="0"/>
            <w:vAlign w:val="top"/>
          </w:tcPr>
          <w:p>
            <w:pPr>
              <w:keepNext w:val="0"/>
              <w:keepLines w:val="0"/>
              <w:widowControl/>
              <w:suppressLineNumbers w:val="0"/>
              <w:spacing w:line="240" w:lineRule="auto"/>
              <w:ind w:firstLine="0" w:firstLineChars="0"/>
              <w:jc w:val="center"/>
              <w:textAlignment w:val="top"/>
              <w:rPr>
                <w:rFonts w:hint="eastAsia" w:ascii="黑体" w:hAnsi="黑体" w:eastAsia="黑体" w:cs="黑体"/>
                <w:b w:val="0"/>
                <w:color w:val="000000"/>
                <w:sz w:val="32"/>
                <w:szCs w:val="32"/>
              </w:rPr>
            </w:pPr>
            <w:r>
              <w:rPr>
                <w:rFonts w:hint="eastAsia" w:ascii="黑体" w:hAnsi="黑体" w:eastAsia="黑体" w:cs="黑体"/>
                <w:b w:val="0"/>
                <w:bCs w:val="0"/>
                <w:i w:val="0"/>
                <w:iCs w:val="0"/>
                <w:color w:val="000000"/>
                <w:kern w:val="0"/>
                <w:sz w:val="32"/>
                <w:szCs w:val="32"/>
                <w:u w:val="none"/>
                <w:lang w:val="en-US" w:eastAsia="zh-CN" w:bidi="ar"/>
              </w:rPr>
              <w:t>时 间</w:t>
            </w:r>
          </w:p>
        </w:tc>
        <w:tc>
          <w:tcPr>
            <w:tcW w:w="6213" w:type="dxa"/>
            <w:noWrap w:val="0"/>
            <w:vAlign w:val="top"/>
          </w:tcPr>
          <w:p>
            <w:pPr>
              <w:keepNext w:val="0"/>
              <w:keepLines w:val="0"/>
              <w:widowControl/>
              <w:suppressLineNumbers w:val="0"/>
              <w:spacing w:line="240" w:lineRule="auto"/>
              <w:ind w:firstLine="0" w:firstLineChars="0"/>
              <w:jc w:val="center"/>
              <w:textAlignment w:val="top"/>
              <w:rPr>
                <w:rFonts w:hint="eastAsia" w:ascii="黑体" w:hAnsi="黑体" w:eastAsia="黑体" w:cs="黑体"/>
                <w:b w:val="0"/>
                <w:color w:val="000000"/>
                <w:sz w:val="32"/>
                <w:szCs w:val="32"/>
              </w:rPr>
            </w:pPr>
            <w:r>
              <w:rPr>
                <w:rFonts w:hint="eastAsia" w:ascii="黑体" w:hAnsi="黑体" w:eastAsia="黑体" w:cs="黑体"/>
                <w:b w:val="0"/>
                <w:bCs w:val="0"/>
                <w:i w:val="0"/>
                <w:iCs w:val="0"/>
                <w:color w:val="000000"/>
                <w:kern w:val="0"/>
                <w:sz w:val="32"/>
                <w:szCs w:val="32"/>
                <w:u w:val="none"/>
                <w:lang w:val="en-US" w:eastAsia="zh-CN" w:bidi="ar"/>
              </w:rPr>
              <w:t>工 作 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2026.4.1-4.30</w:t>
            </w:r>
          </w:p>
        </w:tc>
        <w:tc>
          <w:tcPr>
            <w:tcW w:w="6213" w:type="dxa"/>
            <w:noWrap w:val="0"/>
            <w:vAlign w:val="top"/>
          </w:tcPr>
          <w:p>
            <w:pPr>
              <w:keepNext w:val="0"/>
              <w:keepLines w:val="0"/>
              <w:widowControl/>
              <w:suppressLineNumbers w:val="0"/>
              <w:spacing w:line="240" w:lineRule="auto"/>
              <w:ind w:firstLine="0" w:firstLineChars="0"/>
              <w:jc w:val="left"/>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医师个人网上报名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2" w:hRule="atLeast"/>
          <w:jc w:val="center"/>
        </w:trPr>
        <w:tc>
          <w:tcPr>
            <w:tcW w:w="2535" w:type="dxa"/>
            <w:noWrap w:val="0"/>
            <w:vAlign w:val="center"/>
          </w:tcPr>
          <w:p>
            <w:pPr>
              <w:keepNext w:val="0"/>
              <w:keepLines w:val="0"/>
              <w:widowControl w:val="0"/>
              <w:suppressLineNumbers w:val="0"/>
              <w:spacing w:line="240" w:lineRule="auto"/>
              <w:ind w:firstLine="0" w:firstLineChars="0"/>
              <w:jc w:val="center"/>
              <w:textAlignment w:val="top"/>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i w:val="0"/>
                <w:iCs w:val="0"/>
                <w:color w:val="000000"/>
                <w:kern w:val="0"/>
                <w:sz w:val="32"/>
                <w:szCs w:val="32"/>
                <w:u w:val="none"/>
                <w:lang w:val="en-US" w:eastAsia="zh-CN" w:bidi="ar"/>
              </w:rPr>
              <w:t>2026.5.1-5.24</w:t>
            </w:r>
          </w:p>
        </w:tc>
        <w:tc>
          <w:tcPr>
            <w:tcW w:w="6213" w:type="dxa"/>
            <w:noWrap w:val="0"/>
            <w:vAlign w:val="center"/>
          </w:tcPr>
          <w:p>
            <w:pPr>
              <w:keepNext w:val="0"/>
              <w:keepLines w:val="0"/>
              <w:widowControl w:val="0"/>
              <w:suppressLineNumbers w:val="0"/>
              <w:spacing w:line="240" w:lineRule="auto"/>
              <w:ind w:firstLine="0" w:firstLineChars="0"/>
              <w:jc w:val="both"/>
              <w:textAlignment w:val="top"/>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i w:val="0"/>
                <w:iCs w:val="0"/>
                <w:color w:val="000000"/>
                <w:kern w:val="0"/>
                <w:sz w:val="32"/>
                <w:szCs w:val="32"/>
                <w:u w:val="none"/>
                <w:lang w:val="en-US" w:eastAsia="zh-CN" w:bidi="ar"/>
              </w:rPr>
              <w:t>执业机构对医师个人报名情况进行审核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2026.5.25-6.26</w:t>
            </w:r>
          </w:p>
        </w:tc>
        <w:tc>
          <w:tcPr>
            <w:tcW w:w="6213" w:type="dxa"/>
            <w:noWrap w:val="0"/>
            <w:vAlign w:val="top"/>
          </w:tcPr>
          <w:p>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spacing w:val="-11"/>
                <w:kern w:val="0"/>
                <w:sz w:val="32"/>
                <w:szCs w:val="32"/>
                <w:u w:val="none"/>
                <w:lang w:val="en-US" w:eastAsia="zh-CN" w:bidi="ar"/>
              </w:rPr>
              <w:t>执业机构对医师进行职业道德和工作成绩考核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2026.6.27-6.30</w:t>
            </w:r>
          </w:p>
        </w:tc>
        <w:tc>
          <w:tcPr>
            <w:tcW w:w="621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top"/>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执业机构对医师职业道德和工作成绩考核结果进行确认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0" w:hRule="atLeast"/>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2026.7.1-7.31</w:t>
            </w:r>
          </w:p>
        </w:tc>
        <w:tc>
          <w:tcPr>
            <w:tcW w:w="6213" w:type="dxa"/>
            <w:noWrap w:val="0"/>
            <w:vAlign w:val="top"/>
          </w:tcPr>
          <w:p>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业务水平测评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2026.8.1-8.9</w:t>
            </w:r>
          </w:p>
        </w:tc>
        <w:tc>
          <w:tcPr>
            <w:tcW w:w="621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left"/>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各区医师定期考核办公室及各考核机构对考核数据进行核对确认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2026.8.10</w:t>
            </w:r>
          </w:p>
        </w:tc>
        <w:tc>
          <w:tcPr>
            <w:tcW w:w="6213" w:type="dxa"/>
            <w:noWrap w:val="0"/>
            <w:vAlign w:val="top"/>
          </w:tcPr>
          <w:p>
            <w:pPr>
              <w:keepNext w:val="0"/>
              <w:keepLines w:val="0"/>
              <w:widowControl/>
              <w:suppressLineNumbers w:val="0"/>
              <w:spacing w:line="240" w:lineRule="auto"/>
              <w:ind w:firstLine="0" w:firstLineChars="0"/>
              <w:jc w:val="both"/>
              <w:textAlignment w:val="top"/>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考核通道关闭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6" w:hRule="atLeast"/>
          <w:jc w:val="center"/>
        </w:trPr>
        <w:tc>
          <w:tcPr>
            <w:tcW w:w="2535" w:type="dxa"/>
            <w:noWrap w:val="0"/>
            <w:vAlign w:val="center"/>
          </w:tcPr>
          <w:p>
            <w:pPr>
              <w:keepNext w:val="0"/>
              <w:keepLines w:val="0"/>
              <w:widowControl/>
              <w:suppressLineNumbers w:val="0"/>
              <w:spacing w:line="240" w:lineRule="auto"/>
              <w:ind w:firstLine="0" w:firstLineChars="0"/>
              <w:jc w:val="center"/>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2026.8.31前</w:t>
            </w:r>
          </w:p>
        </w:tc>
        <w:tc>
          <w:tcPr>
            <w:tcW w:w="621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400" w:lineRule="exact"/>
              <w:ind w:firstLine="0" w:firstLineChars="0"/>
              <w:jc w:val="both"/>
              <w:textAlignment w:val="top"/>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iCs w:val="0"/>
                <w:color w:val="000000"/>
                <w:kern w:val="0"/>
                <w:sz w:val="32"/>
                <w:szCs w:val="32"/>
                <w:u w:val="none"/>
                <w:lang w:val="en-US" w:eastAsia="zh-CN" w:bidi="ar"/>
              </w:rPr>
              <w:t>市医师定期考核办公室将医师定期考核数据植入医师电子化注册信息系统</w:t>
            </w:r>
          </w:p>
        </w:tc>
      </w:tr>
    </w:tbl>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widowControl/>
        <w:spacing w:line="240" w:lineRule="auto"/>
        <w:ind w:firstLine="0" w:firstLineChars="0"/>
        <w:jc w:val="left"/>
        <w:textAlignment w:val="center"/>
        <w:rPr>
          <w:rFonts w:hint="eastAsia" w:ascii="黑体" w:hAnsi="黑体" w:eastAsia="黑体" w:cs="黑体"/>
          <w:sz w:val="32"/>
          <w:szCs w:val="32"/>
        </w:rPr>
      </w:pPr>
    </w:p>
    <w:p>
      <w:pPr>
        <w:rPr>
          <w:rFonts w:hint="eastAsia" w:ascii="黑体" w:hAnsi="黑体" w:eastAsia="黑体" w:cs="黑体"/>
          <w:sz w:val="32"/>
          <w:szCs w:val="32"/>
        </w:rPr>
      </w:pPr>
      <w:r>
        <w:rPr>
          <w:rFonts w:hint="eastAsia" w:ascii="黑体" w:hAnsi="黑体" w:eastAsia="黑体" w:cs="黑体"/>
          <w:sz w:val="32"/>
          <w:szCs w:val="32"/>
        </w:rPr>
        <w:br w:type="page"/>
      </w:r>
    </w:p>
    <w:p>
      <w:pPr>
        <w:widowControl/>
        <w:spacing w:line="240" w:lineRule="auto"/>
        <w:ind w:firstLine="0" w:firstLineChars="0"/>
        <w:jc w:val="left"/>
        <w:textAlignment w:val="center"/>
        <w:rPr>
          <w:rFonts w:hint="eastAsia" w:ascii="黑体" w:hAnsi="黑体" w:eastAsia="黑体" w:cs="黑体"/>
          <w:sz w:val="32"/>
          <w:szCs w:val="32"/>
        </w:rPr>
      </w:pPr>
      <w:r>
        <w:rPr>
          <w:rFonts w:hint="eastAsia" w:ascii="黑体" w:hAnsi="黑体" w:eastAsia="黑体" w:cs="黑体"/>
          <w:sz w:val="32"/>
          <w:szCs w:val="32"/>
        </w:rPr>
        <w:t>附件2</w:t>
      </w:r>
    </w:p>
    <w:p>
      <w:pPr>
        <w:widowControl/>
        <w:spacing w:line="240" w:lineRule="auto"/>
        <w:ind w:firstLine="0" w:firstLineChars="0"/>
        <w:jc w:val="center"/>
        <w:textAlignment w:val="center"/>
        <w:rPr>
          <w:rFonts w:hint="eastAsia" w:ascii="黑体" w:hAnsi="黑体" w:eastAsia="黑体" w:cs="黑体"/>
          <w:sz w:val="32"/>
          <w:szCs w:val="32"/>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年度北京市医师定期考核报考专业</w:t>
      </w:r>
    </w:p>
    <w:p>
      <w:pPr>
        <w:spacing w:line="240" w:lineRule="auto"/>
        <w:ind w:firstLine="0" w:firstLineChars="0"/>
        <w:rPr>
          <w:rFonts w:ascii="Calibri" w:hAnsi="Calibri" w:cs="Times New Roman"/>
        </w:rPr>
      </w:pPr>
    </w:p>
    <w:tbl>
      <w:tblPr>
        <w:tblStyle w:val="10"/>
        <w:tblW w:w="897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5"/>
        <w:gridCol w:w="1738"/>
        <w:gridCol w:w="2933"/>
        <w:gridCol w:w="2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呼吸内科专业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消化内科专业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神经内科专业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心血管内科专业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血液内科专业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肾病学专业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内分泌专业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免疫学专业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老年病专业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感染专业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普通外科专业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神经外科专业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骨科专业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泌尿外科专业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胸外科专业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spacing w:val="-23"/>
                <w:kern w:val="0"/>
                <w:sz w:val="30"/>
                <w:szCs w:val="30"/>
                <w:u w:val="none"/>
                <w:lang w:val="en-US" w:eastAsia="zh-CN" w:bidi="ar"/>
              </w:rPr>
              <w:t>心脏大血管外科专业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血管外科专业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烧伤科专业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整形外科专业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麻醉专业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眼耳鼻咽喉科专业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w:t>
            </w: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皮肤科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kern w:val="0"/>
                <w:sz w:val="30"/>
                <w:szCs w:val="30"/>
                <w:u w:val="none"/>
                <w:lang w:bidi="ar"/>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kern w:val="0"/>
                <w:sz w:val="30"/>
                <w:szCs w:val="30"/>
                <w:u w:val="none"/>
                <w:lang w:bidi="ar"/>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精神卫生专业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精神卫生专业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急诊医学科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急救医学专业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急救医学专业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康复医学专业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重症医学专业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医学检验、病理专业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医学检验专业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3"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病理科</w:t>
            </w: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医学病理专业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医学影像科</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医学影像和放射治疗专业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放射诊断专业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核医学专业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放射治疗专业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超声诊断专业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333333"/>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介入放射学专业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公共卫生</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公共卫生</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lang w:val="en-US"/>
              </w:rPr>
            </w:pPr>
            <w:r>
              <w:rPr>
                <w:rFonts w:hint="eastAsia" w:ascii="仿宋_GB2312" w:hAnsi="仿宋_GB2312" w:eastAsia="仿宋_GB2312" w:cs="仿宋_GB2312"/>
                <w:i w:val="0"/>
                <w:iCs w:val="0"/>
                <w:color w:val="000000"/>
                <w:kern w:val="0"/>
                <w:sz w:val="30"/>
                <w:szCs w:val="30"/>
                <w:u w:val="none"/>
                <w:lang w:val="en-US" w:eastAsia="zh-CN" w:bidi="ar"/>
              </w:rPr>
              <w:t>预防保健</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公共卫生类别专业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防病专业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卫生专业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6" w:hRule="atLeast"/>
          <w:jc w:val="center"/>
        </w:trPr>
        <w:tc>
          <w:tcPr>
            <w:tcW w:w="1455"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中医（专长）</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内服方药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外治技术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藏医专业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藏医专业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蒙医专业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蒙医专业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临床、中医</w:t>
            </w:r>
          </w:p>
        </w:tc>
        <w:tc>
          <w:tcPr>
            <w:tcW w:w="1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spacing w:val="-23"/>
                <w:kern w:val="0"/>
                <w:sz w:val="30"/>
                <w:szCs w:val="30"/>
                <w:u w:val="none"/>
                <w:lang w:val="en-US" w:eastAsia="zh-CN" w:bidi="ar"/>
              </w:rPr>
              <w:t>全科医学科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全科医学科专业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全科医学专业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西学中</w:t>
            </w: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儿科专业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17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9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c>
          <w:tcPr>
            <w:tcW w:w="284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left"/>
              <w:rPr>
                <w:rFonts w:hint="eastAsia" w:ascii="仿宋_GB2312" w:hAnsi="仿宋_GB2312" w:eastAsia="仿宋_GB2312" w:cs="仿宋_GB2312"/>
                <w:i w:val="0"/>
                <w:iCs w:val="0"/>
                <w:color w:val="000000"/>
                <w:sz w:val="30"/>
                <w:szCs w:val="3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jc w:val="center"/>
        </w:trPr>
        <w:tc>
          <w:tcPr>
            <w:tcW w:w="8973" w:type="dxa"/>
            <w:gridSpan w:val="4"/>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b/>
                <w:bCs/>
                <w:i w:val="0"/>
                <w:iCs w:val="0"/>
                <w:color w:val="000000"/>
                <w:kern w:val="0"/>
                <w:sz w:val="30"/>
                <w:szCs w:val="30"/>
                <w:u w:val="none"/>
                <w:lang w:val="en-US" w:eastAsia="zh-CN" w:bidi="ar"/>
              </w:rPr>
              <w:t>北京医疗整形美容业协会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w:t>
            </w:r>
          </w:p>
        </w:tc>
        <w:tc>
          <w:tcPr>
            <w:tcW w:w="1738" w:type="dxa"/>
            <w:vMerge w:val="restart"/>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医疗美容科</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皮肤病与性病专业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美容皮肤科专业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美容牙科专业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455" w:type="dxa"/>
            <w:tcBorders>
              <w:top w:val="single" w:color="000000" w:sz="4" w:space="0"/>
              <w:left w:val="single" w:color="000000" w:sz="8" w:space="0"/>
              <w:bottom w:val="single" w:color="000000" w:sz="8"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w:t>
            </w:r>
          </w:p>
        </w:tc>
        <w:tc>
          <w:tcPr>
            <w:tcW w:w="1738" w:type="dxa"/>
            <w:vMerge w:val="continue"/>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中医专业</w:t>
            </w:r>
          </w:p>
        </w:tc>
        <w:tc>
          <w:tcPr>
            <w:tcW w:w="2847" w:type="dxa"/>
            <w:tcBorders>
              <w:top w:val="single" w:color="000000" w:sz="4" w:space="0"/>
              <w:left w:val="single" w:color="000000" w:sz="4" w:space="0"/>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美容中医科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1738"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2933"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c>
          <w:tcPr>
            <w:tcW w:w="2847" w:type="dxa"/>
            <w:tcBorders>
              <w:top w:val="nil"/>
              <w:left w:val="nil"/>
              <w:bottom w:val="nil"/>
              <w:right w:val="nil"/>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both"/>
              <w:rPr>
                <w:rFonts w:hint="eastAsia" w:ascii="仿宋_GB2312" w:hAnsi="仿宋_GB2312" w:eastAsia="仿宋_GB2312" w:cs="仿宋_GB2312"/>
                <w:i w:val="0"/>
                <w:iCs w:val="0"/>
                <w:color w:val="000000"/>
                <w:sz w:val="30"/>
                <w:szCs w:val="3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jc w:val="center"/>
        </w:trPr>
        <w:tc>
          <w:tcPr>
            <w:tcW w:w="8973" w:type="dxa"/>
            <w:gridSpan w:val="4"/>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b/>
                <w:bCs/>
                <w:i w:val="0"/>
                <w:iCs w:val="0"/>
                <w:color w:val="000000"/>
                <w:kern w:val="0"/>
                <w:sz w:val="30"/>
                <w:szCs w:val="30"/>
                <w:u w:val="none"/>
                <w:lang w:val="en-US" w:eastAsia="zh-CN" w:bidi="ar"/>
              </w:rPr>
              <w:t>北京健康管理协会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55" w:type="dxa"/>
            <w:tcBorders>
              <w:top w:val="single" w:color="000000" w:sz="8"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执业类别</w:t>
            </w:r>
          </w:p>
        </w:tc>
        <w:tc>
          <w:tcPr>
            <w:tcW w:w="1738" w:type="dxa"/>
            <w:tcBorders>
              <w:top w:val="single" w:color="000000" w:sz="8"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诊疗科目</w:t>
            </w:r>
          </w:p>
        </w:tc>
        <w:tc>
          <w:tcPr>
            <w:tcW w:w="2933" w:type="dxa"/>
            <w:tcBorders>
              <w:top w:val="single" w:color="000000" w:sz="8"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执业范围</w:t>
            </w:r>
          </w:p>
        </w:tc>
        <w:tc>
          <w:tcPr>
            <w:tcW w:w="2847" w:type="dxa"/>
            <w:tcBorders>
              <w:top w:val="single" w:color="000000" w:sz="8" w:space="0"/>
              <w:left w:val="single" w:color="000000" w:sz="8"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黑体" w:hAnsi="黑体" w:eastAsia="黑体" w:cs="黑体"/>
                <w:b w:val="0"/>
                <w:bCs w:val="0"/>
                <w:i w:val="0"/>
                <w:iCs w:val="0"/>
                <w:color w:val="000000"/>
                <w:sz w:val="30"/>
                <w:szCs w:val="30"/>
                <w:u w:val="none"/>
              </w:rPr>
            </w:pPr>
            <w:r>
              <w:rPr>
                <w:rFonts w:hint="eastAsia" w:ascii="黑体" w:hAnsi="黑体" w:eastAsia="黑体" w:cs="黑体"/>
                <w:b w:val="0"/>
                <w:bCs w:val="0"/>
                <w:i w:val="0"/>
                <w:iCs w:val="0"/>
                <w:color w:val="000000"/>
                <w:kern w:val="0"/>
                <w:sz w:val="30"/>
                <w:szCs w:val="30"/>
                <w:u w:val="none"/>
                <w:lang w:val="en-US" w:eastAsia="zh-CN" w:bidi="ar"/>
              </w:rPr>
              <w:t>报考专业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restart"/>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临床</w:t>
            </w:r>
          </w:p>
        </w:tc>
        <w:tc>
          <w:tcPr>
            <w:tcW w:w="17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健康体检</w:t>
            </w: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内科专业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外科专业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妇产科专业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眼耳鼻咽喉科专业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眼科专业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耳鼻咽喉科专业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医学影像和放射治疗专业</w:t>
            </w: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放射诊断专业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8" w:hRule="atLeast"/>
          <w:jc w:val="center"/>
        </w:trPr>
        <w:tc>
          <w:tcPr>
            <w:tcW w:w="1455" w:type="dxa"/>
            <w:vMerge w:val="continue"/>
            <w:tcBorders>
              <w:top w:val="single" w:color="000000" w:sz="4" w:space="0"/>
              <w:left w:val="single" w:color="000000" w:sz="8"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847" w:type="dxa"/>
            <w:tcBorders>
              <w:top w:val="single" w:color="000000" w:sz="4" w:space="0"/>
              <w:left w:val="single" w:color="000000" w:sz="4" w:space="0"/>
              <w:bottom w:val="single" w:color="000000"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超声诊断专业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1455" w:type="dxa"/>
            <w:tcBorders>
              <w:top w:val="single" w:color="000000" w:sz="4" w:space="0"/>
              <w:left w:val="single" w:color="000000" w:sz="8" w:space="0"/>
              <w:bottom w:val="single" w:color="000000" w:sz="8"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w:t>
            </w:r>
          </w:p>
        </w:tc>
        <w:tc>
          <w:tcPr>
            <w:tcW w:w="1738"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firstLine="0" w:firstLineChars="0"/>
              <w:jc w:val="center"/>
              <w:rPr>
                <w:rFonts w:hint="eastAsia" w:ascii="仿宋_GB2312" w:hAnsi="仿宋_GB2312" w:eastAsia="仿宋_GB2312" w:cs="仿宋_GB2312"/>
                <w:i w:val="0"/>
                <w:iCs w:val="0"/>
                <w:color w:val="000000"/>
                <w:sz w:val="30"/>
                <w:szCs w:val="30"/>
                <w:u w:val="none"/>
              </w:rPr>
            </w:pPr>
          </w:p>
        </w:tc>
        <w:tc>
          <w:tcPr>
            <w:tcW w:w="2933" w:type="dxa"/>
            <w:tcBorders>
              <w:top w:val="single" w:color="000000" w:sz="4" w:space="0"/>
              <w:left w:val="single" w:color="000000" w:sz="4" w:space="0"/>
              <w:bottom w:val="single" w:color="000000" w:sz="8"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c>
          <w:tcPr>
            <w:tcW w:w="2847" w:type="dxa"/>
            <w:tcBorders>
              <w:top w:val="single" w:color="000000" w:sz="4" w:space="0"/>
              <w:left w:val="single" w:color="000000" w:sz="4" w:space="0"/>
              <w:bottom w:val="single" w:color="000000" w:sz="8"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center"/>
              <w:rPr>
                <w:rFonts w:hint="eastAsia" w:ascii="仿宋_GB2312" w:hAnsi="仿宋_GB2312" w:eastAsia="仿宋_GB2312" w:cs="仿宋_GB2312"/>
                <w:i w:val="0"/>
                <w:iCs w:val="0"/>
                <w:color w:val="000000"/>
                <w:sz w:val="30"/>
                <w:szCs w:val="30"/>
                <w:u w:val="none"/>
              </w:rPr>
            </w:pPr>
            <w:r>
              <w:rPr>
                <w:rFonts w:hint="eastAsia" w:ascii="仿宋_GB2312" w:hAnsi="仿宋_GB2312" w:eastAsia="仿宋_GB2312" w:cs="仿宋_GB2312"/>
                <w:i w:val="0"/>
                <w:iCs w:val="0"/>
                <w:color w:val="000000"/>
                <w:kern w:val="0"/>
                <w:sz w:val="30"/>
                <w:szCs w:val="30"/>
                <w:u w:val="none"/>
                <w:lang w:val="en-US" w:eastAsia="zh-CN" w:bidi="ar"/>
              </w:rPr>
              <w:t>口腔专业</w:t>
            </w:r>
          </w:p>
        </w:tc>
      </w:tr>
    </w:tbl>
    <w:p>
      <w:pPr>
        <w:widowControl/>
        <w:spacing w:line="200" w:lineRule="exact"/>
        <w:ind w:firstLine="0" w:firstLineChars="0"/>
        <w:jc w:val="left"/>
        <w:rPr>
          <w:rFonts w:hint="eastAsia" w:ascii="Calibri" w:hAnsi="Calibri" w:cs="Times New Roman"/>
        </w:rPr>
      </w:pPr>
    </w:p>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left"/>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注：</w:t>
      </w:r>
    </w:p>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1.持有多执业范围的医师在其执业范围中任选一个专业报考（西学中医师除外）。</w:t>
      </w:r>
    </w:p>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2.须在北京医疗整形美容业协会和北京健康管理协会考核的医师，须由各区定期考核办公室办理委托手续。</w:t>
      </w:r>
    </w:p>
    <w:p>
      <w:pPr>
        <w:keepNext w:val="0"/>
        <w:keepLines w:val="0"/>
        <w:pageBreakBefore w:val="0"/>
        <w:widowControl w:val="0"/>
        <w:suppressLineNumbers w:val="0"/>
        <w:kinsoku/>
        <w:wordWrap/>
        <w:overflowPunct/>
        <w:topLinePunct w:val="0"/>
        <w:autoSpaceDE/>
        <w:autoSpaceDN/>
        <w:bidi w:val="0"/>
        <w:adjustRightInd/>
        <w:snapToGrid/>
        <w:spacing w:line="400" w:lineRule="exact"/>
        <w:ind w:firstLine="600" w:firstLineChars="200"/>
        <w:jc w:val="both"/>
        <w:textAlignment w:val="center"/>
        <w:rPr>
          <w:rFonts w:hint="default"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3.其他（指除以上专业外与其执业范围一致的专业）。</w:t>
      </w:r>
    </w:p>
    <w:p>
      <w:pPr>
        <w:spacing w:line="240" w:lineRule="auto"/>
        <w:ind w:firstLine="0" w:firstLineChars="0"/>
        <w:rPr>
          <w:rFonts w:ascii="Calibri" w:hAnsi="Calibri" w:cs="Times New Roman"/>
        </w:rPr>
      </w:pPr>
    </w:p>
    <w:p>
      <w:pPr>
        <w:spacing w:line="240" w:lineRule="auto"/>
        <w:ind w:firstLine="0" w:firstLineChars="0"/>
        <w:rPr>
          <w:rFonts w:ascii="Calibri" w:hAnsi="Calibri" w:cs="Times New Roman"/>
        </w:rPr>
      </w:pPr>
    </w:p>
    <w:p>
      <w:pPr>
        <w:sectPr>
          <w:headerReference r:id="rId4" w:type="first"/>
          <w:footerReference r:id="rId7" w:type="first"/>
          <w:footerReference r:id="rId5" w:type="default"/>
          <w:headerReference r:id="rId3" w:type="even"/>
          <w:footerReference r:id="rId6" w:type="even"/>
          <w:pgSz w:w="11906" w:h="16838"/>
          <w:pgMar w:top="2098" w:right="1474" w:bottom="1985" w:left="1588" w:header="851" w:footer="992" w:gutter="0"/>
          <w:pgNumType w:fmt="numberInDash"/>
          <w:cols w:space="425" w:num="1"/>
          <w:docGrid w:type="lines" w:linePitch="312" w:charSpace="0"/>
        </w:sectPr>
      </w:pPr>
    </w:p>
    <w:p>
      <w:pPr>
        <w:widowControl/>
        <w:spacing w:line="240" w:lineRule="auto"/>
        <w:ind w:firstLine="0" w:firstLineChars="0"/>
        <w:jc w:val="left"/>
        <w:textAlignment w:val="center"/>
        <w:rPr>
          <w:rFonts w:hint="eastAsia" w:ascii="方正小标宋简体" w:hAnsi="方正小标宋简体" w:eastAsia="黑体" w:cs="方正小标宋简体"/>
          <w:sz w:val="44"/>
          <w:szCs w:val="44"/>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北京市医师定期考核管理系统</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用户操作手册</w:t>
      </w:r>
      <w:r>
        <w:rPr>
          <w:rFonts w:hint="eastAsia" w:ascii="方正小标宋简体" w:hAnsi="方正小标宋简体" w:eastAsia="方正小标宋简体" w:cs="方正小标宋简体"/>
          <w:sz w:val="44"/>
          <w:szCs w:val="44"/>
          <w:lang w:val="en-US" w:eastAsia="zh-CN"/>
        </w:rPr>
        <w:t>-医疗机构&amp;考核机构</w:t>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0" w:name="_Toc223104218"/>
      <w:bookmarkStart w:id="1" w:name="_Toc221491557"/>
      <w:bookmarkStart w:id="2" w:name="_Toc223105005"/>
      <w:r>
        <w:rPr>
          <w:rFonts w:hint="eastAsia" w:ascii="黑体" w:hAnsi="黑体" w:eastAsia="黑体" w:cs="黑体"/>
          <w:b w:val="0"/>
          <w:bCs w:val="0"/>
          <w:iCs/>
          <w:spacing w:val="-20"/>
          <w:kern w:val="32"/>
          <w:sz w:val="32"/>
          <w:szCs w:val="32"/>
          <w:lang w:val="en-US" w:eastAsia="zh-CN" w:bidi="ar-SA"/>
        </w:rPr>
        <w:t>1 系统运行需求</w:t>
      </w:r>
      <w:bookmarkEnd w:id="0"/>
      <w:bookmarkEnd w:id="1"/>
      <w:bookmarkEnd w:id="2"/>
    </w:p>
    <w:p>
      <w:pPr>
        <w:keepNext w:val="0"/>
        <w:keepLines w:val="0"/>
        <w:pageBreakBefore w:val="0"/>
        <w:widowControl/>
        <w:kinsoku/>
        <w:wordWrap/>
        <w:overflowPunct/>
        <w:topLinePunct w:val="0"/>
        <w:autoSpaceDE/>
        <w:autoSpaceDN/>
        <w:bidi w:val="0"/>
        <w:adjustRightInd/>
        <w:snapToGrid/>
        <w:spacing w:after="120"/>
        <w:ind w:firstLine="560" w:firstLineChars="200"/>
        <w:jc w:val="left"/>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建议浏览器使用 Chrome，360，InternetExplorer9.0及以上；</w:t>
      </w:r>
    </w:p>
    <w:p>
      <w:pPr>
        <w:keepNext w:val="0"/>
        <w:keepLines w:val="0"/>
        <w:pageBreakBefore w:val="0"/>
        <w:widowControl/>
        <w:kinsoku/>
        <w:wordWrap/>
        <w:overflowPunct/>
        <w:topLinePunct w:val="0"/>
        <w:autoSpaceDE/>
        <w:autoSpaceDN/>
        <w:bidi w:val="0"/>
        <w:adjustRightInd/>
        <w:snapToGrid/>
        <w:spacing w:after="120"/>
        <w:ind w:firstLine="560" w:firstLineChars="200"/>
        <w:jc w:val="left"/>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系统分辨率为 1024*768及以上</w:t>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3" w:name="_Toc223105006"/>
      <w:bookmarkStart w:id="4" w:name="_Toc221491558"/>
      <w:bookmarkStart w:id="5" w:name="_Toc223104219"/>
      <w:r>
        <w:rPr>
          <w:rFonts w:hint="eastAsia" w:ascii="黑体" w:hAnsi="黑体" w:eastAsia="黑体" w:cs="黑体"/>
          <w:b w:val="0"/>
          <w:bCs w:val="0"/>
          <w:iCs/>
          <w:spacing w:val="-20"/>
          <w:kern w:val="32"/>
          <w:sz w:val="32"/>
          <w:szCs w:val="32"/>
          <w:lang w:val="en-US" w:eastAsia="zh-CN" w:bidi="ar-SA"/>
        </w:rPr>
        <w:t>2 医疗机构&amp;考核机构主要业务功能</w:t>
      </w:r>
      <w:bookmarkEnd w:id="3"/>
      <w:bookmarkEnd w:id="4"/>
      <w:bookmarkEnd w:id="5"/>
    </w:p>
    <w:p>
      <w:pPr>
        <w:keepNext w:val="0"/>
        <w:keepLines w:val="0"/>
        <w:pageBreakBefore w:val="0"/>
        <w:widowControl/>
        <w:numPr>
          <w:ilvl w:val="0"/>
          <w:numId w:val="0"/>
        </w:numPr>
        <w:kinsoku/>
        <w:wordWrap/>
        <w:overflowPunct/>
        <w:topLinePunct w:val="0"/>
        <w:autoSpaceDE/>
        <w:autoSpaceDN/>
        <w:bidi w:val="0"/>
        <w:adjustRightInd/>
        <w:snapToGrid/>
        <w:spacing w:before="240" w:after="60" w:line="312" w:lineRule="auto"/>
        <w:ind w:firstLine="563" w:firstLineChars="200"/>
        <w:contextualSpacing/>
        <w:textAlignment w:val="auto"/>
        <w:outlineLvl w:val="1"/>
        <w:rPr>
          <w:rFonts w:hint="default" w:ascii="仿宋_GB2312" w:hAnsi="仿宋_GB2312" w:eastAsia="仿宋_GB2312" w:cs="仿宋_GB2312"/>
          <w:b/>
          <w:bCs/>
          <w:vanish/>
          <w:color w:val="auto"/>
          <w:spacing w:val="-20"/>
          <w:kern w:val="28"/>
          <w:sz w:val="32"/>
          <w:szCs w:val="32"/>
          <w:lang w:val="en-US" w:eastAsia="zh-CN" w:bidi="ar-SA"/>
        </w:rPr>
      </w:pPr>
      <w:bookmarkStart w:id="6" w:name="_Toc221702229"/>
      <w:bookmarkEnd w:id="6"/>
      <w:bookmarkStart w:id="7" w:name="_Toc221567170"/>
      <w:bookmarkEnd w:id="7"/>
      <w:bookmarkStart w:id="8" w:name="_Toc221491040"/>
      <w:bookmarkEnd w:id="8"/>
      <w:bookmarkStart w:id="9" w:name="_Toc221491117"/>
      <w:bookmarkEnd w:id="9"/>
      <w:bookmarkStart w:id="10" w:name="_Toc221789727"/>
      <w:bookmarkEnd w:id="10"/>
      <w:bookmarkStart w:id="11" w:name="_Toc221492450"/>
      <w:bookmarkEnd w:id="11"/>
      <w:bookmarkStart w:id="12" w:name="_Toc221491015"/>
      <w:bookmarkEnd w:id="12"/>
      <w:bookmarkStart w:id="13" w:name="_Toc221492506"/>
      <w:bookmarkEnd w:id="13"/>
      <w:bookmarkStart w:id="14" w:name="_Toc223104220"/>
      <w:bookmarkEnd w:id="14"/>
      <w:bookmarkStart w:id="15" w:name="_Toc221491385"/>
      <w:bookmarkEnd w:id="15"/>
      <w:bookmarkStart w:id="16" w:name="_Toc221489456"/>
      <w:bookmarkEnd w:id="16"/>
      <w:bookmarkStart w:id="17" w:name="_Toc221491096"/>
      <w:bookmarkEnd w:id="17"/>
      <w:bookmarkStart w:id="18" w:name="_Toc221489478"/>
      <w:bookmarkEnd w:id="18"/>
      <w:bookmarkStart w:id="19" w:name="_Toc221491451"/>
      <w:bookmarkEnd w:id="19"/>
      <w:bookmarkStart w:id="20" w:name="_Toc221491792"/>
      <w:bookmarkEnd w:id="20"/>
      <w:bookmarkStart w:id="21" w:name="_Toc223105007"/>
      <w:bookmarkEnd w:id="21"/>
      <w:bookmarkStart w:id="22" w:name="_Toc221569659"/>
      <w:bookmarkEnd w:id="22"/>
      <w:bookmarkStart w:id="23" w:name="_Toc221491470"/>
      <w:bookmarkEnd w:id="23"/>
      <w:bookmarkStart w:id="24" w:name="_Toc221491775"/>
      <w:bookmarkEnd w:id="24"/>
      <w:bookmarkStart w:id="25" w:name="_Toc221490996"/>
      <w:bookmarkEnd w:id="25"/>
      <w:bookmarkStart w:id="26" w:name="_Toc221566717"/>
      <w:bookmarkEnd w:id="26"/>
      <w:bookmarkStart w:id="27" w:name="_Toc221491559"/>
      <w:bookmarkEnd w:id="27"/>
      <w:bookmarkStart w:id="28" w:name="_Toc221491518"/>
      <w:bookmarkEnd w:id="28"/>
      <w:bookmarkStart w:id="29" w:name="_Toc221567466"/>
      <w:bookmarkEnd w:id="29"/>
      <w:bookmarkStart w:id="30" w:name="_Toc221491680"/>
      <w:bookmarkEnd w:id="30"/>
      <w:bookmarkStart w:id="31" w:name="_Toc221491065"/>
      <w:bookmarkEnd w:id="31"/>
      <w:bookmarkStart w:id="32" w:name="_Toc221492366"/>
      <w:bookmarkEnd w:id="32"/>
      <w:bookmarkStart w:id="33" w:name="_Toc221566729"/>
      <w:bookmarkEnd w:id="33"/>
      <w:bookmarkStart w:id="34" w:name="_Toc221569221"/>
      <w:bookmarkEnd w:id="34"/>
      <w:bookmarkStart w:id="35" w:name="_Toc221569065"/>
      <w:bookmarkEnd w:id="35"/>
      <w:bookmarkStart w:id="36" w:name="_Toc221569583"/>
      <w:bookmarkEnd w:id="36"/>
      <w:bookmarkStart w:id="37" w:name="_Toc221789701"/>
      <w:bookmarkEnd w:id="37"/>
      <w:bookmarkStart w:id="38" w:name="_Toc221491292"/>
      <w:bookmarkEnd w:id="38"/>
      <w:bookmarkStart w:id="39" w:name="_Toc221567189"/>
      <w:bookmarkEnd w:id="39"/>
      <w:r>
        <w:rPr>
          <w:rFonts w:hint="eastAsia" w:ascii="仿宋_GB2312" w:hAnsi="仿宋_GB2312" w:eastAsia="仿宋_GB2312" w:cs="仿宋_GB2312"/>
          <w:b/>
          <w:bCs/>
          <w:vanish/>
          <w:color w:val="auto"/>
          <w:spacing w:val="-20"/>
          <w:kern w:val="28"/>
          <w:sz w:val="32"/>
          <w:szCs w:val="32"/>
          <w:lang w:val="en-US" w:eastAsia="zh-CN" w:bidi="ar-SA"/>
        </w:rPr>
        <w:t>11.1.</w:t>
      </w:r>
    </w:p>
    <w:p>
      <w:pPr>
        <w:keepNext w:val="0"/>
        <w:keepLines w:val="0"/>
        <w:pageBreakBefore w:val="0"/>
        <w:widowControl/>
        <w:numPr>
          <w:ilvl w:val="0"/>
          <w:numId w:val="1"/>
        </w:numPr>
        <w:kinsoku/>
        <w:wordWrap/>
        <w:overflowPunct/>
        <w:topLinePunct w:val="0"/>
        <w:autoSpaceDE/>
        <w:autoSpaceDN/>
        <w:bidi w:val="0"/>
        <w:adjustRightInd/>
        <w:snapToGrid/>
        <w:spacing w:before="240" w:after="60" w:line="312" w:lineRule="auto"/>
        <w:ind w:left="720" w:firstLine="563" w:firstLineChars="200"/>
        <w:contextualSpacing/>
        <w:textAlignment w:val="auto"/>
        <w:outlineLvl w:val="1"/>
        <w:rPr>
          <w:rFonts w:hint="eastAsia" w:ascii="仿宋_GB2312" w:hAnsi="仿宋_GB2312" w:eastAsia="仿宋_GB2312" w:cs="仿宋_GB2312"/>
          <w:b/>
          <w:bCs/>
          <w:vanish/>
          <w:color w:val="auto"/>
          <w:spacing w:val="-20"/>
          <w:kern w:val="28"/>
          <w:sz w:val="32"/>
          <w:szCs w:val="32"/>
          <w:lang w:val="en-US" w:eastAsia="zh-CN" w:bidi="ar-SA"/>
        </w:rPr>
      </w:pPr>
      <w:bookmarkStart w:id="40" w:name="_Toc221492507"/>
      <w:bookmarkEnd w:id="40"/>
      <w:bookmarkStart w:id="41" w:name="_Toc221492367"/>
      <w:bookmarkEnd w:id="41"/>
      <w:bookmarkStart w:id="42" w:name="_Toc221566718"/>
      <w:bookmarkEnd w:id="42"/>
      <w:bookmarkStart w:id="43" w:name="_Toc221490997"/>
      <w:bookmarkEnd w:id="43"/>
      <w:bookmarkStart w:id="44" w:name="_Toc221489479"/>
      <w:bookmarkEnd w:id="44"/>
      <w:bookmarkStart w:id="45" w:name="_Toc221567467"/>
      <w:bookmarkEnd w:id="45"/>
      <w:bookmarkStart w:id="46" w:name="_Toc221491041"/>
      <w:bookmarkEnd w:id="46"/>
      <w:bookmarkStart w:id="47" w:name="_Toc221492451"/>
      <w:bookmarkEnd w:id="47"/>
      <w:bookmarkStart w:id="48" w:name="_Toc221491776"/>
      <w:bookmarkEnd w:id="48"/>
      <w:bookmarkStart w:id="49" w:name="_Toc221569222"/>
      <w:bookmarkEnd w:id="49"/>
      <w:bookmarkStart w:id="50" w:name="_Toc223105008"/>
      <w:bookmarkEnd w:id="50"/>
      <w:bookmarkStart w:id="51" w:name="_Toc221491386"/>
      <w:bookmarkEnd w:id="51"/>
      <w:bookmarkStart w:id="52" w:name="_Toc221491097"/>
      <w:bookmarkEnd w:id="52"/>
      <w:bookmarkStart w:id="53" w:name="_Toc221789728"/>
      <w:bookmarkEnd w:id="53"/>
      <w:bookmarkStart w:id="54" w:name="_Toc221491471"/>
      <w:bookmarkEnd w:id="54"/>
      <w:bookmarkStart w:id="55" w:name="_Toc221489457"/>
      <w:bookmarkEnd w:id="55"/>
      <w:bookmarkStart w:id="56" w:name="_Toc221566730"/>
      <w:bookmarkEnd w:id="56"/>
      <w:bookmarkStart w:id="57" w:name="_Toc221567171"/>
      <w:bookmarkEnd w:id="57"/>
      <w:bookmarkStart w:id="58" w:name="_Toc223104221"/>
      <w:bookmarkEnd w:id="58"/>
      <w:bookmarkStart w:id="59" w:name="_Toc221491452"/>
      <w:bookmarkEnd w:id="59"/>
      <w:bookmarkStart w:id="60" w:name="_Toc221491519"/>
      <w:bookmarkEnd w:id="60"/>
      <w:bookmarkStart w:id="61" w:name="_Toc221491118"/>
      <w:bookmarkEnd w:id="61"/>
      <w:bookmarkStart w:id="62" w:name="_Toc221491793"/>
      <w:bookmarkEnd w:id="62"/>
      <w:bookmarkStart w:id="63" w:name="_Toc221569066"/>
      <w:bookmarkEnd w:id="63"/>
      <w:bookmarkStart w:id="64" w:name="_Toc221491560"/>
      <w:bookmarkEnd w:id="64"/>
      <w:bookmarkStart w:id="65" w:name="_Toc221569584"/>
      <w:bookmarkEnd w:id="65"/>
      <w:bookmarkStart w:id="66" w:name="_Toc221569660"/>
      <w:bookmarkEnd w:id="66"/>
      <w:bookmarkStart w:id="67" w:name="_Toc221789702"/>
      <w:bookmarkEnd w:id="67"/>
      <w:bookmarkStart w:id="68" w:name="_Toc221702230"/>
      <w:bookmarkEnd w:id="68"/>
      <w:bookmarkStart w:id="69" w:name="_Toc221567190"/>
      <w:bookmarkEnd w:id="69"/>
      <w:bookmarkStart w:id="70" w:name="_Toc221491293"/>
      <w:bookmarkEnd w:id="70"/>
      <w:bookmarkStart w:id="71" w:name="_Toc221491681"/>
      <w:bookmarkEnd w:id="71"/>
      <w:bookmarkStart w:id="72" w:name="_Toc221491016"/>
      <w:bookmarkEnd w:id="72"/>
      <w:bookmarkStart w:id="73" w:name="_Toc221491066"/>
      <w:bookmarkEnd w:id="73"/>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"_基础信息确认"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考核机构申请</w:t>
      </w:r>
      <w:r>
        <w:rPr>
          <w:rFonts w:hint="eastAsia" w:ascii="仿宋_GB2312" w:hAnsi="仿宋_GB2312" w:eastAsia="仿宋_GB2312" w:cs="仿宋_GB2312"/>
          <w:color w:val="auto"/>
          <w:spacing w:val="-20"/>
          <w:kern w:val="0"/>
          <w:sz w:val="32"/>
          <w:szCs w:val="32"/>
          <w:u w:val="single"/>
        </w:rPr>
        <w:fldChar w:fldCharType="end"/>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"_医师信息管理"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确认考核医师范围，督促医师报名</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end"/>
      </w: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"_考核机构管理"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医师考核申请审核</w:t>
      </w:r>
      <w:r>
        <w:rPr>
          <w:rFonts w:hint="eastAsia" w:ascii="仿宋_GB2312" w:hAnsi="仿宋_GB2312" w:eastAsia="仿宋_GB2312" w:cs="仿宋_GB2312"/>
          <w:color w:val="auto"/>
          <w:spacing w:val="-20"/>
          <w:kern w:val="0"/>
          <w:sz w:val="32"/>
          <w:szCs w:val="32"/>
          <w:u w:val="single"/>
        </w:rPr>
        <w:fldChar w:fldCharType="end"/>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"_委托机构考核"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本院/多地点执业医师评价（医疗机构考核）</w:t>
      </w:r>
      <w:r>
        <w:rPr>
          <w:rFonts w:hint="eastAsia" w:ascii="仿宋_GB2312" w:hAnsi="仿宋_GB2312" w:eastAsia="仿宋_GB2312" w:cs="仿宋_GB2312"/>
          <w:color w:val="auto"/>
          <w:spacing w:val="-20"/>
          <w:kern w:val="0"/>
          <w:sz w:val="32"/>
          <w:szCs w:val="32"/>
          <w:u w:val="single"/>
        </w:rPr>
        <w:fldChar w:fldCharType="end"/>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auto"/>
          <w:spacing w:val="-20"/>
          <w:kern w:val="0"/>
          <w:sz w:val="32"/>
          <w:szCs w:val="32"/>
        </w:rPr>
      </w:pPr>
      <w:r>
        <w:rPr>
          <w:rFonts w:hint="eastAsia" w:ascii="仿宋_GB2312" w:hAnsi="仿宋_GB2312" w:eastAsia="仿宋_GB2312" w:cs="仿宋_GB2312"/>
          <w:color w:val="auto"/>
          <w:spacing w:val="-20"/>
          <w:kern w:val="0"/>
          <w:sz w:val="32"/>
          <w:szCs w:val="32"/>
        </w:rPr>
        <w:fldChar w:fldCharType="begin"/>
      </w:r>
      <w:r>
        <w:rPr>
          <w:rFonts w:hint="eastAsia" w:ascii="仿宋_GB2312" w:hAnsi="仿宋_GB2312" w:eastAsia="仿宋_GB2312" w:cs="仿宋_GB2312"/>
          <w:color w:val="auto"/>
          <w:spacing w:val="-20"/>
          <w:kern w:val="0"/>
          <w:sz w:val="32"/>
          <w:szCs w:val="32"/>
        </w:rPr>
        <w:instrText xml:space="preserve"> HYPERLINK \l "_考核结果汇总" </w:instrText>
      </w:r>
      <w:r>
        <w:rPr>
          <w:rFonts w:hint="eastAsia" w:ascii="仿宋_GB2312" w:hAnsi="仿宋_GB2312" w:eastAsia="仿宋_GB2312" w:cs="仿宋_GB2312"/>
          <w:color w:val="auto"/>
          <w:spacing w:val="-20"/>
          <w:kern w:val="0"/>
          <w:sz w:val="32"/>
          <w:szCs w:val="32"/>
        </w:rPr>
        <w:fldChar w:fldCharType="separate"/>
      </w:r>
      <w:r>
        <w:rPr>
          <w:rFonts w:hint="eastAsia" w:ascii="仿宋_GB2312" w:hAnsi="仿宋_GB2312" w:eastAsia="仿宋_GB2312" w:cs="仿宋_GB2312"/>
          <w:color w:val="auto"/>
          <w:spacing w:val="-20"/>
          <w:kern w:val="0"/>
          <w:sz w:val="32"/>
          <w:szCs w:val="32"/>
          <w:u w:val="single"/>
        </w:rPr>
        <w:t>考核结果汇总</w:t>
      </w:r>
      <w:r>
        <w:rPr>
          <w:rFonts w:hint="eastAsia" w:ascii="仿宋_GB2312" w:hAnsi="仿宋_GB2312" w:eastAsia="仿宋_GB2312" w:cs="仿宋_GB2312"/>
          <w:color w:val="auto"/>
          <w:spacing w:val="-20"/>
          <w:kern w:val="0"/>
          <w:sz w:val="32"/>
          <w:szCs w:val="32"/>
          <w:u w:val="single"/>
        </w:rPr>
        <w:fldChar w:fldCharType="end"/>
      </w:r>
    </w:p>
    <w:p>
      <w:pPr>
        <w:jc w:val="center"/>
        <w:rPr>
          <w:rFonts w:hint="default" w:ascii="方正小标宋简体" w:hAnsi="方正小标宋简体" w:eastAsia="方正小标宋简体" w:cs="方正小标宋简体"/>
          <w:sz w:val="44"/>
          <w:szCs w:val="44"/>
          <w:lang w:val="en-US" w:eastAsia="zh-CN"/>
        </w:rPr>
      </w:pPr>
    </w:p>
    <w:p>
      <w:pPr>
        <w:jc w:val="center"/>
        <w:rPr>
          <w:rFonts w:hint="default" w:ascii="方正小标宋简体" w:hAnsi="方正小标宋简体" w:eastAsia="方正小标宋简体" w:cs="方正小标宋简体"/>
          <w:sz w:val="44"/>
          <w:szCs w:val="44"/>
          <w:lang w:val="en-US" w:eastAsia="zh-CN"/>
        </w:rPr>
      </w:pPr>
    </w:p>
    <w:p>
      <w:pPr>
        <w:jc w:val="center"/>
        <w:rPr>
          <w:rFonts w:hint="default" w:ascii="方正小标宋简体" w:hAnsi="方正小标宋简体" w:eastAsia="方正小标宋简体" w:cs="方正小标宋简体"/>
          <w:sz w:val="44"/>
          <w:szCs w:val="44"/>
          <w:lang w:val="en-US" w:eastAsia="zh-CN"/>
        </w:rPr>
      </w:pPr>
    </w:p>
    <w:p>
      <w:pPr>
        <w:jc w:val="center"/>
        <w:rPr>
          <w:rFonts w:hint="default" w:ascii="方正小标宋简体" w:hAnsi="方正小标宋简体" w:eastAsia="方正小标宋简体" w:cs="方正小标宋简体"/>
          <w:sz w:val="44"/>
          <w:szCs w:val="44"/>
          <w:lang w:val="en-US" w:eastAsia="zh-CN"/>
        </w:rPr>
      </w:pP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74" w:name="_Toc221491562"/>
      <w:bookmarkStart w:id="75" w:name="_Toc223104222"/>
      <w:bookmarkStart w:id="76" w:name="_Toc223105009"/>
      <w:r>
        <w:rPr>
          <w:rFonts w:ascii="微软雅黑 Light" w:hAnsi="微软雅黑 Light" w:eastAsia="微软雅黑 Light" w:cs="Times New Roman"/>
          <w:spacing w:val="-20"/>
          <w:kern w:val="0"/>
          <w:sz w:val="24"/>
        </w:rPr>
        <w:drawing>
          <wp:anchor distT="0" distB="0" distL="0" distR="0" simplePos="0" relativeHeight="251663360" behindDoc="1" locked="0" layoutInCell="1" allowOverlap="1">
            <wp:simplePos x="0" y="0"/>
            <wp:positionH relativeFrom="column">
              <wp:posOffset>-687070</wp:posOffset>
            </wp:positionH>
            <wp:positionV relativeFrom="paragraph">
              <wp:posOffset>701675</wp:posOffset>
            </wp:positionV>
            <wp:extent cx="6848475" cy="6057900"/>
            <wp:effectExtent l="0" t="0" r="0" b="0"/>
            <wp:wrapTight wrapText="bothSides">
              <wp:wrapPolygon>
                <wp:start x="9253" y="408"/>
                <wp:lineTo x="8772" y="543"/>
                <wp:lineTo x="7631" y="1291"/>
                <wp:lineTo x="7631" y="1562"/>
                <wp:lineTo x="7150" y="2581"/>
                <wp:lineTo x="7090" y="3464"/>
                <wp:lineTo x="7991" y="3668"/>
                <wp:lineTo x="11476" y="3668"/>
                <wp:lineTo x="8051" y="4143"/>
                <wp:lineTo x="6549" y="4483"/>
                <wp:lineTo x="6549" y="4755"/>
                <wp:lineTo x="6309" y="5026"/>
                <wp:lineTo x="5708" y="5774"/>
                <wp:lineTo x="5408" y="6928"/>
                <wp:lineTo x="5528" y="8015"/>
                <wp:lineTo x="6008" y="9102"/>
                <wp:lineTo x="6008" y="9238"/>
                <wp:lineTo x="7210" y="10189"/>
                <wp:lineTo x="7390" y="10460"/>
                <wp:lineTo x="8412" y="11275"/>
                <wp:lineTo x="8772" y="11275"/>
                <wp:lineTo x="6669" y="12362"/>
                <wp:lineTo x="6249" y="12838"/>
                <wp:lineTo x="5768" y="13449"/>
                <wp:lineTo x="5468" y="14468"/>
                <wp:lineTo x="5468" y="15623"/>
                <wp:lineTo x="5948" y="16709"/>
                <wp:lineTo x="5948" y="16845"/>
                <wp:lineTo x="7030" y="17796"/>
                <wp:lineTo x="7090" y="18883"/>
                <wp:lineTo x="7270" y="19970"/>
                <wp:lineTo x="7931" y="21057"/>
                <wp:lineTo x="9013" y="21736"/>
                <wp:lineTo x="9253" y="21736"/>
                <wp:lineTo x="10394" y="21736"/>
                <wp:lineTo x="10635" y="21736"/>
                <wp:lineTo x="11716" y="21057"/>
                <wp:lineTo x="12377" y="19970"/>
                <wp:lineTo x="12798" y="19970"/>
                <wp:lineTo x="16042" y="19019"/>
                <wp:lineTo x="16162" y="18068"/>
                <wp:lineTo x="15381" y="17796"/>
                <wp:lineTo x="12437" y="17796"/>
                <wp:lineTo x="12017" y="16913"/>
                <wp:lineTo x="11957" y="16098"/>
                <wp:lineTo x="10034" y="15691"/>
                <wp:lineTo x="6609" y="15623"/>
                <wp:lineTo x="13999" y="15079"/>
                <wp:lineTo x="13999" y="14536"/>
                <wp:lineTo x="9974" y="14536"/>
                <wp:lineTo x="11656" y="14196"/>
                <wp:lineTo x="11656" y="13449"/>
                <wp:lineTo x="12317" y="12362"/>
                <wp:lineTo x="13098" y="12362"/>
                <wp:lineTo x="15682" y="11547"/>
                <wp:lineTo x="15802" y="10528"/>
                <wp:lineTo x="15321" y="10392"/>
                <wp:lineTo x="12497" y="10189"/>
                <wp:lineTo x="12077" y="9442"/>
                <wp:lineTo x="11957" y="8423"/>
                <wp:lineTo x="9974" y="8015"/>
                <wp:lineTo x="11716" y="8015"/>
                <wp:lineTo x="13339" y="7743"/>
                <wp:lineTo x="13278" y="6860"/>
                <wp:lineTo x="12738" y="6453"/>
                <wp:lineTo x="11536" y="5842"/>
                <wp:lineTo x="12317" y="4755"/>
                <wp:lineTo x="12678" y="4755"/>
                <wp:lineTo x="15682" y="3804"/>
                <wp:lineTo x="15802" y="2785"/>
                <wp:lineTo x="15321" y="2649"/>
                <wp:lineTo x="12497" y="2581"/>
                <wp:lineTo x="12077" y="1358"/>
                <wp:lineTo x="10875" y="543"/>
                <wp:lineTo x="10394" y="408"/>
                <wp:lineTo x="9253" y="408"/>
              </wp:wrapPolygon>
            </wp:wrapTight>
            <wp:docPr id="27" name="图示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hint="eastAsia" w:ascii="黑体" w:hAnsi="黑体" w:eastAsia="黑体" w:cs="黑体"/>
          <w:b w:val="0"/>
          <w:bCs w:val="0"/>
          <w:iCs/>
          <w:spacing w:val="-20"/>
          <w:kern w:val="32"/>
          <w:sz w:val="32"/>
          <w:szCs w:val="32"/>
          <w:lang w:val="en-US" w:eastAsia="zh-CN" w:bidi="ar-SA"/>
        </w:rPr>
        <w:t>3 主业务流程</w:t>
      </w:r>
      <w:bookmarkEnd w:id="74"/>
      <w:bookmarkEnd w:id="75"/>
      <w:bookmarkEnd w:id="76"/>
    </w:p>
    <w:p>
      <w:pPr>
        <w:jc w:val="center"/>
        <w:rPr>
          <w:rFonts w:hint="default" w:ascii="方正小标宋简体" w:hAnsi="方正小标宋简体" w:eastAsia="方正小标宋简体" w:cs="方正小标宋简体"/>
          <w:sz w:val="44"/>
          <w:szCs w:val="44"/>
          <w:lang w:val="en-US" w:eastAsia="zh-CN"/>
        </w:rPr>
        <w:sectPr>
          <w:pgSz w:w="11906" w:h="16838"/>
          <w:pgMar w:top="2098" w:right="1474" w:bottom="1985" w:left="1588" w:header="851" w:footer="992" w:gutter="0"/>
          <w:pgNumType w:fmt="numberInDash"/>
          <w:cols w:space="425" w:num="1"/>
          <w:docGrid w:type="lines" w:linePitch="312" w:charSpace="0"/>
        </w:sectPr>
      </w:pP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77" w:name="_Toc223105010"/>
      <w:bookmarkStart w:id="78" w:name="_Toc221491563"/>
      <w:bookmarkStart w:id="79" w:name="_Toc223104223"/>
      <w:r>
        <w:rPr>
          <w:rFonts w:hint="eastAsia" w:ascii="黑体" w:hAnsi="黑体" w:eastAsia="黑体" w:cs="黑体"/>
          <w:b w:val="0"/>
          <w:bCs w:val="0"/>
          <w:iCs/>
          <w:spacing w:val="-20"/>
          <w:kern w:val="32"/>
          <w:sz w:val="32"/>
          <w:szCs w:val="32"/>
          <w:lang w:val="en-US" w:eastAsia="zh-CN" w:bidi="ar-SA"/>
        </w:rPr>
        <w:t>4系统登录</w:t>
      </w:r>
      <w:bookmarkEnd w:id="77"/>
      <w:bookmarkEnd w:id="78"/>
      <w:bookmarkEnd w:id="79"/>
    </w:p>
    <w:p>
      <w:pPr>
        <w:keepNext w:val="0"/>
        <w:keepLines w:val="0"/>
        <w:pageBreakBefore w:val="0"/>
        <w:widowControl/>
        <w:kinsoku w:val="0"/>
        <w:wordWrap/>
        <w:overflowPunct/>
        <w:topLinePunct w:val="0"/>
        <w:autoSpaceDE/>
        <w:autoSpaceDN/>
        <w:bidi w:val="0"/>
        <w:adjustRightInd/>
        <w:snapToGrid/>
        <w:spacing w:line="240" w:lineRule="auto"/>
        <w:ind w:firstLine="563" w:firstLineChars="200"/>
        <w:jc w:val="left"/>
        <w:textAlignment w:val="auto"/>
        <w:rPr>
          <w:rFonts w:hint="eastAsia" w:ascii="仿宋_GB2312" w:hAnsi="仿宋_GB2312" w:eastAsia="仿宋_GB2312" w:cs="仿宋_GB2312"/>
          <w:b/>
          <w:spacing w:val="-20"/>
          <w:kern w:val="0"/>
          <w:sz w:val="32"/>
          <w:szCs w:val="32"/>
        </w:rPr>
      </w:pPr>
      <w:r>
        <w:rPr>
          <w:rFonts w:hint="eastAsia" w:ascii="仿宋_GB2312" w:hAnsi="仿宋_GB2312" w:eastAsia="仿宋_GB2312" w:cs="仿宋_GB2312"/>
          <w:b/>
          <w:color w:val="FF0000"/>
          <w:spacing w:val="-20"/>
          <w:kern w:val="0"/>
          <w:sz w:val="32"/>
          <w:szCs w:val="32"/>
        </w:rPr>
        <w:t>系统地址：https://120.52.191.195:8090/hrms_pro</w:t>
      </w:r>
    </w:p>
    <w:p>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账号：机构执业许可证登记号；</w:t>
      </w:r>
    </w:p>
    <w:p>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both"/>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初始密码：账号后6位+*+Dk；（如某单位机构执业许可证登记号为“1101110220110712123456”，账号后六位为123456，则初始密码为“123456*Dk”，D大写，k小写）。</w:t>
      </w:r>
    </w:p>
    <w:p>
      <w:pPr>
        <w:keepNext w:val="0"/>
        <w:keepLines w:val="0"/>
        <w:pageBreakBefore w:val="0"/>
        <w:widowControl/>
        <w:kinsoku w:val="0"/>
        <w:wordWrap/>
        <w:overflowPunct/>
        <w:topLinePunct w:val="0"/>
        <w:autoSpaceDE/>
        <w:autoSpaceDN/>
        <w:bidi w:val="0"/>
        <w:adjustRightInd/>
        <w:snapToGrid/>
        <w:spacing w:line="240" w:lineRule="auto"/>
        <w:ind w:firstLine="563" w:firstLineChars="200"/>
        <w:jc w:val="left"/>
        <w:textAlignment w:val="auto"/>
        <w:rPr>
          <w:rFonts w:ascii="微软雅黑 Light" w:hAnsi="微软雅黑 Light" w:eastAsia="微软雅黑 Light" w:cs="Times New Roman"/>
          <w:b/>
          <w:color w:val="FF0000"/>
          <w:spacing w:val="-20"/>
          <w:kern w:val="0"/>
          <w:sz w:val="24"/>
        </w:rPr>
      </w:pPr>
      <w:r>
        <w:rPr>
          <w:rFonts w:hint="eastAsia" w:ascii="仿宋_GB2312" w:hAnsi="仿宋_GB2312" w:eastAsia="仿宋_GB2312" w:cs="仿宋_GB2312"/>
          <w:b/>
          <w:color w:val="FF0000"/>
          <w:spacing w:val="-20"/>
          <w:kern w:val="0"/>
          <w:sz w:val="32"/>
          <w:szCs w:val="32"/>
        </w:rPr>
        <w:t>PS：若忘记之前自设置的密码，密码找回后首次登录也需要使用初始密码登录，登录密码可以使用联系手机号在”信息管理</w:t>
      </w:r>
      <w:r>
        <w:rPr>
          <w:rFonts w:hint="eastAsia" w:ascii="仿宋_GB2312" w:hAnsi="仿宋_GB2312" w:eastAsia="仿宋_GB2312" w:cs="仿宋_GB2312"/>
          <w:b/>
          <w:color w:val="FF0000"/>
          <w:spacing w:val="-20"/>
          <w:kern w:val="0"/>
          <w:sz w:val="32"/>
          <w:szCs w:val="32"/>
        </w:rPr>
        <w:sym w:font="Wingdings" w:char="F0E0"/>
      </w:r>
      <w:r>
        <w:rPr>
          <w:rFonts w:hint="eastAsia" w:ascii="仿宋_GB2312" w:hAnsi="仿宋_GB2312" w:eastAsia="仿宋_GB2312" w:cs="仿宋_GB2312"/>
          <w:b/>
          <w:color w:val="FF0000"/>
          <w:spacing w:val="-20"/>
          <w:kern w:val="0"/>
          <w:sz w:val="32"/>
          <w:szCs w:val="32"/>
        </w:rPr>
        <w:t>密码设置”页面进行修改。</w:t>
      </w:r>
    </w:p>
    <w:p>
      <w:pPr>
        <w:widowControl/>
        <w:spacing w:line="240" w:lineRule="auto"/>
        <w:ind w:firstLine="0" w:firstLineChars="0"/>
        <w:jc w:val="left"/>
        <w:rPr>
          <w:rFonts w:ascii="微软雅黑 Light" w:hAnsi="微软雅黑 Light" w:eastAsia="微软雅黑 Light" w:cs="Times New Roman"/>
          <w:b/>
          <w:bCs/>
          <w:spacing w:val="-20"/>
          <w:kern w:val="0"/>
          <w:sz w:val="30"/>
          <w:szCs w:val="30"/>
        </w:rPr>
      </w:pPr>
    </w:p>
    <w:p>
      <w:pPr>
        <w:keepNext/>
        <w:numPr>
          <w:ilvl w:val="0"/>
          <w:numId w:val="0"/>
        </w:numPr>
        <w:spacing w:before="267" w:beforeLines="50" w:after="267" w:afterLines="50" w:line="360" w:lineRule="auto"/>
        <w:ind w:leftChars="0"/>
        <w:outlineLvl w:val="0"/>
        <w:rPr>
          <w:rFonts w:ascii="微软雅黑 Light" w:hAnsi="微软雅黑 Light" w:eastAsia="微软雅黑 Light" w:cs="Times New Roman"/>
          <w:b w:val="0"/>
          <w:bCs w:val="0"/>
          <w:iCs/>
          <w:spacing w:val="-20"/>
          <w:kern w:val="32"/>
          <w:sz w:val="44"/>
          <w:szCs w:val="44"/>
          <w:lang w:val="en-US" w:eastAsia="zh-CN" w:bidi="ar-SA"/>
        </w:rPr>
      </w:pPr>
      <w:bookmarkStart w:id="80" w:name="_基础信息确认"/>
      <w:bookmarkEnd w:id="80"/>
      <w:bookmarkStart w:id="81" w:name="_Toc223104224"/>
      <w:bookmarkStart w:id="82" w:name="_Toc223105011"/>
      <w:r>
        <w:rPr>
          <w:rFonts w:hint="eastAsia" w:ascii="黑体" w:hAnsi="黑体" w:eastAsia="黑体" w:cs="黑体"/>
          <w:b w:val="0"/>
          <w:bCs w:val="0"/>
          <w:iCs/>
          <w:spacing w:val="-20"/>
          <w:kern w:val="32"/>
          <w:sz w:val="32"/>
          <w:szCs w:val="32"/>
          <w:lang w:val="en-US" w:eastAsia="zh-CN" w:bidi="ar-SA"/>
        </w:rPr>
        <w:t>5基础信息确认</w:t>
      </w:r>
      <w:bookmarkEnd w:id="81"/>
      <w:bookmarkEnd w:id="82"/>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医疗机构需要确认本单位的机构登记信息，考核委员会信息和考核办公室信息，需要在以下功能页面完成信息确认和更新：</w:t>
      </w:r>
    </w:p>
    <w:p>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机构登记</w:t>
      </w:r>
    </w:p>
    <w:p>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考核委员会管理</w:t>
      </w:r>
    </w:p>
    <w:p>
      <w:pPr>
        <w:keepNext w:val="0"/>
        <w:keepLines w:val="0"/>
        <w:pageBreakBefore w:val="0"/>
        <w:widowControl/>
        <w:numPr>
          <w:ilvl w:val="0"/>
          <w:numId w:val="2"/>
        </w:numPr>
        <w:kinsoku/>
        <w:wordWrap/>
        <w:overflowPunct/>
        <w:topLinePunct w:val="0"/>
        <w:autoSpaceDE/>
        <w:autoSpaceDN/>
        <w:bidi w:val="0"/>
        <w:adjustRightInd/>
        <w:snapToGrid/>
        <w:ind w:left="912" w:firstLine="560" w:firstLineChars="200"/>
        <w:contextualSpacing/>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信息管理</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考核办公室管理</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医疗机构需要按照医师定期考核管理办法规定，按照真实情况填写基础信息、添加/修改考核委员会和考核办公室管理人员。</w:t>
      </w:r>
    </w:p>
    <w:p>
      <w:pPr>
        <w:widowControl/>
        <w:spacing w:line="240" w:lineRule="auto"/>
        <w:ind w:firstLine="0" w:firstLineChars="0"/>
        <w:jc w:val="center"/>
        <w:rPr>
          <w:rFonts w:hint="eastAsia" w:ascii="仿宋_GB2312" w:hAnsi="仿宋_GB2312" w:eastAsia="仿宋_GB2312" w:cs="仿宋_GB2312"/>
          <w:color w:val="FF0000"/>
          <w:spacing w:val="-20"/>
          <w:kern w:val="0"/>
          <w:sz w:val="32"/>
          <w:szCs w:val="32"/>
        </w:rPr>
      </w:pPr>
      <w:r>
        <w:rPr>
          <w:rFonts w:ascii="微软雅黑 Light" w:hAnsi="微软雅黑 Light" w:eastAsia="微软雅黑 Light" w:cs="Times New Roman"/>
          <w:spacing w:val="-20"/>
          <w:kern w:val="0"/>
          <w:sz w:val="24"/>
        </w:rPr>
        <w:drawing>
          <wp:inline distT="0" distB="0" distL="0" distR="0">
            <wp:extent cx="1540510" cy="36550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1540510" cy="3655060"/>
                    </a:xfrm>
                    <a:prstGeom prst="rect">
                      <a:avLst/>
                    </a:prstGeom>
                  </pic:spPr>
                </pic:pic>
              </a:graphicData>
            </a:graphic>
          </wp:inline>
        </w:drawing>
      </w:r>
      <w:r>
        <w:rPr>
          <w:rFonts w:ascii="微软雅黑 Light" w:hAnsi="微软雅黑 Light" w:eastAsia="微软雅黑 Light" w:cs="Times New Roman"/>
          <w:spacing w:val="-20"/>
          <w:kern w:val="0"/>
          <w:sz w:val="24"/>
        </w:rPr>
        <w:drawing>
          <wp:anchor distT="0" distB="0" distL="114300" distR="114300" simplePos="0" relativeHeight="251664384" behindDoc="0" locked="0" layoutInCell="1" allowOverlap="1">
            <wp:simplePos x="0" y="0"/>
            <wp:positionH relativeFrom="column">
              <wp:posOffset>9525</wp:posOffset>
            </wp:positionH>
            <wp:positionV relativeFrom="paragraph">
              <wp:posOffset>238125</wp:posOffset>
            </wp:positionV>
            <wp:extent cx="5824855" cy="2095500"/>
            <wp:effectExtent l="0" t="0" r="4445" b="0"/>
            <wp:wrapSquare wrapText="bothSides"/>
            <wp:docPr id="24"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6"/>
                    <pic:cNvPicPr>
                      <a:picLocks noChangeAspect="1"/>
                    </pic:cNvPicPr>
                  </pic:nvPicPr>
                  <pic:blipFill>
                    <a:blip r:embed="rId17"/>
                    <a:stretch>
                      <a:fillRect/>
                    </a:stretch>
                  </pic:blipFill>
                  <pic:spPr>
                    <a:xfrm>
                      <a:off x="0" y="0"/>
                      <a:ext cx="5824855" cy="20955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color w:val="FF0000"/>
          <w:spacing w:val="-20"/>
          <w:kern w:val="0"/>
          <w:sz w:val="32"/>
          <w:szCs w:val="32"/>
        </w:rPr>
        <w:t>PS：若医疗机构符合考核机构条件，拟成为考核机构的，需要在信息管理</w:t>
      </w:r>
      <w:r>
        <w:rPr>
          <w:rFonts w:hint="eastAsia" w:ascii="仿宋_GB2312" w:hAnsi="仿宋_GB2312" w:eastAsia="仿宋_GB2312" w:cs="仿宋_GB2312"/>
          <w:color w:val="FF0000"/>
          <w:spacing w:val="-20"/>
          <w:kern w:val="0"/>
          <w:sz w:val="32"/>
          <w:szCs w:val="32"/>
        </w:rPr>
        <w:sym w:font="Wingdings" w:char="F0E0"/>
      </w:r>
      <w:r>
        <w:rPr>
          <w:rFonts w:hint="eastAsia" w:ascii="仿宋_GB2312" w:hAnsi="仿宋_GB2312" w:eastAsia="仿宋_GB2312" w:cs="仿宋_GB2312"/>
          <w:color w:val="FF0000"/>
          <w:spacing w:val="-20"/>
          <w:kern w:val="0"/>
          <w:sz w:val="32"/>
          <w:szCs w:val="32"/>
        </w:rPr>
        <w:t>机构登记页面，点击“申请为2026年考核机构”；</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申请后，待市/区县定考办审核通过后24小时内生效。</w:t>
      </w:r>
    </w:p>
    <w:p>
      <w:pPr>
        <w:widowControl/>
        <w:spacing w:line="240" w:lineRule="auto"/>
        <w:ind w:firstLine="0" w:firstLineChars="0"/>
        <w:jc w:val="left"/>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114300" distR="114300">
            <wp:extent cx="5824855" cy="1981200"/>
            <wp:effectExtent l="0" t="0" r="4445" b="0"/>
            <wp:docPr id="23"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6"/>
                    <pic:cNvPicPr>
                      <a:picLocks noChangeAspect="1"/>
                    </pic:cNvPicPr>
                  </pic:nvPicPr>
                  <pic:blipFill>
                    <a:blip r:embed="rId18"/>
                    <a:stretch>
                      <a:fillRect/>
                    </a:stretch>
                  </pic:blipFill>
                  <pic:spPr>
                    <a:xfrm>
                      <a:off x="0" y="0"/>
                      <a:ext cx="5824855" cy="1981200"/>
                    </a:xfrm>
                    <a:prstGeom prst="rect">
                      <a:avLst/>
                    </a:prstGeom>
                    <a:noFill/>
                    <a:ln>
                      <a:noFill/>
                    </a:ln>
                  </pic:spPr>
                </pic:pic>
              </a:graphicData>
            </a:graphic>
          </wp:inline>
        </w:drawing>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83" w:name="_医师信息管理"/>
      <w:bookmarkEnd w:id="83"/>
      <w:bookmarkStart w:id="84" w:name="_Toc221491565"/>
      <w:bookmarkStart w:id="85" w:name="_Toc223105012"/>
      <w:bookmarkStart w:id="86" w:name="_Toc223104225"/>
      <w:r>
        <w:rPr>
          <w:rFonts w:hint="eastAsia" w:ascii="黑体" w:hAnsi="黑体" w:eastAsia="黑体" w:cs="黑体"/>
          <w:b w:val="0"/>
          <w:bCs w:val="0"/>
          <w:iCs/>
          <w:spacing w:val="-20"/>
          <w:kern w:val="32"/>
          <w:sz w:val="32"/>
          <w:szCs w:val="32"/>
          <w:lang w:val="en-US" w:eastAsia="zh-CN" w:bidi="ar-SA"/>
        </w:rPr>
        <w:t>6 医师信息管理</w:t>
      </w:r>
      <w:bookmarkEnd w:id="84"/>
      <w:bookmarkEnd w:id="85"/>
      <w:bookmarkEnd w:id="86"/>
    </w:p>
    <w:p>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医疗机构确认应参考医师数据，并可随时跟踪医师报名申请状态；</w:t>
      </w:r>
    </w:p>
    <w:p>
      <w:pPr>
        <w:keepNext w:val="0"/>
        <w:keepLines w:val="0"/>
        <w:pageBreakBefore w:val="0"/>
        <w:widowControl/>
        <w:kinsoku w:val="0"/>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功能链接：信息管理</w:t>
      </w:r>
      <w:r>
        <w:rPr>
          <w:rFonts w:hint="eastAsia" w:ascii="仿宋_GB2312" w:hAnsi="仿宋_GB2312" w:eastAsia="仿宋_GB2312" w:cs="仿宋_GB2312"/>
          <w:spacing w:val="-22"/>
          <w:kern w:val="0"/>
          <w:sz w:val="32"/>
          <w:szCs w:val="32"/>
        </w:rPr>
        <w:t>--&gt;</w:t>
      </w:r>
      <w:r>
        <w:rPr>
          <w:rFonts w:hint="eastAsia" w:ascii="仿宋_GB2312" w:hAnsi="仿宋_GB2312" w:eastAsia="仿宋_GB2312" w:cs="仿宋_GB2312"/>
          <w:spacing w:val="-20"/>
          <w:kern w:val="0"/>
          <w:sz w:val="32"/>
          <w:szCs w:val="32"/>
        </w:rPr>
        <w:t>医师信息管理</w:t>
      </w:r>
    </w:p>
    <w:p>
      <w:pPr>
        <w:widowControl/>
        <w:kinsoku w:val="0"/>
        <w:spacing w:line="240" w:lineRule="auto"/>
        <w:ind w:firstLine="0" w:firstLineChars="0"/>
        <w:jc w:val="left"/>
        <w:rPr>
          <w:rFonts w:ascii="微软雅黑 Light" w:hAnsi="微软雅黑 Light" w:eastAsia="微软雅黑 Light" w:cs="Times New Roman"/>
          <w:spacing w:val="-20"/>
          <w:kern w:val="0"/>
          <w:sz w:val="24"/>
        </w:rPr>
      </w:pPr>
    </w:p>
    <w:p>
      <w:pPr>
        <w:widowControl/>
        <w:kinsoku w:val="0"/>
        <w:spacing w:line="240" w:lineRule="auto"/>
        <w:ind w:firstLine="0" w:firstLineChars="0"/>
        <w:jc w:val="center"/>
        <w:rPr>
          <w:rFonts w:ascii="微软雅黑 Light" w:hAnsi="微软雅黑 Light" w:eastAsia="微软雅黑 Light" w:cs="Times New Roman"/>
          <w:spacing w:val="-20"/>
          <w:kern w:val="0"/>
          <w:sz w:val="24"/>
        </w:rPr>
      </w:pPr>
      <w:r>
        <w:rPr>
          <w:rFonts w:ascii="微软雅黑 Light" w:hAnsi="微软雅黑 Light" w:eastAsia="微软雅黑 Light" w:cs="Times New Roman"/>
          <w:spacing w:val="-20"/>
          <w:kern w:val="0"/>
          <w:sz w:val="24"/>
        </w:rPr>
        <w:drawing>
          <wp:inline distT="0" distB="0" distL="0" distR="0">
            <wp:extent cx="1812925" cy="3805555"/>
            <wp:effectExtent l="0" t="0" r="158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rcRect b="32724"/>
                    <a:stretch>
                      <a:fillRect/>
                    </a:stretch>
                  </pic:blipFill>
                  <pic:spPr>
                    <a:xfrm>
                      <a:off x="0" y="0"/>
                      <a:ext cx="1812925" cy="3805555"/>
                    </a:xfrm>
                    <a:prstGeom prst="rect">
                      <a:avLst/>
                    </a:prstGeom>
                    <a:ln>
                      <a:noFill/>
                    </a:ln>
                  </pic:spPr>
                </pic:pic>
              </a:graphicData>
            </a:graphic>
          </wp:inline>
        </w:drawing>
      </w:r>
    </w:p>
    <w:p>
      <w:pPr>
        <w:widowControl/>
        <w:spacing w:line="240" w:lineRule="auto"/>
        <w:ind w:firstLine="0" w:firstLineChars="0"/>
        <w:jc w:val="left"/>
        <w:rPr>
          <w:rFonts w:ascii="微软雅黑 Light" w:hAnsi="微软雅黑 Light" w:eastAsia="微软雅黑 Light" w:cs="Times New Roman"/>
          <w:color w:val="FF0000"/>
          <w:spacing w:val="-20"/>
          <w:kern w:val="0"/>
          <w:sz w:val="24"/>
        </w:rPr>
      </w:pPr>
      <w:r>
        <w:rPr>
          <w:rFonts w:ascii="微软雅黑 Light" w:hAnsi="微软雅黑 Light" w:eastAsia="微软雅黑 Light" w:cs="Times New Roman"/>
          <w:spacing w:val="-20"/>
          <w:kern w:val="0"/>
          <w:sz w:val="24"/>
        </w:rPr>
        <w:drawing>
          <wp:inline distT="0" distB="0" distL="114300" distR="114300">
            <wp:extent cx="5816600" cy="2345055"/>
            <wp:effectExtent l="0" t="0" r="12700" b="17145"/>
            <wp:docPr id="22"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7"/>
                    <pic:cNvPicPr>
                      <a:picLocks noChangeAspect="1"/>
                    </pic:cNvPicPr>
                  </pic:nvPicPr>
                  <pic:blipFill>
                    <a:blip r:embed="rId20"/>
                    <a:stretch>
                      <a:fillRect/>
                    </a:stretch>
                  </pic:blipFill>
                  <pic:spPr>
                    <a:xfrm>
                      <a:off x="0" y="0"/>
                      <a:ext cx="5816600" cy="23450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PS：若某医师无法/无需参加本年度医师定期考核，可点击“隐藏”按钮，输入原因后，对应医师将清出应参考医师清单。医师暂存后，可在信息管理</w:t>
      </w:r>
      <w:r>
        <w:rPr>
          <w:rFonts w:hint="eastAsia" w:ascii="仿宋_GB2312" w:hAnsi="仿宋_GB2312" w:eastAsia="仿宋_GB2312" w:cs="仿宋_GB2312"/>
          <w:color w:val="FF0000"/>
          <w:spacing w:val="-20"/>
          <w:kern w:val="0"/>
          <w:sz w:val="32"/>
          <w:szCs w:val="32"/>
        </w:rPr>
        <w:sym w:font="Wingdings" w:char="F0E0"/>
      </w:r>
      <w:r>
        <w:rPr>
          <w:rFonts w:hint="eastAsia" w:ascii="仿宋_GB2312" w:hAnsi="仿宋_GB2312" w:eastAsia="仿宋_GB2312" w:cs="仿宋_GB2312"/>
          <w:color w:val="FF0000"/>
          <w:spacing w:val="-20"/>
          <w:kern w:val="0"/>
          <w:sz w:val="32"/>
          <w:szCs w:val="32"/>
        </w:rPr>
        <w:t>医师暂存功能页进行被隐藏医师的查看和取消隐藏操作。</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color w:val="FF0000"/>
          <w:spacing w:val="-20"/>
          <w:kern w:val="0"/>
          <w:sz w:val="32"/>
          <w:szCs w:val="32"/>
        </w:rPr>
        <w:t>若某医师基础信息、报名专业信息等有误，可点击“打回报名”按钮，退回医师报名状态，对应医师可重新进行信息确认和考核申请报名。</w:t>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87" w:name="_考核机构管理"/>
      <w:bookmarkEnd w:id="87"/>
      <w:bookmarkStart w:id="88" w:name="_Toc223105013"/>
      <w:bookmarkStart w:id="89" w:name="_Toc223104226"/>
      <w:r>
        <w:rPr>
          <w:rFonts w:hint="eastAsia" w:ascii="黑体" w:hAnsi="黑体" w:eastAsia="黑体" w:cs="黑体"/>
          <w:b w:val="0"/>
          <w:bCs w:val="0"/>
          <w:iCs/>
          <w:spacing w:val="-20"/>
          <w:kern w:val="32"/>
          <w:sz w:val="32"/>
          <w:szCs w:val="32"/>
          <w:lang w:val="en-US" w:eastAsia="zh-CN" w:bidi="ar-SA"/>
        </w:rPr>
        <w:t>7 考核申请审核</w:t>
      </w:r>
      <w:bookmarkEnd w:id="88"/>
      <w:bookmarkEnd w:id="89"/>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 xml:space="preserve">医师完成考核申请报名后，医疗机构需进行报名审核确认，确认后医师才可进行后续的评价和考评工作； </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功能链接：信息管理</w:t>
      </w:r>
      <w:r>
        <w:rPr>
          <w:rFonts w:hint="eastAsia" w:ascii="仿宋_GB2312" w:hAnsi="仿宋_GB2312" w:eastAsia="仿宋_GB2312" w:cs="仿宋_GB2312"/>
          <w:spacing w:val="-22"/>
          <w:kern w:val="0"/>
          <w:sz w:val="32"/>
          <w:szCs w:val="32"/>
        </w:rPr>
        <w:sym w:font="Wingdings" w:char="F0E0"/>
      </w:r>
      <w:r>
        <w:rPr>
          <w:rFonts w:hint="eastAsia" w:ascii="仿宋_GB2312" w:hAnsi="仿宋_GB2312" w:eastAsia="仿宋_GB2312" w:cs="仿宋_GB2312"/>
          <w:spacing w:val="-20"/>
          <w:kern w:val="0"/>
          <w:sz w:val="32"/>
          <w:szCs w:val="32"/>
        </w:rPr>
        <w:t>考核申请审核</w:t>
      </w:r>
    </w:p>
    <w:p>
      <w:pPr>
        <w:widowControl/>
        <w:spacing w:line="240" w:lineRule="auto"/>
        <w:ind w:left="-309" w:leftChars="-147" w:firstLine="0" w:firstLineChars="0"/>
        <w:jc w:val="left"/>
        <w:rPr>
          <w:rFonts w:ascii="微软雅黑 Light" w:hAnsi="微软雅黑 Light" w:eastAsia="微软雅黑 Light" w:cs="Times New Roman"/>
          <w:spacing w:val="-20"/>
          <w:kern w:val="0"/>
          <w:sz w:val="24"/>
        </w:rPr>
      </w:pPr>
      <w:r>
        <w:rPr>
          <w:rFonts w:hint="eastAsia" w:ascii="微软雅黑 Light" w:hAnsi="微软雅黑 Light" w:eastAsia="微软雅黑 Light" w:cs="Times New Roman"/>
          <w:spacing w:val="-20"/>
          <w:kern w:val="0"/>
          <w:sz w:val="24"/>
        </w:rPr>
        <w:t xml:space="preserve"> </w:t>
      </w:r>
      <w:r>
        <w:rPr>
          <w:rFonts w:ascii="微软雅黑 Light" w:hAnsi="微软雅黑 Light" w:eastAsia="微软雅黑 Light" w:cs="Times New Roman"/>
          <w:spacing w:val="-20"/>
          <w:kern w:val="0"/>
          <w:sz w:val="24"/>
        </w:rPr>
        <w:drawing>
          <wp:inline distT="0" distB="0" distL="0" distR="0">
            <wp:extent cx="6600825" cy="16573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6600825" cy="16573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确认医师报名信息无误，点击“审核通过”，完成对应医师的考核申请审核工作。</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4"/>
          <w:lang w:val="en-US" w:eastAsia="zh-CN" w:bidi="ar-SA"/>
        </w:rPr>
      </w:pPr>
      <w:r>
        <w:rPr>
          <w:rFonts w:hint="eastAsia" w:ascii="仿宋_GB2312" w:hAnsi="仿宋_GB2312" w:eastAsia="仿宋_GB2312" w:cs="仿宋_GB2312"/>
          <w:spacing w:val="-20"/>
          <w:sz w:val="32"/>
          <w:szCs w:val="32"/>
          <w:lang w:val="en-US" w:eastAsia="zh-CN" w:bidi="ar-SA"/>
        </w:rPr>
        <w:t>选择多个医师后，点击“批量审核”按钮，可实现多名医师的同意审核。</w:t>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90" w:name="_委托机构考核"/>
      <w:bookmarkEnd w:id="90"/>
      <w:bookmarkStart w:id="91" w:name="_Toc223105014"/>
      <w:bookmarkStart w:id="92" w:name="_Toc223104227"/>
      <w:r>
        <w:rPr>
          <w:rFonts w:hint="eastAsia" w:ascii="黑体" w:hAnsi="黑体" w:eastAsia="黑体" w:cs="黑体"/>
          <w:b w:val="0"/>
          <w:bCs w:val="0"/>
          <w:iCs/>
          <w:spacing w:val="-20"/>
          <w:kern w:val="32"/>
          <w:sz w:val="32"/>
          <w:szCs w:val="32"/>
          <w:lang w:val="en-US" w:eastAsia="zh-CN" w:bidi="ar-SA"/>
        </w:rPr>
        <w:t>8 医疗机构考核</w:t>
      </w:r>
      <w:bookmarkEnd w:id="91"/>
      <w:bookmarkEnd w:id="92"/>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医疗机构需对本单位/多地点执业医师进行职业道德和工作业绩评价，评价结论为合格或不合格；</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功能链接：考核评定</w:t>
      </w:r>
      <w:r>
        <w:rPr>
          <w:rFonts w:hint="eastAsia" w:ascii="仿宋_GB2312" w:hAnsi="仿宋_GB2312" w:eastAsia="仿宋_GB2312" w:cs="仿宋_GB2312"/>
          <w:spacing w:val="-20"/>
          <w:sz w:val="32"/>
          <w:szCs w:val="32"/>
          <w:lang w:val="en-US" w:eastAsia="zh-CN" w:bidi="ar-SA"/>
        </w:rPr>
        <w:sym w:font="Wingdings" w:char="F0E0"/>
      </w:r>
      <w:r>
        <w:rPr>
          <w:rFonts w:hint="eastAsia" w:ascii="仿宋_GB2312" w:hAnsi="仿宋_GB2312" w:eastAsia="仿宋_GB2312" w:cs="仿宋_GB2312"/>
          <w:spacing w:val="-20"/>
          <w:sz w:val="32"/>
          <w:szCs w:val="32"/>
          <w:lang w:val="en-US" w:eastAsia="zh-CN" w:bidi="ar-SA"/>
        </w:rPr>
        <w:t>医疗机构考核</w:t>
      </w:r>
    </w:p>
    <w:p>
      <w:pPr>
        <w:spacing w:after="120"/>
        <w:jc w:val="center"/>
        <w:rPr>
          <w:rFonts w:ascii="微软雅黑 Light" w:hAnsi="微软雅黑 Light" w:eastAsia="微软雅黑 Light" w:cs="Times New Roman"/>
          <w:spacing w:val="-20"/>
          <w:sz w:val="24"/>
          <w:szCs w:val="24"/>
          <w:lang w:val="en-US" w:eastAsia="zh-CN" w:bidi="ar-SA"/>
        </w:rPr>
      </w:pPr>
      <w:r>
        <w:rPr>
          <w:rFonts w:ascii="微软雅黑 Light" w:hAnsi="微软雅黑 Light" w:eastAsia="微软雅黑 Light" w:cs="Times New Roman"/>
          <w:spacing w:val="-20"/>
          <w:sz w:val="24"/>
          <w:szCs w:val="24"/>
          <w:lang w:val="en-US" w:eastAsia="zh-CN" w:bidi="ar-SA"/>
        </w:rPr>
        <w:drawing>
          <wp:inline distT="0" distB="0" distL="0" distR="0">
            <wp:extent cx="1595755" cy="2149475"/>
            <wp:effectExtent l="0" t="0" r="444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595755" cy="2149475"/>
                    </a:xfrm>
                    <a:prstGeom prst="rect">
                      <a:avLst/>
                    </a:prstGeom>
                  </pic:spPr>
                </pic:pic>
              </a:graphicData>
            </a:graphic>
          </wp:inline>
        </w:drawing>
      </w:r>
    </w:p>
    <w:p>
      <w:pPr>
        <w:spacing w:after="120"/>
        <w:rPr>
          <w:rFonts w:ascii="微软雅黑 Light" w:hAnsi="微软雅黑 Light" w:eastAsia="微软雅黑 Light" w:cs="Times New Roman"/>
          <w:spacing w:val="-20"/>
          <w:sz w:val="24"/>
          <w:szCs w:val="24"/>
          <w:lang w:val="en-US" w:eastAsia="zh-CN" w:bidi="ar-SA"/>
        </w:rPr>
      </w:pPr>
      <w:r>
        <w:rPr>
          <w:rFonts w:ascii="微软雅黑 Light" w:hAnsi="微软雅黑 Light" w:eastAsia="微软雅黑 Light" w:cs="Times New Roman"/>
          <w:spacing w:val="-20"/>
          <w:sz w:val="24"/>
          <w:szCs w:val="24"/>
          <w:lang w:val="en-US" w:eastAsia="zh-CN" w:bidi="ar-SA"/>
        </w:rPr>
        <w:drawing>
          <wp:inline distT="0" distB="0" distL="114300" distR="114300">
            <wp:extent cx="5859145" cy="1490345"/>
            <wp:effectExtent l="0" t="0" r="8255" b="14605"/>
            <wp:docPr id="20"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8"/>
                    <pic:cNvPicPr>
                      <a:picLocks noChangeAspect="1"/>
                    </pic:cNvPicPr>
                  </pic:nvPicPr>
                  <pic:blipFill>
                    <a:blip r:embed="rId23"/>
                    <a:stretch>
                      <a:fillRect/>
                    </a:stretch>
                  </pic:blipFill>
                  <pic:spPr>
                    <a:xfrm>
                      <a:off x="0" y="0"/>
                      <a:ext cx="5859145" cy="14903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查询到待评价的医师，选择评价结果后点击“保存”，完成对应医师的评价工作。</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PS：</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1、可批量进行医师的评价，点击“职业道德 工作成绩合格”长条按钮，可将列表中所有医师评价合格。此功能影响数据量比较多，慎用！！！</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color w:val="FF0000"/>
          <w:spacing w:val="-20"/>
          <w:sz w:val="32"/>
          <w:szCs w:val="32"/>
          <w:lang w:val="en-US" w:eastAsia="zh-CN" w:bidi="ar-SA"/>
        </w:rPr>
      </w:pPr>
      <w:r>
        <w:rPr>
          <w:rFonts w:hint="eastAsia" w:ascii="仿宋_GB2312" w:hAnsi="仿宋_GB2312" w:eastAsia="仿宋_GB2312" w:cs="仿宋_GB2312"/>
          <w:color w:val="FF0000"/>
          <w:spacing w:val="-20"/>
          <w:sz w:val="32"/>
          <w:szCs w:val="32"/>
          <w:lang w:val="en-US" w:eastAsia="zh-CN" w:bidi="ar-SA"/>
        </w:rPr>
        <w:t>2、此功能也可进行本院医师的考核进度跟踪使用。</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4"/>
          <w:lang w:val="en-US" w:eastAsia="zh-CN" w:bidi="ar-SA"/>
        </w:rPr>
      </w:pPr>
      <w:r>
        <w:rPr>
          <w:rFonts w:hint="eastAsia" w:ascii="仿宋_GB2312" w:hAnsi="仿宋_GB2312" w:eastAsia="仿宋_GB2312" w:cs="仿宋_GB2312"/>
          <w:color w:val="FF0000"/>
          <w:spacing w:val="-20"/>
          <w:sz w:val="32"/>
          <w:szCs w:val="32"/>
          <w:lang w:val="en-US" w:eastAsia="zh-CN" w:bidi="ar-SA"/>
        </w:rPr>
        <w:t>3、此处只显示本院医师。</w:t>
      </w:r>
    </w:p>
    <w:p>
      <w:pPr>
        <w:keepNext/>
        <w:numPr>
          <w:ilvl w:val="0"/>
          <w:numId w:val="0"/>
        </w:numPr>
        <w:spacing w:before="267" w:beforeLines="50" w:after="267" w:afterLines="50" w:line="360" w:lineRule="auto"/>
        <w:ind w:leftChars="0"/>
        <w:outlineLvl w:val="0"/>
        <w:rPr>
          <w:rFonts w:hint="eastAsia" w:ascii="黑体" w:hAnsi="黑体" w:eastAsia="黑体" w:cs="黑体"/>
          <w:b w:val="0"/>
          <w:bCs w:val="0"/>
          <w:iCs/>
          <w:spacing w:val="-20"/>
          <w:kern w:val="32"/>
          <w:sz w:val="32"/>
          <w:szCs w:val="32"/>
          <w:lang w:val="en-US" w:eastAsia="zh-CN" w:bidi="ar-SA"/>
        </w:rPr>
      </w:pPr>
      <w:bookmarkStart w:id="93" w:name="_职业道德、工作业绩评价进度跟踪"/>
      <w:bookmarkEnd w:id="93"/>
      <w:bookmarkStart w:id="94" w:name="_Toc223105015"/>
      <w:bookmarkStart w:id="95" w:name="_Toc223104228"/>
      <w:bookmarkStart w:id="96" w:name="_Toc221491573"/>
      <w:bookmarkStart w:id="97" w:name="_Toc219558091"/>
      <w:r>
        <w:rPr>
          <w:rFonts w:hint="eastAsia" w:ascii="黑体" w:hAnsi="黑体" w:eastAsia="黑体" w:cs="黑体"/>
          <w:b w:val="0"/>
          <w:bCs w:val="0"/>
          <w:iCs/>
          <w:spacing w:val="-20"/>
          <w:kern w:val="32"/>
          <w:sz w:val="32"/>
          <w:szCs w:val="32"/>
          <w:lang w:val="en-US" w:eastAsia="zh-CN" w:bidi="ar-SA"/>
        </w:rPr>
        <w:t>9 考核机构考核</w:t>
      </w:r>
      <w:bookmarkEnd w:id="94"/>
      <w:bookmarkEnd w:id="95"/>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成为考核机构的医疗机构，可在考核机构考核功能页中跟踪被委托的医师参加业务水平测评结果。</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spacing w:val="-20"/>
          <w:kern w:val="0"/>
          <w:sz w:val="32"/>
          <w:szCs w:val="32"/>
        </w:rPr>
      </w:pPr>
      <w:r>
        <w:rPr>
          <w:rFonts w:hint="eastAsia" w:ascii="仿宋_GB2312" w:hAnsi="仿宋_GB2312" w:eastAsia="仿宋_GB2312" w:cs="仿宋_GB2312"/>
          <w:spacing w:val="-20"/>
          <w:kern w:val="0"/>
          <w:sz w:val="32"/>
          <w:szCs w:val="32"/>
        </w:rPr>
        <w:t>功能链接：考核评定</w:t>
      </w:r>
      <w:r>
        <w:rPr>
          <w:rFonts w:hint="eastAsia" w:ascii="仿宋_GB2312" w:hAnsi="仿宋_GB2312" w:eastAsia="仿宋_GB2312" w:cs="仿宋_GB2312"/>
          <w:spacing w:val="-20"/>
          <w:kern w:val="0"/>
          <w:sz w:val="32"/>
          <w:szCs w:val="32"/>
        </w:rPr>
        <w:sym w:font="Wingdings" w:char="F0E0"/>
      </w:r>
      <w:r>
        <w:rPr>
          <w:rFonts w:hint="eastAsia" w:ascii="仿宋_GB2312" w:hAnsi="仿宋_GB2312" w:eastAsia="仿宋_GB2312" w:cs="仿宋_GB2312"/>
          <w:spacing w:val="-20"/>
          <w:kern w:val="0"/>
          <w:sz w:val="32"/>
          <w:szCs w:val="32"/>
        </w:rPr>
        <w:t>考核机构考核</w:t>
      </w:r>
    </w:p>
    <w:p>
      <w:pPr>
        <w:widowControl/>
        <w:spacing w:line="240" w:lineRule="auto"/>
        <w:ind w:firstLine="0" w:firstLineChars="0"/>
        <w:jc w:val="center"/>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0" distR="0">
            <wp:extent cx="1295400" cy="144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1295512" cy="1447925"/>
                    </a:xfrm>
                    <a:prstGeom prst="rect">
                      <a:avLst/>
                    </a:prstGeom>
                  </pic:spPr>
                </pic:pic>
              </a:graphicData>
            </a:graphic>
          </wp:inline>
        </w:drawing>
      </w:r>
    </w:p>
    <w:p>
      <w:pPr>
        <w:widowControl/>
        <w:spacing w:line="240" w:lineRule="auto"/>
        <w:ind w:firstLine="0" w:firstLineChars="0"/>
        <w:jc w:val="center"/>
        <w:rPr>
          <w:rFonts w:ascii="Calibri" w:hAnsi="Calibri" w:eastAsia="微软雅黑 Light" w:cs="Times New Roman"/>
          <w:spacing w:val="-20"/>
          <w:kern w:val="0"/>
          <w:sz w:val="24"/>
        </w:rPr>
      </w:pPr>
      <w:r>
        <w:rPr>
          <w:rFonts w:ascii="Calibri" w:hAnsi="Calibri" w:eastAsia="微软雅黑 Light" w:cs="Times New Roman"/>
          <w:spacing w:val="-20"/>
          <w:kern w:val="0"/>
          <w:sz w:val="24"/>
        </w:rPr>
        <w:drawing>
          <wp:inline distT="0" distB="0" distL="114300" distR="114300">
            <wp:extent cx="5816600" cy="1278255"/>
            <wp:effectExtent l="0" t="0" r="12700" b="17145"/>
            <wp:docPr id="21"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9"/>
                    <pic:cNvPicPr>
                      <a:picLocks noChangeAspect="1"/>
                    </pic:cNvPicPr>
                  </pic:nvPicPr>
                  <pic:blipFill>
                    <a:blip r:embed="rId25"/>
                    <a:stretch>
                      <a:fillRect/>
                    </a:stretch>
                  </pic:blipFill>
                  <pic:spPr>
                    <a:xfrm>
                      <a:off x="0" y="0"/>
                      <a:ext cx="5816600" cy="12782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PS:</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hint="eastAsia" w:ascii="仿宋_GB2312" w:hAnsi="仿宋_GB2312" w:eastAsia="仿宋_GB2312" w:cs="仿宋_GB2312"/>
          <w:color w:val="FF0000"/>
          <w:spacing w:val="-20"/>
          <w:kern w:val="0"/>
          <w:sz w:val="32"/>
          <w:szCs w:val="32"/>
        </w:rPr>
      </w:pPr>
      <w:r>
        <w:rPr>
          <w:rFonts w:hint="eastAsia" w:ascii="仿宋_GB2312" w:hAnsi="仿宋_GB2312" w:eastAsia="仿宋_GB2312" w:cs="仿宋_GB2312"/>
          <w:color w:val="FF0000"/>
          <w:spacing w:val="-20"/>
          <w:kern w:val="0"/>
          <w:sz w:val="32"/>
          <w:szCs w:val="32"/>
        </w:rPr>
        <w:t>1、此处只显示被委托过来的医师参考情况。</w:t>
      </w:r>
    </w:p>
    <w:p>
      <w:pPr>
        <w:keepNext w:val="0"/>
        <w:keepLines w:val="0"/>
        <w:pageBreakBefore w:val="0"/>
        <w:widowControl/>
        <w:kinsoku/>
        <w:wordWrap/>
        <w:overflowPunct/>
        <w:topLinePunct w:val="0"/>
        <w:autoSpaceDE/>
        <w:autoSpaceDN/>
        <w:bidi w:val="0"/>
        <w:adjustRightInd/>
        <w:snapToGrid/>
        <w:spacing w:line="240" w:lineRule="auto"/>
        <w:ind w:firstLine="560" w:firstLineChars="200"/>
        <w:jc w:val="left"/>
        <w:textAlignment w:val="auto"/>
        <w:rPr>
          <w:rFonts w:ascii="Calibri" w:hAnsi="Calibri" w:eastAsia="微软雅黑 Light" w:cs="Times New Roman"/>
          <w:color w:val="FF0000"/>
          <w:spacing w:val="-20"/>
          <w:kern w:val="0"/>
          <w:sz w:val="24"/>
        </w:rPr>
      </w:pPr>
      <w:r>
        <w:rPr>
          <w:rFonts w:hint="eastAsia" w:ascii="仿宋_GB2312" w:hAnsi="仿宋_GB2312" w:eastAsia="仿宋_GB2312" w:cs="仿宋_GB2312"/>
          <w:color w:val="FF0000"/>
          <w:spacing w:val="-20"/>
          <w:kern w:val="0"/>
          <w:sz w:val="32"/>
          <w:szCs w:val="32"/>
        </w:rPr>
        <w:t>2、此功能可进行被委托医师的考核进度跟踪使用。</w:t>
      </w:r>
    </w:p>
    <w:p>
      <w:pPr>
        <w:keepNext/>
        <w:numPr>
          <w:ilvl w:val="0"/>
          <w:numId w:val="0"/>
        </w:numPr>
        <w:spacing w:before="267" w:beforeLines="50" w:after="267" w:afterLines="50" w:line="360" w:lineRule="auto"/>
        <w:ind w:leftChars="0"/>
        <w:outlineLvl w:val="0"/>
        <w:rPr>
          <w:rFonts w:hint="eastAsia" w:ascii="微软雅黑 Light" w:hAnsi="微软雅黑 Light" w:eastAsia="微软雅黑 Light" w:cs="Times New Roman"/>
          <w:b w:val="0"/>
          <w:bCs w:val="0"/>
          <w:iCs/>
          <w:spacing w:val="-20"/>
          <w:kern w:val="32"/>
          <w:sz w:val="44"/>
          <w:szCs w:val="44"/>
          <w:lang w:val="en-US" w:eastAsia="zh-CN" w:bidi="ar-SA"/>
        </w:rPr>
      </w:pPr>
      <w:bookmarkStart w:id="98" w:name="_Toc223104229"/>
      <w:bookmarkStart w:id="99" w:name="_Toc223105016"/>
      <w:r>
        <w:rPr>
          <w:rFonts w:hint="eastAsia" w:ascii="黑体" w:hAnsi="黑体" w:eastAsia="黑体" w:cs="黑体"/>
          <w:b w:val="0"/>
          <w:bCs w:val="0"/>
          <w:iCs/>
          <w:spacing w:val="-20"/>
          <w:kern w:val="32"/>
          <w:sz w:val="32"/>
          <w:szCs w:val="32"/>
          <w:lang w:val="en-US" w:eastAsia="zh-CN" w:bidi="ar-SA"/>
        </w:rPr>
        <w:t>10 考核结果汇总</w:t>
      </w:r>
      <w:bookmarkEnd w:id="98"/>
      <w:bookmarkEnd w:id="99"/>
    </w:p>
    <w:p>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spacing w:val="-22"/>
          <w:kern w:val="0"/>
          <w:sz w:val="32"/>
          <w:szCs w:val="32"/>
        </w:rPr>
      </w:pPr>
      <w:r>
        <w:rPr>
          <w:rFonts w:hint="eastAsia" w:ascii="仿宋_GB2312" w:hAnsi="仿宋_GB2312" w:eastAsia="仿宋_GB2312" w:cs="仿宋_GB2312"/>
          <w:spacing w:val="-22"/>
          <w:kern w:val="0"/>
          <w:sz w:val="32"/>
          <w:szCs w:val="32"/>
        </w:rPr>
        <w:t>机构评价和业务能力测评完成后，医疗机构可通过综合查询功能进行考核结果的汇总统计。</w:t>
      </w:r>
    </w:p>
    <w:p>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spacing w:val="-22"/>
          <w:kern w:val="0"/>
          <w:sz w:val="32"/>
          <w:szCs w:val="32"/>
        </w:rPr>
      </w:pPr>
      <w:r>
        <w:rPr>
          <w:rFonts w:hint="eastAsia" w:ascii="仿宋_GB2312" w:hAnsi="仿宋_GB2312" w:eastAsia="仿宋_GB2312" w:cs="仿宋_GB2312"/>
          <w:spacing w:val="-22"/>
          <w:kern w:val="0"/>
          <w:sz w:val="32"/>
          <w:szCs w:val="32"/>
        </w:rPr>
        <w:t>功能链接：综合查询--&gt;考核情况综合查询。</w:t>
      </w:r>
    </w:p>
    <w:p>
      <w:pPr>
        <w:widowControl/>
        <w:spacing w:line="240" w:lineRule="auto"/>
        <w:ind w:firstLine="0" w:firstLineChars="0"/>
        <w:jc w:val="center"/>
        <w:rPr>
          <w:rFonts w:ascii="微软雅黑 Light" w:hAnsi="微软雅黑 Light" w:eastAsia="微软雅黑 Light" w:cs="Times New Roman"/>
          <w:spacing w:val="-22"/>
          <w:kern w:val="0"/>
          <w:sz w:val="24"/>
        </w:rPr>
      </w:pPr>
      <w:r>
        <w:rPr>
          <w:rFonts w:ascii="微软雅黑 Light" w:hAnsi="微软雅黑 Light" w:eastAsia="微软雅黑 Light" w:cs="Times New Roman"/>
          <w:spacing w:val="-22"/>
          <w:kern w:val="0"/>
          <w:sz w:val="24"/>
        </w:rPr>
        <w:drawing>
          <wp:inline distT="0" distB="0" distL="0" distR="0">
            <wp:extent cx="1312545" cy="1870710"/>
            <wp:effectExtent l="0" t="0" r="190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1312545" cy="1870710"/>
                    </a:xfrm>
                    <a:prstGeom prst="rect">
                      <a:avLst/>
                    </a:prstGeom>
                  </pic:spPr>
                </pic:pic>
              </a:graphicData>
            </a:graphic>
          </wp:inline>
        </w:drawing>
      </w:r>
    </w:p>
    <w:p>
      <w:pPr>
        <w:widowControl/>
        <w:spacing w:line="240" w:lineRule="auto"/>
        <w:ind w:firstLine="0" w:firstLineChars="0"/>
        <w:jc w:val="center"/>
        <w:rPr>
          <w:rFonts w:ascii="微软雅黑 Light" w:hAnsi="微软雅黑 Light" w:eastAsia="微软雅黑 Light" w:cs="Times New Roman"/>
          <w:spacing w:val="-22"/>
          <w:kern w:val="0"/>
          <w:sz w:val="24"/>
        </w:rPr>
      </w:pPr>
    </w:p>
    <w:p>
      <w:pPr>
        <w:widowControl/>
        <w:spacing w:line="240" w:lineRule="auto"/>
        <w:ind w:firstLine="0" w:firstLineChars="0"/>
        <w:jc w:val="center"/>
        <w:rPr>
          <w:rFonts w:hint="eastAsia" w:ascii="仿宋_GB2312" w:hAnsi="仿宋_GB2312" w:eastAsia="仿宋_GB2312" w:cs="仿宋_GB2312"/>
          <w:color w:val="FF0000"/>
          <w:spacing w:val="-22"/>
          <w:kern w:val="0"/>
          <w:sz w:val="32"/>
          <w:szCs w:val="32"/>
        </w:rPr>
      </w:pPr>
      <w:r>
        <w:rPr>
          <w:rFonts w:ascii="微软雅黑 Light" w:hAnsi="微软雅黑 Light" w:eastAsia="微软雅黑 Light" w:cs="Times New Roman"/>
          <w:spacing w:val="-22"/>
          <w:kern w:val="0"/>
          <w:sz w:val="24"/>
        </w:rPr>
        <w:drawing>
          <wp:inline distT="0" distB="0" distL="0" distR="0">
            <wp:extent cx="5828030" cy="1223645"/>
            <wp:effectExtent l="0" t="0" r="1270" b="146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828030" cy="12236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552" w:firstLineChars="200"/>
        <w:jc w:val="left"/>
        <w:textAlignment w:val="auto"/>
        <w:rPr>
          <w:rFonts w:hint="eastAsia" w:ascii="仿宋_GB2312" w:hAnsi="仿宋_GB2312" w:eastAsia="仿宋_GB2312" w:cs="仿宋_GB2312"/>
          <w:color w:val="FF0000"/>
          <w:spacing w:val="-22"/>
          <w:kern w:val="0"/>
          <w:sz w:val="32"/>
          <w:szCs w:val="32"/>
        </w:rPr>
      </w:pPr>
      <w:r>
        <w:rPr>
          <w:rFonts w:hint="eastAsia" w:ascii="仿宋_GB2312" w:hAnsi="仿宋_GB2312" w:eastAsia="仿宋_GB2312" w:cs="仿宋_GB2312"/>
          <w:color w:val="FF0000"/>
          <w:spacing w:val="-22"/>
          <w:kern w:val="0"/>
          <w:sz w:val="32"/>
          <w:szCs w:val="32"/>
        </w:rPr>
        <w:t>PS：考核情况综合查询在完成本年度考核数据汇总和才可进行查询，查询到的数据为结论性数据。</w:t>
      </w:r>
    </w:p>
    <w:p>
      <w:pPr>
        <w:widowControl/>
        <w:spacing w:line="240" w:lineRule="auto"/>
        <w:ind w:firstLine="0" w:firstLineChars="0"/>
        <w:jc w:val="left"/>
        <w:rPr>
          <w:rFonts w:ascii="微软雅黑 Light" w:hAnsi="微软雅黑 Light" w:eastAsia="微软雅黑 Light" w:cs="Times New Roman"/>
          <w:spacing w:val="-22"/>
          <w:kern w:val="0"/>
          <w:sz w:val="24"/>
        </w:rPr>
      </w:pPr>
    </w:p>
    <w:p>
      <w:pPr>
        <w:keepNext/>
        <w:numPr>
          <w:ilvl w:val="0"/>
          <w:numId w:val="0"/>
        </w:numPr>
        <w:spacing w:before="267" w:beforeLines="50" w:after="267" w:afterLines="50" w:line="360" w:lineRule="auto"/>
        <w:ind w:leftChars="0"/>
        <w:outlineLvl w:val="0"/>
        <w:rPr>
          <w:rFonts w:ascii="微软雅黑 Light" w:hAnsi="微软雅黑 Light" w:eastAsia="微软雅黑 Light" w:cs="Times New Roman"/>
          <w:b w:val="0"/>
          <w:bCs w:val="0"/>
          <w:iCs/>
          <w:spacing w:val="-20"/>
          <w:kern w:val="32"/>
          <w:sz w:val="44"/>
          <w:szCs w:val="44"/>
          <w:lang w:val="en-US" w:eastAsia="zh-CN" w:bidi="ar-SA"/>
        </w:rPr>
      </w:pPr>
      <w:bookmarkStart w:id="100" w:name="_考核结果汇总"/>
      <w:bookmarkEnd w:id="100"/>
      <w:bookmarkStart w:id="101" w:name="_Toc223104230"/>
      <w:bookmarkStart w:id="102" w:name="_Toc223105017"/>
      <w:r>
        <w:rPr>
          <w:rFonts w:hint="eastAsia" w:ascii="黑体" w:hAnsi="黑体" w:eastAsia="黑体" w:cs="黑体"/>
          <w:b w:val="0"/>
          <w:bCs w:val="0"/>
          <w:iCs/>
          <w:spacing w:val="-20"/>
          <w:kern w:val="32"/>
          <w:sz w:val="32"/>
          <w:szCs w:val="32"/>
          <w:lang w:val="en-US" w:eastAsia="zh-CN" w:bidi="ar-SA"/>
        </w:rPr>
        <w:t>11 常见问题</w:t>
      </w:r>
      <w:bookmarkEnd w:id="96"/>
      <w:bookmarkEnd w:id="97"/>
      <w:bookmarkEnd w:id="101"/>
      <w:bookmarkEnd w:id="102"/>
    </w:p>
    <w:p>
      <w:pPr>
        <w:keepNext/>
        <w:numPr>
          <w:ilvl w:val="0"/>
          <w:numId w:val="0"/>
        </w:numPr>
        <w:spacing w:before="240" w:after="60"/>
        <w:ind w:left="425" w:leftChars="0"/>
        <w:outlineLvl w:val="2"/>
        <w:rPr>
          <w:rFonts w:hint="eastAsia" w:ascii="仿宋_GB2312" w:hAnsi="仿宋_GB2312" w:eastAsia="仿宋_GB2312" w:cs="仿宋_GB2312"/>
          <w:b w:val="0"/>
          <w:bCs w:val="0"/>
          <w:spacing w:val="-20"/>
          <w:sz w:val="32"/>
          <w:szCs w:val="32"/>
          <w:lang w:val="en-US" w:eastAsia="zh-CN" w:bidi="ar-SA"/>
        </w:rPr>
      </w:pPr>
      <w:bookmarkStart w:id="103" w:name="_Toc223105018"/>
      <w:bookmarkStart w:id="104" w:name="_Toc223104231"/>
      <w:r>
        <w:rPr>
          <w:rFonts w:hint="eastAsia" w:ascii="仿宋_GB2312" w:hAnsi="仿宋_GB2312" w:eastAsia="仿宋_GB2312" w:cs="仿宋_GB2312"/>
          <w:b w:val="0"/>
          <w:bCs w:val="0"/>
          <w:spacing w:val="-20"/>
          <w:sz w:val="32"/>
          <w:szCs w:val="32"/>
          <w:lang w:val="en-US" w:eastAsia="zh-CN" w:bidi="ar-SA"/>
        </w:rPr>
        <w:t>11.1 忘记登录密码</w:t>
      </w:r>
      <w:bookmarkEnd w:id="103"/>
      <w:bookmarkEnd w:id="104"/>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若忘记登录密码，可进行密码重置，使用初始密码登录，登录后可进行密码修改。</w:t>
      </w:r>
    </w:p>
    <w:p>
      <w:pPr>
        <w:keepNext/>
        <w:numPr>
          <w:ilvl w:val="0"/>
          <w:numId w:val="0"/>
        </w:numPr>
        <w:spacing w:before="240" w:after="60"/>
        <w:ind w:left="425" w:leftChars="0"/>
        <w:outlineLvl w:val="2"/>
        <w:rPr>
          <w:rFonts w:hint="eastAsia" w:ascii="仿宋_GB2312" w:hAnsi="仿宋_GB2312" w:eastAsia="仿宋_GB2312" w:cs="仿宋_GB2312"/>
          <w:b w:val="0"/>
          <w:bCs w:val="0"/>
          <w:spacing w:val="-20"/>
          <w:sz w:val="32"/>
          <w:szCs w:val="32"/>
          <w:lang w:val="en-US" w:eastAsia="zh-CN" w:bidi="ar-SA"/>
        </w:rPr>
      </w:pPr>
      <w:bookmarkStart w:id="105" w:name="_Toc223104232"/>
      <w:bookmarkStart w:id="106" w:name="_Toc219558093"/>
      <w:bookmarkStart w:id="107" w:name="_Toc223105019"/>
      <w:bookmarkStart w:id="108" w:name="_Toc221491575"/>
      <w:r>
        <w:rPr>
          <w:rFonts w:hint="eastAsia" w:ascii="仿宋_GB2312" w:hAnsi="仿宋_GB2312" w:eastAsia="仿宋_GB2312" w:cs="仿宋_GB2312"/>
          <w:b w:val="0"/>
          <w:bCs w:val="0"/>
          <w:spacing w:val="-20"/>
          <w:sz w:val="32"/>
          <w:szCs w:val="32"/>
          <w:lang w:val="en-US" w:eastAsia="zh-CN" w:bidi="ar-SA"/>
        </w:rPr>
        <w:t>11.2 医师不能正常参加考试</w:t>
      </w:r>
      <w:bookmarkEnd w:id="105"/>
      <w:bookmarkEnd w:id="106"/>
      <w:bookmarkEnd w:id="107"/>
      <w:bookmarkEnd w:id="108"/>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hint="eastAsia" w:ascii="仿宋_GB2312" w:hAnsi="仿宋_GB2312" w:eastAsia="仿宋_GB2312" w:cs="仿宋_GB2312"/>
          <w:spacing w:val="-20"/>
          <w:sz w:val="32"/>
          <w:szCs w:val="32"/>
          <w:lang w:val="en-US" w:eastAsia="zh-CN" w:bidi="ar-SA"/>
        </w:rPr>
      </w:pPr>
      <w:r>
        <w:rPr>
          <w:rFonts w:hint="eastAsia" w:ascii="仿宋_GB2312" w:hAnsi="仿宋_GB2312" w:eastAsia="仿宋_GB2312" w:cs="仿宋_GB2312"/>
          <w:spacing w:val="-20"/>
          <w:sz w:val="32"/>
          <w:szCs w:val="32"/>
          <w:lang w:val="en-US" w:eastAsia="zh-CN" w:bidi="ar-SA"/>
        </w:rPr>
        <w:t>（1）医师报名后需要主执业地点审核通过，通过审核后才可进行工作业绩职业道德评定后。</w:t>
      </w:r>
    </w:p>
    <w:p>
      <w:pPr>
        <w:keepNext w:val="0"/>
        <w:keepLines w:val="0"/>
        <w:pageBreakBefore w:val="0"/>
        <w:widowControl/>
        <w:kinsoku/>
        <w:wordWrap/>
        <w:overflowPunct/>
        <w:topLinePunct w:val="0"/>
        <w:autoSpaceDE/>
        <w:autoSpaceDN/>
        <w:bidi w:val="0"/>
        <w:adjustRightInd/>
        <w:snapToGrid/>
        <w:spacing w:after="120"/>
        <w:ind w:firstLine="560" w:firstLineChars="200"/>
        <w:textAlignment w:val="auto"/>
        <w:rPr>
          <w:rFonts w:ascii="微软雅黑 Light" w:hAnsi="微软雅黑 Light" w:eastAsia="微软雅黑 Light" w:cs="Times New Roman"/>
          <w:spacing w:val="-20"/>
          <w:sz w:val="24"/>
          <w:szCs w:val="21"/>
          <w:lang w:val="en-US" w:eastAsia="zh-CN" w:bidi="ar-SA"/>
        </w:rPr>
      </w:pPr>
      <w:r>
        <w:rPr>
          <w:rFonts w:hint="eastAsia" w:ascii="仿宋_GB2312" w:hAnsi="仿宋_GB2312" w:eastAsia="仿宋_GB2312" w:cs="仿宋_GB2312"/>
          <w:spacing w:val="-20"/>
          <w:sz w:val="32"/>
          <w:szCs w:val="32"/>
          <w:lang w:val="en-US" w:eastAsia="zh-CN" w:bidi="ar-SA"/>
        </w:rPr>
        <w:t>（2）所有多点执业机构都需要评价职业道德和工作业绩后，才能参加法律法规、业务水平的考试。</w:t>
      </w:r>
    </w:p>
    <w:p>
      <w:pPr>
        <w:jc w:val="center"/>
        <w:rPr>
          <w:rFonts w:hint="default" w:ascii="方正小标宋简体" w:hAnsi="方正小标宋简体" w:eastAsia="方正小标宋简体" w:cs="方正小标宋简体"/>
          <w:sz w:val="44"/>
          <w:szCs w:val="44"/>
          <w:lang w:val="en-US" w:eastAsia="zh-CN"/>
        </w:rPr>
        <w:sectPr>
          <w:pgSz w:w="11906" w:h="16838"/>
          <w:pgMar w:top="2098" w:right="1474" w:bottom="1985" w:left="1588" w:header="851" w:footer="992" w:gutter="0"/>
          <w:pgNumType w:fmt="numberInDash"/>
          <w:cols w:space="425" w:num="1"/>
          <w:docGrid w:type="lines" w:linePitch="312" w:charSpace="0"/>
        </w:sectPr>
      </w:pPr>
    </w:p>
    <w:p>
      <w:pPr>
        <w:widowControl/>
        <w:spacing w:line="240" w:lineRule="auto"/>
        <w:ind w:firstLine="0" w:firstLineChars="0"/>
        <w:jc w:val="left"/>
        <w:textAlignment w:val="center"/>
        <w:rPr>
          <w:rFonts w:hint="eastAsia" w:ascii="方正小标宋简体" w:hAnsi="方正小标宋简体" w:eastAsia="黑体" w:cs="方正小标宋简体"/>
          <w:sz w:val="44"/>
          <w:szCs w:val="44"/>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sdt>
      <w:sdtPr>
        <w:rPr>
          <w:rFonts w:ascii="微软雅黑 Light" w:hAnsi="微软雅黑 Light" w:eastAsia="微软雅黑 Light"/>
        </w:rPr>
        <w:id w:val="522065975"/>
        <w:docPartObj>
          <w:docPartGallery w:val="autotext"/>
        </w:docPartObj>
      </w:sdtPr>
      <w:sdtEndPr>
        <w:rPr>
          <w:rFonts w:ascii="微软雅黑 Light" w:hAnsi="微软雅黑 Light" w:eastAsia="微软雅黑 Light"/>
          <w:bCs/>
          <w:sz w:val="36"/>
        </w:rPr>
      </w:sdtEndPr>
      <w:sdtContent>
        <w:p>
          <w:pPr>
            <w:rPr>
              <w:rFonts w:hint="default" w:ascii="微软雅黑 Light" w:hAnsi="微软雅黑 Light" w:eastAsia="微软雅黑 Light"/>
              <w:lang w:val="en-US" w:eastAsia="zh-CN"/>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北京市医师定期考核管理系统</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用户操作手册</w:t>
          </w:r>
          <w:r>
            <w:rPr>
              <w:rFonts w:hint="eastAsia" w:ascii="方正小标宋简体" w:hAnsi="方正小标宋简体" w:eastAsia="方正小标宋简体" w:cs="方正小标宋简体"/>
              <w:sz w:val="44"/>
              <w:szCs w:val="44"/>
              <w:lang w:val="en-US" w:eastAsia="zh-CN"/>
            </w:rPr>
            <w:t>-医师</w:t>
          </w:r>
        </w:p>
        <w:p>
          <w:pPr>
            <w:ind w:firstLine="360" w:firstLineChars="100"/>
            <w:rPr>
              <w:rFonts w:ascii="微软雅黑 Light" w:hAnsi="微软雅黑 Light" w:eastAsia="微软雅黑 Light"/>
              <w:bCs/>
              <w:sz w:val="36"/>
            </w:rPr>
          </w:pPr>
        </w:p>
      </w:sdtContent>
    </w:sdt>
    <w:p>
      <w:pPr>
        <w:pStyle w:val="2"/>
        <w:tabs>
          <w:tab w:val="left" w:pos="432"/>
        </w:tabs>
        <w:spacing w:before="340" w:after="330" w:line="578" w:lineRule="auto"/>
        <w:ind w:left="432" w:hanging="432"/>
        <w:contextualSpacing w:val="0"/>
        <w:jc w:val="both"/>
        <w:rPr>
          <w:rFonts w:ascii="微软雅黑 Light" w:hAnsi="微软雅黑 Light" w:eastAsia="微软雅黑 Light"/>
          <w:b/>
          <w:sz w:val="44"/>
          <w:szCs w:val="44"/>
        </w:rPr>
      </w:pPr>
      <w:bookmarkStart w:id="109" w:name="_Toc223106508"/>
      <w:bookmarkStart w:id="110" w:name="_Toc219557766"/>
      <w:bookmarkStart w:id="111" w:name="_Toc294621202"/>
      <w:bookmarkStart w:id="112" w:name="_Toc294621204"/>
      <w:r>
        <w:rPr>
          <w:rFonts w:hint="eastAsia" w:ascii="黑体" w:hAnsi="黑体" w:eastAsia="黑体" w:cs="黑体"/>
          <w:b w:val="0"/>
          <w:bCs w:val="0"/>
          <w:sz w:val="32"/>
          <w:szCs w:val="32"/>
        </w:rPr>
        <w:t>1 快速指引</w:t>
      </w:r>
      <w:bookmarkEnd w:id="109"/>
      <w:bookmarkEnd w:id="110"/>
      <w:bookmarkEnd w:id="111"/>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3" w:name="_Toc219557767"/>
      <w:bookmarkStart w:id="114" w:name="_Toc223106509"/>
      <w:r>
        <w:rPr>
          <w:rFonts w:hint="eastAsia" w:ascii="仿宋_GB2312" w:hAnsi="仿宋_GB2312" w:eastAsia="仿宋_GB2312" w:cs="仿宋_GB2312"/>
          <w:b w:val="0"/>
          <w:bCs w:val="0"/>
          <w:sz w:val="32"/>
          <w:szCs w:val="32"/>
        </w:rPr>
        <w:t>1.1 软件环境要求</w:t>
      </w:r>
      <w:bookmarkEnd w:id="113"/>
      <w:bookmarkEnd w:id="114"/>
    </w:p>
    <w:p>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客户端操作系统 Windows 7/8/10+</w:t>
      </w:r>
    </w:p>
    <w:p>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客户端应用为 建议使用新版谷歌浏览器（Chrome）</w:t>
      </w:r>
    </w:p>
    <w:p>
      <w:pPr>
        <w:pStyle w:val="3"/>
        <w:ind w:left="240" w:firstLine="960" w:firstLineChars="3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系统分辨率为 1024*768及以上</w:t>
      </w: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5" w:name="_Toc294621203"/>
      <w:bookmarkStart w:id="116" w:name="_Toc219557768"/>
      <w:bookmarkStart w:id="117" w:name="_Toc223106510"/>
      <w:bookmarkStart w:id="118" w:name="_Hlk45197267"/>
      <w:r>
        <w:rPr>
          <w:rFonts w:hint="eastAsia" w:ascii="仿宋_GB2312" w:hAnsi="仿宋_GB2312" w:eastAsia="仿宋_GB2312" w:cs="仿宋_GB2312"/>
          <w:b w:val="0"/>
          <w:bCs w:val="0"/>
          <w:sz w:val="32"/>
          <w:szCs w:val="32"/>
        </w:rPr>
        <w:t>1.</w:t>
      </w:r>
      <w:bookmarkEnd w:id="115"/>
      <w:r>
        <w:rPr>
          <w:rFonts w:hint="eastAsia" w:ascii="仿宋_GB2312" w:hAnsi="仿宋_GB2312" w:eastAsia="仿宋_GB2312" w:cs="仿宋_GB2312"/>
          <w:b w:val="0"/>
          <w:bCs w:val="0"/>
          <w:sz w:val="32"/>
          <w:szCs w:val="32"/>
        </w:rPr>
        <w:t xml:space="preserve">2 </w:t>
      </w:r>
      <w:bookmarkEnd w:id="112"/>
      <w:bookmarkEnd w:id="116"/>
      <w:r>
        <w:rPr>
          <w:rFonts w:hint="eastAsia" w:ascii="仿宋_GB2312" w:hAnsi="仿宋_GB2312" w:eastAsia="仿宋_GB2312" w:cs="仿宋_GB2312"/>
          <w:b w:val="0"/>
          <w:bCs w:val="0"/>
          <w:sz w:val="32"/>
          <w:szCs w:val="32"/>
        </w:rPr>
        <w:t>登录地址</w:t>
      </w:r>
      <w:bookmarkEnd w:id="117"/>
    </w:p>
    <w:bookmarkEnd w:id="118"/>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浏览器输入</w:t>
      </w:r>
      <w:r>
        <w:rPr>
          <w:rFonts w:hint="eastAsia" w:ascii="仿宋_GB2312" w:hAnsi="仿宋_GB2312" w:eastAsia="仿宋_GB2312" w:cs="仿宋_GB2312"/>
          <w:color w:val="FF0000"/>
          <w:sz w:val="32"/>
          <w:szCs w:val="32"/>
        </w:rPr>
        <w:t>https://120.52.191.195:8090/hrms_pro</w:t>
      </w:r>
      <w:r>
        <w:rPr>
          <w:rFonts w:hint="eastAsia" w:ascii="仿宋_GB2312" w:hAnsi="仿宋_GB2312" w:eastAsia="仿宋_GB2312" w:cs="仿宋_GB2312"/>
          <w:sz w:val="32"/>
          <w:szCs w:val="32"/>
        </w:rPr>
        <w:t>进入系统首页</w:t>
      </w: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19" w:name="_Toc223106511"/>
      <w:bookmarkStart w:id="120" w:name="_Toc219557769"/>
      <w:r>
        <w:rPr>
          <w:rFonts w:hint="eastAsia" w:ascii="仿宋_GB2312" w:hAnsi="仿宋_GB2312" w:eastAsia="仿宋_GB2312" w:cs="仿宋_GB2312"/>
          <w:b w:val="0"/>
          <w:bCs w:val="0"/>
          <w:sz w:val="32"/>
          <w:szCs w:val="32"/>
        </w:rPr>
        <w:t>1.3 登录系统</w:t>
      </w:r>
      <w:bookmarkEnd w:id="119"/>
      <w:bookmarkEnd w:id="12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（1）点击【个人登录】</w:t>
      </w:r>
    </w:p>
    <w:p>
      <w:pPr>
        <w:rPr>
          <w:rFonts w:ascii="微软雅黑 Light" w:hAnsi="微软雅黑 Light" w:eastAsia="微软雅黑 Light"/>
        </w:rPr>
      </w:pPr>
      <w:r>
        <w:rPr>
          <w:rFonts w:ascii="微软雅黑 Light" w:hAnsi="微软雅黑 Light" w:eastAsia="微软雅黑 Light"/>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876935</wp:posOffset>
                </wp:positionV>
                <wp:extent cx="1285240" cy="1260475"/>
                <wp:effectExtent l="15875" t="15875" r="32385" b="19050"/>
                <wp:wrapNone/>
                <wp:docPr id="5" name="Oval 4"/>
                <wp:cNvGraphicFramePr/>
                <a:graphic xmlns:a="http://schemas.openxmlformats.org/drawingml/2006/main">
                  <a:graphicData uri="http://schemas.microsoft.com/office/word/2010/wordprocessingShape">
                    <wps:wsp>
                      <wps:cNvSpPr>
                        <a:spLocks noChangeArrowheads="1"/>
                      </wps:cNvSpPr>
                      <wps:spPr bwMode="auto">
                        <a:xfrm>
                          <a:off x="0" y="0"/>
                          <a:ext cx="1285240" cy="1260475"/>
                        </a:xfrm>
                        <a:prstGeom prst="ellipse">
                          <a:avLst/>
                        </a:prstGeom>
                        <a:noFill/>
                        <a:ln w="31750">
                          <a:solidFill>
                            <a:srgbClr val="FF0000"/>
                          </a:solidFill>
                          <a:round/>
                        </a:ln>
                        <a:effectLst/>
                      </wps:spPr>
                      <wps:bodyPr rot="0" vert="horz" wrap="square" lIns="91440" tIns="45720" rIns="91440" bIns="45720" anchor="t" anchorCtr="0" upright="1">
                        <a:noAutofit/>
                      </wps:bodyPr>
                    </wps:wsp>
                  </a:graphicData>
                </a:graphic>
              </wp:anchor>
            </w:drawing>
          </mc:Choice>
          <mc:Fallback>
            <w:pict>
              <v:shape id="Oval 4" o:spid="_x0000_s1026" o:spt="3" type="#_x0000_t3" style="position:absolute;left:0pt;margin-left:58.35pt;margin-top:69.05pt;height:99.25pt;width:101.2pt;z-index:251665408;mso-width-relative:page;mso-height-relative:page;" filled="f" stroked="t" coordsize="21600,21600" o:gfxdata="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7yOnjZAAAACwEAAA8AAAAAAAAAAQAgAAAA&#10;IgAAAGRycy9kb3ducmV2LnhtbFBLAQIUABQAAAAIAIdO4kDv3YpXCgIAAPwDAAAOAAAAAAAAAAEA&#10;IAAAACgBAABkcnMvZTJvRG9jLnhtbFBLBQYAAAAABgAGAFkBAACkBQAAAAA=&#10;">
                <v:fill on="f" focussize="0,0"/>
                <v:stroke weight="2.5pt" color="#FF0000" joinstyle="round"/>
                <v:imagedata o:title=""/>
                <o:lock v:ext="edit" aspectratio="f"/>
              </v:shape>
            </w:pict>
          </mc:Fallback>
        </mc:AlternateContent>
      </w:r>
      <w:r>
        <w:rPr>
          <w:rFonts w:ascii="微软雅黑 Light" w:hAnsi="微软雅黑 Light" w:eastAsia="微软雅黑 Light"/>
        </w:rPr>
        <w:drawing>
          <wp:inline distT="0" distB="0" distL="0" distR="0">
            <wp:extent cx="5257800" cy="3642360"/>
            <wp:effectExtent l="0" t="0" r="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57800" cy="3642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输入账号密码点击【登录】按钮登录。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账号：身份证号码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密码：初始密码账号后6位+*+Dk；(如身份证号码为“123456123456123456”，账号后六位为123456，则初始密码为“123456*Dk”，D大写，k小写)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PS：账号为部队、武警专业医师、港澳台、外国人等证件号码时，初始密码规则相同。</w:t>
      </w: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lang w:eastAsia="zh-CN"/>
        </w:rPr>
      </w:pPr>
      <w:r>
        <w:rPr>
          <w:rFonts w:ascii="微软雅黑 Light" w:hAnsi="微软雅黑 Light" w:eastAsia="微软雅黑 Light"/>
        </w:rPr>
        <w:drawing>
          <wp:anchor distT="0" distB="0" distL="0" distR="0" simplePos="0" relativeHeight="251668480" behindDoc="0" locked="0" layoutInCell="1" allowOverlap="1">
            <wp:simplePos x="0" y="0"/>
            <wp:positionH relativeFrom="column">
              <wp:posOffset>57150</wp:posOffset>
            </wp:positionH>
            <wp:positionV relativeFrom="paragraph">
              <wp:posOffset>156845</wp:posOffset>
            </wp:positionV>
            <wp:extent cx="5265420" cy="2773680"/>
            <wp:effectExtent l="0" t="0" r="11430" b="762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5420" cy="27736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left="420" w:leftChars="20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重置密码（如需要）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微软雅黑 Light" w:hAnsi="微软雅黑 Light" w:eastAsia="微软雅黑 Light"/>
        </w:rPr>
      </w:pPr>
      <w:r>
        <w:rPr>
          <w:rFonts w:hint="eastAsia" w:ascii="仿宋_GB2312" w:hAnsi="仿宋_GB2312" w:eastAsia="仿宋_GB2312" w:cs="仿宋_GB2312"/>
          <w:sz w:val="32"/>
          <w:szCs w:val="32"/>
        </w:rPr>
        <w:t>点击“重置密码”后，输入登录账号和接收到的短信验证码，然后点击“密码重置”，继续点击“确定”，重置成功。</w:t>
      </w:r>
    </w:p>
    <w:p>
      <w:pPr>
        <w:rPr>
          <w:rFonts w:ascii="微软雅黑 Light" w:hAnsi="微软雅黑 Light" w:eastAsia="微软雅黑 Light"/>
        </w:rPr>
      </w:pPr>
    </w:p>
    <w:p>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69504" behindDoc="0" locked="0" layoutInCell="1" allowOverlap="1">
            <wp:simplePos x="0" y="0"/>
            <wp:positionH relativeFrom="column">
              <wp:posOffset>85725</wp:posOffset>
            </wp:positionH>
            <wp:positionV relativeFrom="paragraph">
              <wp:posOffset>251460</wp:posOffset>
            </wp:positionV>
            <wp:extent cx="5250180" cy="3063240"/>
            <wp:effectExtent l="0" t="0" r="7620" b="381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50180" cy="3063240"/>
                    </a:xfrm>
                    <a:prstGeom prst="rect">
                      <a:avLst/>
                    </a:prstGeom>
                    <a:noFill/>
                    <a:ln>
                      <a:noFill/>
                    </a:ln>
                  </pic:spPr>
                </pic:pic>
              </a:graphicData>
            </a:graphic>
          </wp:anchor>
        </w:drawing>
      </w:r>
    </w:p>
    <w:p>
      <w:pPr>
        <w:rPr>
          <w:rFonts w:ascii="微软雅黑 Light" w:hAnsi="微软雅黑 Light" w:eastAsia="微软雅黑 Light"/>
        </w:rPr>
      </w:pPr>
    </w:p>
    <w:p>
      <w:pPr>
        <w:rPr>
          <w:rFonts w:ascii="微软雅黑 Light" w:hAnsi="微软雅黑 Light" w:eastAsia="微软雅黑 Light"/>
        </w:rPr>
        <w:sectPr>
          <w:footerReference r:id="rId8" w:type="default"/>
          <w:pgSz w:w="11906" w:h="16838"/>
          <w:pgMar w:top="1418" w:right="1644" w:bottom="1418" w:left="1418" w:header="851" w:footer="992" w:gutter="567"/>
          <w:pgNumType w:fmt="numberInDash"/>
          <w:cols w:space="720" w:num="1"/>
          <w:docGrid w:type="linesAndChars" w:linePitch="312" w:charSpace="0"/>
        </w:sectPr>
      </w:pP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21" w:name="_Toc219557770"/>
      <w:bookmarkStart w:id="122" w:name="_Toc223106512"/>
      <w:r>
        <w:rPr>
          <w:rFonts w:hint="eastAsia" w:ascii="仿宋_GB2312" w:hAnsi="仿宋_GB2312" w:eastAsia="仿宋_GB2312" w:cs="仿宋_GB2312"/>
          <w:b w:val="0"/>
          <w:bCs w:val="0"/>
          <w:sz w:val="32"/>
          <w:szCs w:val="32"/>
        </w:rPr>
        <w:t>1.4 医师报名</w:t>
      </w:r>
      <w:bookmarkEnd w:id="121"/>
      <w:bookmarkEnd w:id="122"/>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进入定期考核-信息管理-医师信息确认页面进行信息确认（标红</w:t>
      </w:r>
      <w:r>
        <w:rPr>
          <w:rFonts w:hint="eastAsia" w:ascii="仿宋_GB2312" w:hAnsi="仿宋_GB2312" w:eastAsia="仿宋_GB2312" w:cs="仿宋_GB2312"/>
          <w:b w:val="0"/>
          <w:bCs w:val="0"/>
          <w:color w:val="FF0000"/>
          <w:sz w:val="32"/>
          <w:szCs w:val="32"/>
        </w:rPr>
        <w:t>*</w:t>
      </w:r>
      <w:r>
        <w:rPr>
          <w:rFonts w:hint="eastAsia" w:ascii="仿宋_GB2312" w:hAnsi="仿宋_GB2312" w:eastAsia="仿宋_GB2312" w:cs="仿宋_GB2312"/>
          <w:b w:val="0"/>
          <w:bCs w:val="0"/>
          <w:sz w:val="32"/>
          <w:szCs w:val="32"/>
        </w:rPr>
        <w:t>处为必填项）</w:t>
      </w:r>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（1）“个人信息”页</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182100" cy="3406140"/>
            <wp:effectExtent l="0" t="0" r="0" b="3810"/>
            <wp:docPr id="11" name="图片 11" descr="17056542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56542718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182100" cy="340614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（2）“执业信息”页</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229725" cy="4681855"/>
            <wp:effectExtent l="0" t="0" r="9525" b="4445"/>
            <wp:docPr id="12" name="图片 12" descr="170565460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56546044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9233193" cy="468372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（3）“多点执业信息”页</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8488680" cy="4678680"/>
            <wp:effectExtent l="0" t="0" r="7620" b="7620"/>
            <wp:docPr id="13" name="图片 13" descr="170565492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56549263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488680" cy="467868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微软雅黑 Light" w:hAnsi="微软雅黑 Light" w:eastAsia="微软雅黑 Light"/>
        </w:rPr>
      </w:pPr>
      <w:r>
        <w:rPr>
          <w:rFonts w:ascii="微软雅黑 Light" w:hAnsi="微软雅黑 Light" w:eastAsia="微软雅黑 Light"/>
        </w:rPr>
        <w:drawing>
          <wp:anchor distT="0" distB="0" distL="0" distR="0" simplePos="0" relativeHeight="251666432" behindDoc="0" locked="0" layoutInCell="1" allowOverlap="1">
            <wp:simplePos x="0" y="0"/>
            <wp:positionH relativeFrom="column">
              <wp:posOffset>523875</wp:posOffset>
            </wp:positionH>
            <wp:positionV relativeFrom="paragraph">
              <wp:posOffset>872490</wp:posOffset>
            </wp:positionV>
            <wp:extent cx="7924800" cy="4185285"/>
            <wp:effectExtent l="0" t="0" r="0" b="5715"/>
            <wp:wrapTopAndBottom/>
            <wp:docPr id="16" name="图片 16" descr="170565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56550898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924800" cy="4185285"/>
                    </a:xfrm>
                    <a:prstGeom prst="rect">
                      <a:avLst/>
                    </a:prstGeom>
                    <a:noFill/>
                    <a:ln>
                      <a:noFill/>
                    </a:ln>
                  </pic:spPr>
                </pic:pic>
              </a:graphicData>
            </a:graphic>
          </wp:anchor>
        </w:drawing>
      </w:r>
      <w:r>
        <w:rPr>
          <w:rFonts w:hint="eastAsia" w:ascii="仿宋_GB2312" w:hAnsi="仿宋_GB2312" w:eastAsia="仿宋_GB2312" w:cs="仿宋_GB2312"/>
          <w:spacing w:val="-11"/>
          <w:sz w:val="32"/>
          <w:szCs w:val="32"/>
        </w:rPr>
        <w:t>（4）“简易流程”页，如符合“简易流程”条件，选择“是”，然后据实填写。如不符合“简易流程”条件，选择“否”，进行下一步。</w:t>
      </w:r>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（5）“提交成功”提示</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8831580" cy="3954780"/>
            <wp:effectExtent l="0" t="0" r="7620" b="7620"/>
            <wp:docPr id="25" name="图片 25" descr="170565534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56553408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8831580" cy="3954780"/>
                    </a:xfrm>
                    <a:prstGeom prst="rect">
                      <a:avLst/>
                    </a:prstGeom>
                    <a:noFill/>
                    <a:ln>
                      <a:noFill/>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ind w:left="0" w:leftChars="0" w:firstLine="572" w:firstLineChars="200"/>
        <w:textAlignment w:val="auto"/>
        <w:rPr>
          <w:rFonts w:hint="eastAsia" w:ascii="仿宋_GB2312" w:hAnsi="仿宋_GB2312" w:eastAsia="仿宋_GB2312" w:cs="仿宋_GB2312"/>
          <w:spacing w:val="-17"/>
          <w:sz w:val="32"/>
          <w:szCs w:val="32"/>
        </w:rPr>
      </w:pPr>
      <w:r>
        <w:rPr>
          <w:rFonts w:hint="eastAsia" w:ascii="仿宋_GB2312" w:hAnsi="仿宋_GB2312" w:eastAsia="仿宋_GB2312" w:cs="仿宋_GB2312"/>
          <w:spacing w:val="-17"/>
          <w:sz w:val="32"/>
          <w:szCs w:val="32"/>
        </w:rPr>
        <w:t>确认完成后点击【提交】按钮会自动提交个人的考核申请（包括基础信息及报考科目）至医疗机构</w:t>
      </w:r>
    </w:p>
    <w:p>
      <w:pPr>
        <w:pStyle w:val="4"/>
        <w:tabs>
          <w:tab w:val="left" w:pos="576"/>
          <w:tab w:val="left" w:pos="6000"/>
          <w:tab w:val="clear" w:pos="927"/>
        </w:tabs>
        <w:spacing w:before="260" w:after="260" w:line="416" w:lineRule="auto"/>
        <w:ind w:left="576" w:hanging="576"/>
        <w:rPr>
          <w:rFonts w:ascii="微软雅黑 Light" w:hAnsi="微软雅黑 Light" w:eastAsia="微软雅黑 Light"/>
          <w:b/>
          <w:sz w:val="32"/>
        </w:rPr>
        <w:sectPr>
          <w:pgSz w:w="16838" w:h="11906" w:orient="landscape"/>
          <w:pgMar w:top="1644" w:right="1418" w:bottom="1418" w:left="1418" w:header="851" w:footer="992" w:gutter="567"/>
          <w:pgNumType w:fmt="numberInDash"/>
          <w:cols w:space="720" w:num="1"/>
          <w:docGrid w:type="lines" w:linePitch="312" w:charSpace="0"/>
        </w:sectPr>
      </w:pPr>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sz w:val="32"/>
          <w:szCs w:val="32"/>
        </w:rPr>
      </w:pPr>
      <w:bookmarkStart w:id="123" w:name="_Toc219557771"/>
      <w:bookmarkStart w:id="124" w:name="_Toc223106513"/>
      <w:r>
        <w:rPr>
          <w:rFonts w:hint="eastAsia" w:ascii="仿宋_GB2312" w:hAnsi="仿宋_GB2312" w:eastAsia="仿宋_GB2312" w:cs="仿宋_GB2312"/>
          <w:b w:val="0"/>
          <w:bCs w:val="0"/>
          <w:sz w:val="32"/>
          <w:szCs w:val="32"/>
        </w:rPr>
        <w:t>1.5 医师考核信息查询</w:t>
      </w:r>
      <w:bookmarkEnd w:id="123"/>
      <w:bookmarkEnd w:id="124"/>
      <w:r>
        <w:rPr>
          <w:rFonts w:hint="eastAsia" w:ascii="仿宋_GB2312" w:hAnsi="仿宋_GB2312" w:eastAsia="仿宋_GB2312" w:cs="仿宋_GB2312"/>
          <w:b/>
          <w:sz w:val="32"/>
          <w:szCs w:val="32"/>
        </w:rPr>
        <w:tab/>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进入医师考核查询页-可查询各执业地点审核或评定情况，并且可以查询前两届定考年度的考试结果。</w:t>
      </w:r>
    </w:p>
    <w:p>
      <w:pPr>
        <w:rPr>
          <w:rFonts w:ascii="微软雅黑 Light" w:hAnsi="微软雅黑 Light" w:eastAsia="微软雅黑 Light"/>
        </w:rPr>
      </w:pPr>
      <w:r>
        <w:rPr>
          <w:rFonts w:ascii="微软雅黑 Light" w:hAnsi="微软雅黑 Light" w:eastAsia="微软雅黑 Light"/>
        </w:rPr>
        <w:drawing>
          <wp:inline distT="0" distB="0" distL="0" distR="0">
            <wp:extent cx="8702040" cy="3977640"/>
            <wp:effectExtent l="0" t="0" r="3810" b="3810"/>
            <wp:docPr id="26" name="图片 26" descr="考核信息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考核信息查询"/>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702040" cy="3977640"/>
                    </a:xfrm>
                    <a:prstGeom prst="rect">
                      <a:avLst/>
                    </a:prstGeom>
                    <a:noFill/>
                    <a:ln>
                      <a:noFill/>
                    </a:ln>
                  </pic:spPr>
                </pic:pic>
              </a:graphicData>
            </a:graphic>
          </wp:inline>
        </w:drawing>
      </w:r>
    </w:p>
    <w:p>
      <w:pPr>
        <w:rPr>
          <w:rFonts w:ascii="微软雅黑 Light" w:hAnsi="微软雅黑 Light" w:eastAsia="微软雅黑 Light"/>
        </w:rPr>
        <w:sectPr>
          <w:pgSz w:w="16838" w:h="11906" w:orient="landscape"/>
          <w:pgMar w:top="1644" w:right="1418" w:bottom="1418" w:left="1418" w:header="851" w:footer="992" w:gutter="567"/>
          <w:pgNumType w:fmt="numberInDash"/>
          <w:cols w:space="720" w:num="1"/>
          <w:docGrid w:type="lines" w:linePitch="312" w:charSpace="0"/>
        </w:sectPr>
      </w:pPr>
    </w:p>
    <w:p>
      <w:pPr>
        <w:pStyle w:val="4"/>
        <w:tabs>
          <w:tab w:val="left" w:pos="576"/>
          <w:tab w:val="left" w:pos="6000"/>
          <w:tab w:val="clear" w:pos="927"/>
        </w:tabs>
        <w:spacing w:before="260" w:after="260" w:line="416" w:lineRule="auto"/>
        <w:ind w:left="576" w:hanging="576"/>
        <w:rPr>
          <w:rFonts w:ascii="微软雅黑 Light" w:hAnsi="微软雅黑 Light" w:eastAsia="微软雅黑 Light"/>
          <w:b/>
          <w:sz w:val="32"/>
        </w:rPr>
      </w:pPr>
      <w:bookmarkStart w:id="125" w:name="_Toc223106514"/>
      <w:bookmarkStart w:id="126" w:name="_Toc219557772"/>
      <w:r>
        <w:rPr>
          <w:rFonts w:hint="eastAsia" w:ascii="仿宋_GB2312" w:hAnsi="仿宋_GB2312" w:eastAsia="仿宋_GB2312" w:cs="仿宋_GB2312"/>
          <w:b w:val="0"/>
          <w:bCs w:val="0"/>
          <w:sz w:val="32"/>
          <w:szCs w:val="32"/>
        </w:rPr>
        <w:t>1.6 用户密码修改</w:t>
      </w:r>
      <w:bookmarkEnd w:id="125"/>
      <w:bookmarkEnd w:id="126"/>
    </w:p>
    <w:p>
      <w:pPr>
        <w:pStyle w:val="19"/>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在输入框中输入新密码并确认后，需要获取手机验证码，并验证后，方可修改成功。</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inline distT="0" distB="0" distL="0" distR="0">
            <wp:extent cx="9403080" cy="3863340"/>
            <wp:effectExtent l="0" t="0" r="7620" b="3810"/>
            <wp:docPr id="28" name="图片 28" descr="17056566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05656600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403080" cy="3863340"/>
                    </a:xfrm>
                    <a:prstGeom prst="rect">
                      <a:avLst/>
                    </a:prstGeom>
                    <a:noFill/>
                    <a:ln>
                      <a:noFill/>
                    </a:ln>
                  </pic:spPr>
                </pic:pic>
              </a:graphicData>
            </a:graphic>
          </wp:inline>
        </w:drawing>
      </w:r>
    </w:p>
    <w:p>
      <w:pPr>
        <w:pStyle w:val="4"/>
        <w:tabs>
          <w:tab w:val="left" w:pos="576"/>
          <w:tab w:val="clear" w:pos="927"/>
        </w:tabs>
        <w:spacing w:before="260" w:after="260" w:line="416" w:lineRule="auto"/>
        <w:ind w:left="576" w:hanging="576"/>
        <w:rPr>
          <w:rFonts w:ascii="微软雅黑 Light" w:hAnsi="微软雅黑 Light" w:eastAsia="微软雅黑 Light"/>
          <w:b/>
          <w:sz w:val="32"/>
        </w:rPr>
        <w:sectPr>
          <w:pgSz w:w="16838" w:h="11906" w:orient="landscape"/>
          <w:pgMar w:top="1644" w:right="1418" w:bottom="1418" w:left="1418" w:header="851" w:footer="992" w:gutter="567"/>
          <w:pgNumType w:fmt="numberInDash"/>
          <w:cols w:space="720" w:num="1"/>
          <w:docGrid w:type="lines" w:linePitch="312" w:charSpace="0"/>
        </w:sectPr>
      </w:pPr>
    </w:p>
    <w:p>
      <w:pPr>
        <w:pStyle w:val="2"/>
        <w:tabs>
          <w:tab w:val="left" w:pos="432"/>
        </w:tabs>
        <w:spacing w:before="340" w:after="330" w:line="578" w:lineRule="auto"/>
        <w:ind w:left="432" w:hanging="432"/>
        <w:contextualSpacing w:val="0"/>
        <w:jc w:val="both"/>
        <w:rPr>
          <w:rFonts w:ascii="微软雅黑 Light" w:hAnsi="微软雅黑 Light" w:eastAsia="微软雅黑 Light"/>
          <w:b/>
          <w:sz w:val="44"/>
          <w:szCs w:val="44"/>
        </w:rPr>
      </w:pPr>
      <w:bookmarkStart w:id="127" w:name="_Toc219557773"/>
      <w:bookmarkStart w:id="128" w:name="_Toc223106515"/>
      <w:r>
        <w:rPr>
          <w:rFonts w:hint="eastAsia" w:ascii="黑体" w:hAnsi="黑体" w:eastAsia="黑体" w:cs="黑体"/>
          <w:b w:val="0"/>
          <w:bCs w:val="0"/>
          <w:sz w:val="32"/>
          <w:szCs w:val="32"/>
        </w:rPr>
        <w:t>2考核管理</w:t>
      </w:r>
      <w:bookmarkEnd w:id="127"/>
      <w:bookmarkEnd w:id="128"/>
      <w:r>
        <w:rPr>
          <w:rFonts w:hint="eastAsia" w:ascii="黑体" w:hAnsi="黑体" w:eastAsia="黑体" w:cs="黑体"/>
          <w:b w:val="0"/>
          <w:bCs w:val="0"/>
          <w:sz w:val="32"/>
          <w:szCs w:val="32"/>
        </w:rPr>
        <w:t xml:space="preserve"> </w:t>
      </w:r>
      <w:r>
        <w:rPr>
          <w:rFonts w:hint="eastAsia" w:ascii="微软雅黑 Light" w:hAnsi="微软雅黑 Light" w:eastAsia="微软雅黑 Light"/>
          <w:b/>
          <w:sz w:val="44"/>
          <w:szCs w:val="44"/>
        </w:rPr>
        <w:t xml:space="preserve"> </w:t>
      </w:r>
      <w:r>
        <w:rPr>
          <w:rFonts w:ascii="微软雅黑 Light" w:hAnsi="微软雅黑 Light" w:eastAsia="微软雅黑 Light"/>
          <w:b/>
          <w:sz w:val="44"/>
          <w:szCs w:val="44"/>
        </w:rPr>
        <w:t xml:space="preserve"> </w:t>
      </w:r>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29" w:name="_Toc223106516"/>
      <w:bookmarkStart w:id="130" w:name="_Toc219557774"/>
      <w:r>
        <w:rPr>
          <w:rFonts w:hint="eastAsia" w:ascii="仿宋_GB2312" w:hAnsi="仿宋_GB2312" w:eastAsia="仿宋_GB2312" w:cs="仿宋_GB2312"/>
          <w:b w:val="0"/>
          <w:bCs w:val="0"/>
          <w:sz w:val="32"/>
        </w:rPr>
        <w:t>2.1进入待参加的考试</w:t>
      </w:r>
      <w:bookmarkEnd w:id="129"/>
      <w:bookmarkEnd w:id="130"/>
    </w:p>
    <w:p>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67456" behindDoc="0" locked="0" layoutInCell="1" allowOverlap="1">
            <wp:simplePos x="0" y="0"/>
            <wp:positionH relativeFrom="column">
              <wp:posOffset>-190500</wp:posOffset>
            </wp:positionH>
            <wp:positionV relativeFrom="paragraph">
              <wp:posOffset>80010</wp:posOffset>
            </wp:positionV>
            <wp:extent cx="5799455" cy="2960370"/>
            <wp:effectExtent l="0" t="0" r="10795" b="11430"/>
            <wp:wrapSquare wrapText="bothSides"/>
            <wp:docPr id="29" name="图片 29" descr="170567536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056753671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99455" cy="2960370"/>
                    </a:xfrm>
                    <a:prstGeom prst="rect">
                      <a:avLst/>
                    </a:prstGeom>
                    <a:noFill/>
                    <a:ln>
                      <a:noFill/>
                    </a:ln>
                  </pic:spPr>
                </pic:pic>
              </a:graphicData>
            </a:graphic>
          </wp:anchor>
        </w:drawing>
      </w:r>
    </w:p>
    <w:p>
      <w:pPr>
        <w:rPr>
          <w:rFonts w:ascii="微软雅黑 Light" w:hAnsi="微软雅黑 Light" w:eastAsia="微软雅黑 Light"/>
        </w:rPr>
      </w:pPr>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1" w:name="_Toc219557775"/>
      <w:bookmarkStart w:id="132" w:name="_Toc223106517"/>
      <w:r>
        <w:rPr>
          <w:rFonts w:hint="eastAsia" w:ascii="仿宋_GB2312" w:hAnsi="仿宋_GB2312" w:eastAsia="仿宋_GB2312" w:cs="仿宋_GB2312"/>
          <w:b w:val="0"/>
          <w:bCs w:val="0"/>
          <w:sz w:val="32"/>
        </w:rPr>
        <w:t>2.2点击参考试</w:t>
      </w:r>
      <w:bookmarkEnd w:id="131"/>
      <w:bookmarkEnd w:id="132"/>
    </w:p>
    <w:p>
      <w:pPr>
        <w:rPr>
          <w:rFonts w:ascii="微软雅黑 Light" w:hAnsi="微软雅黑 Light" w:eastAsia="微软雅黑 Light"/>
        </w:rPr>
      </w:pPr>
      <w:r>
        <w:rPr>
          <w:rFonts w:ascii="微软雅黑 Light" w:hAnsi="微软雅黑 Light" w:eastAsia="微软雅黑 Light"/>
        </w:rPr>
        <w:drawing>
          <wp:anchor distT="0" distB="0" distL="0" distR="0" simplePos="0" relativeHeight="251670528" behindDoc="0" locked="0" layoutInCell="1" allowOverlap="1">
            <wp:simplePos x="0" y="0"/>
            <wp:positionH relativeFrom="column">
              <wp:posOffset>-133350</wp:posOffset>
            </wp:positionH>
            <wp:positionV relativeFrom="paragraph">
              <wp:posOffset>15240</wp:posOffset>
            </wp:positionV>
            <wp:extent cx="5761990" cy="2978785"/>
            <wp:effectExtent l="0" t="0" r="10160" b="12065"/>
            <wp:wrapTopAndBottom/>
            <wp:docPr id="30" name="图片 30" descr="170567558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056755869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61990" cy="2978785"/>
                    </a:xfrm>
                    <a:prstGeom prst="rect">
                      <a:avLst/>
                    </a:prstGeom>
                    <a:noFill/>
                    <a:ln>
                      <a:noFill/>
                    </a:ln>
                  </pic:spPr>
                </pic:pic>
              </a:graphicData>
            </a:graphic>
          </wp:anchor>
        </w:drawing>
      </w:r>
    </w:p>
    <w:p>
      <w:pPr>
        <w:rPr>
          <w:rFonts w:ascii="微软雅黑 Light" w:hAnsi="微软雅黑 Light" w:eastAsia="微软雅黑 Light"/>
        </w:rPr>
      </w:pPr>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3" w:name="_Toc219557776"/>
      <w:bookmarkStart w:id="134" w:name="_Toc223106518"/>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2.3点击开始考试并答题</w:t>
      </w:r>
      <w:bookmarkEnd w:id="133"/>
      <w:bookmarkEnd w:id="134"/>
    </w:p>
    <w:p>
      <w:pPr>
        <w:pStyle w:val="4"/>
        <w:keepNext/>
        <w:keepLines/>
        <w:pageBreakBefore w:val="0"/>
        <w:widowControl w:val="0"/>
        <w:tabs>
          <w:tab w:val="left" w:pos="576"/>
          <w:tab w:val="left" w:pos="6000"/>
          <w:tab w:val="clear" w:pos="927"/>
        </w:tabs>
        <w:kinsoku/>
        <w:wordWrap/>
        <w:overflowPunct/>
        <w:topLinePunct w:val="0"/>
        <w:autoSpaceDE/>
        <w:autoSpaceDN/>
        <w:bidi w:val="0"/>
        <w:adjustRightInd/>
        <w:snapToGrid/>
        <w:spacing w:before="260" w:after="260" w:line="416" w:lineRule="auto"/>
        <w:ind w:left="0" w:firstLine="640"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首先出现法律法规试题，通过后出现专业题。</w:t>
      </w:r>
    </w:p>
    <w:p>
      <w:pPr>
        <w:pStyle w:val="19"/>
        <w:ind w:left="0" w:leftChars="0" w:firstLine="0" w:firstLineChars="0"/>
        <w:rPr>
          <w:rFonts w:ascii="微软雅黑 Light" w:hAnsi="微软雅黑 Light" w:eastAsia="微软雅黑 Light"/>
        </w:rPr>
      </w:pPr>
      <w:r>
        <w:rPr>
          <w:rFonts w:ascii="微软雅黑 Light" w:hAnsi="微软雅黑 Light" w:eastAsia="微软雅黑 Light"/>
        </w:rPr>
        <w:drawing>
          <wp:anchor distT="0" distB="0" distL="0" distR="0" simplePos="0" relativeHeight="251671552" behindDoc="0" locked="0" layoutInCell="1" allowOverlap="1">
            <wp:simplePos x="0" y="0"/>
            <wp:positionH relativeFrom="column">
              <wp:posOffset>-390525</wp:posOffset>
            </wp:positionH>
            <wp:positionV relativeFrom="paragraph">
              <wp:posOffset>66675</wp:posOffset>
            </wp:positionV>
            <wp:extent cx="5913120" cy="3840480"/>
            <wp:effectExtent l="0" t="0" r="11430" b="7620"/>
            <wp:wrapTopAndBottom/>
            <wp:docPr id="31" name="图片 31" descr="170567571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05675712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13120" cy="3840480"/>
                    </a:xfrm>
                    <a:prstGeom prst="rect">
                      <a:avLst/>
                    </a:prstGeom>
                    <a:noFill/>
                    <a:ln>
                      <a:noFill/>
                    </a:ln>
                  </pic:spPr>
                </pic:pic>
              </a:graphicData>
            </a:graphic>
          </wp:anchor>
        </w:drawing>
      </w:r>
    </w:p>
    <w:p>
      <w:pPr>
        <w:pStyle w:val="4"/>
        <w:tabs>
          <w:tab w:val="left" w:pos="576"/>
          <w:tab w:val="left" w:pos="6000"/>
          <w:tab w:val="clear" w:pos="927"/>
        </w:tabs>
        <w:spacing w:before="260" w:after="260" w:line="416" w:lineRule="auto"/>
        <w:ind w:left="576" w:hanging="576"/>
        <w:rPr>
          <w:rFonts w:hint="eastAsia" w:ascii="仿宋_GB2312" w:hAnsi="仿宋_GB2312" w:eastAsia="仿宋_GB2312" w:cs="仿宋_GB2312"/>
          <w:b w:val="0"/>
          <w:bCs w:val="0"/>
          <w:sz w:val="32"/>
        </w:rPr>
      </w:pPr>
      <w:bookmarkStart w:id="135" w:name="_Toc219557777"/>
      <w:bookmarkStart w:id="136" w:name="_Toc223106519"/>
      <w:r>
        <w:rPr>
          <w:rFonts w:hint="eastAsia" w:ascii="仿宋_GB2312" w:hAnsi="仿宋_GB2312" w:eastAsia="仿宋_GB2312" w:cs="仿宋_GB2312"/>
          <w:b w:val="0"/>
          <w:bCs w:val="0"/>
          <w:sz w:val="32"/>
        </w:rPr>
        <w:t>2.4点击提交试卷后有以下提示</w:t>
      </w:r>
      <w:bookmarkEnd w:id="135"/>
      <w:bookmarkEnd w:id="136"/>
    </w:p>
    <w:p>
      <w:pPr>
        <w:rPr>
          <w:rFonts w:ascii="微软雅黑 Light" w:hAnsi="微软雅黑 Light" w:eastAsia="微软雅黑 Light"/>
        </w:rPr>
      </w:pPr>
      <w:r>
        <w:rPr>
          <w:rFonts w:ascii="微软雅黑 Light" w:hAnsi="微软雅黑 Light" w:eastAsia="微软雅黑 Light"/>
        </w:rPr>
        <w:drawing>
          <wp:inline distT="0" distB="0" distL="0" distR="0">
            <wp:extent cx="5250180" cy="2750820"/>
            <wp:effectExtent l="0" t="0" r="7620" b="114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50180" cy="2750820"/>
                    </a:xfrm>
                    <a:prstGeom prst="rect">
                      <a:avLst/>
                    </a:prstGeom>
                    <a:noFill/>
                    <a:ln>
                      <a:noFill/>
                    </a:ln>
                  </pic:spPr>
                </pic:pic>
              </a:graphicData>
            </a:graphic>
          </wp:inline>
        </w:drawing>
      </w:r>
    </w:p>
    <w:p>
      <w:pPr>
        <w:pStyle w:val="4"/>
        <w:keepNext/>
        <w:keepLines/>
        <w:pageBreakBefore w:val="0"/>
        <w:widowControl w:val="0"/>
        <w:tabs>
          <w:tab w:val="left" w:pos="576"/>
          <w:tab w:val="left" w:pos="6000"/>
          <w:tab w:val="clear" w:pos="927"/>
        </w:tabs>
        <w:kinsoku/>
        <w:wordWrap/>
        <w:overflowPunct/>
        <w:topLinePunct w:val="0"/>
        <w:autoSpaceDE/>
        <w:autoSpaceDN/>
        <w:bidi w:val="0"/>
        <w:adjustRightInd/>
        <w:snapToGrid/>
        <w:spacing w:before="260" w:after="260" w:line="416" w:lineRule="auto"/>
        <w:ind w:left="0" w:firstLine="640" w:firstLineChars="200"/>
        <w:textAlignment w:val="auto"/>
        <w:rPr>
          <w:rFonts w:hint="eastAsia" w:ascii="仿宋_GB2312" w:hAnsi="仿宋_GB2312" w:eastAsia="仿宋_GB2312" w:cs="仿宋_GB2312"/>
          <w:b w:val="0"/>
          <w:bCs w:val="0"/>
          <w:sz w:val="32"/>
        </w:rPr>
      </w:pPr>
      <w:r>
        <w:rPr>
          <w:rFonts w:hint="eastAsia" w:ascii="仿宋_GB2312" w:hAnsi="仿宋_GB2312" w:eastAsia="仿宋_GB2312" w:cs="仿宋_GB2312"/>
          <w:b w:val="0"/>
          <w:bCs w:val="0"/>
          <w:sz w:val="32"/>
        </w:rPr>
        <w:t>注：在“已完成的考试”中可查看已经完成的考试，在“待参加的练习”中可进行法律法规练习题练习。</w:t>
      </w:r>
    </w:p>
    <w:p>
      <w:pPr>
        <w:pStyle w:val="2"/>
        <w:numPr>
          <w:ilvl w:val="0"/>
          <w:numId w:val="0"/>
        </w:numPr>
        <w:tabs>
          <w:tab w:val="left" w:pos="432"/>
        </w:tabs>
        <w:spacing w:before="340" w:after="330" w:line="578" w:lineRule="auto"/>
        <w:ind w:leftChars="0"/>
        <w:contextualSpacing w:val="0"/>
        <w:jc w:val="both"/>
        <w:rPr>
          <w:rFonts w:hint="eastAsia" w:ascii="黑体" w:hAnsi="黑体" w:eastAsia="黑体" w:cs="黑体"/>
          <w:b w:val="0"/>
          <w:bCs w:val="0"/>
          <w:sz w:val="32"/>
          <w:szCs w:val="32"/>
        </w:rPr>
      </w:pPr>
      <w:bookmarkStart w:id="137" w:name="_Toc219557778"/>
      <w:bookmarkStart w:id="138" w:name="_Toc223106520"/>
      <w:bookmarkStart w:id="139" w:name="_Toc55796184"/>
      <w:r>
        <w:rPr>
          <w:rFonts w:hint="eastAsia" w:ascii="黑体" w:hAnsi="黑体" w:eastAsia="黑体" w:cs="黑体"/>
          <w:b w:val="0"/>
          <w:bCs w:val="0"/>
          <w:sz w:val="32"/>
          <w:szCs w:val="32"/>
          <w:lang w:val="en-US" w:eastAsia="zh-CN"/>
        </w:rPr>
        <w:t>3</w:t>
      </w:r>
      <w:r>
        <w:rPr>
          <w:rFonts w:hint="eastAsia" w:ascii="黑体" w:hAnsi="黑体" w:eastAsia="黑体" w:cs="黑体"/>
          <w:b w:val="0"/>
          <w:bCs w:val="0"/>
          <w:sz w:val="32"/>
          <w:szCs w:val="32"/>
        </w:rPr>
        <w:t>常见问题解答</w:t>
      </w:r>
      <w:bookmarkEnd w:id="137"/>
      <w:bookmarkEnd w:id="138"/>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kern w:val="0"/>
          <w:sz w:val="32"/>
          <w:szCs w:val="32"/>
        </w:rPr>
      </w:pPr>
      <w:bookmarkStart w:id="140" w:name="_Toc223106521"/>
      <w:bookmarkStart w:id="141" w:name="_Toc219557779"/>
      <w:r>
        <w:rPr>
          <w:rFonts w:hint="eastAsia" w:ascii="仿宋_GB2312" w:hAnsi="仿宋_GB2312" w:eastAsia="仿宋_GB2312" w:cs="仿宋_GB2312"/>
          <w:b w:val="0"/>
          <w:bCs w:val="0"/>
          <w:sz w:val="32"/>
          <w:szCs w:val="32"/>
        </w:rPr>
        <w:t>3.1 医师输入登录账号和密码后无法登录</w:t>
      </w:r>
      <w:bookmarkEnd w:id="140"/>
      <w:bookmarkEnd w:id="141"/>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医师如第一次登录定考系统，账号为医师执业证上的身份证号或其他证件编码，密码为账号后六位*（星号）Dk（D大写，k小写），如果输入的账号密码均正确但显示被隐藏，请联系机构解除隐藏。</w:t>
      </w:r>
    </w:p>
    <w:bookmarkEnd w:id="139"/>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rPr>
      </w:pPr>
      <w:bookmarkStart w:id="142" w:name="_Toc219557780"/>
      <w:bookmarkStart w:id="143" w:name="_Toc223106522"/>
      <w:r>
        <w:rPr>
          <w:rFonts w:hint="eastAsia" w:ascii="仿宋_GB2312" w:hAnsi="仿宋_GB2312" w:eastAsia="仿宋_GB2312" w:cs="仿宋_GB2312"/>
          <w:b w:val="0"/>
          <w:bCs w:val="0"/>
          <w:sz w:val="32"/>
        </w:rPr>
        <w:t>3.2 忘记密码无法通过绑定的手机号找回？</w:t>
      </w:r>
      <w:bookmarkEnd w:id="142"/>
      <w:bookmarkEnd w:id="143"/>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医师如果忘记密码且不能通过发送验证码的方式找回，请联系单位进行医师密码初始化。</w:t>
      </w: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4" w:name="_Toc223106523"/>
      <w:bookmarkStart w:id="145" w:name="_Toc219557781"/>
      <w:r>
        <w:rPr>
          <w:rFonts w:hint="eastAsia" w:ascii="仿宋_GB2312" w:hAnsi="仿宋_GB2312" w:eastAsia="仿宋_GB2312" w:cs="仿宋_GB2312"/>
          <w:b w:val="0"/>
          <w:bCs w:val="0"/>
          <w:sz w:val="32"/>
          <w:szCs w:val="32"/>
        </w:rPr>
        <w:t>3.3 医师报名过后发现专业报错了？</w:t>
      </w:r>
      <w:bookmarkEnd w:id="144"/>
      <w:bookmarkEnd w:id="145"/>
    </w:p>
    <w:p>
      <w:pPr>
        <w:pStyle w:val="20"/>
        <w:ind w:firstLine="729" w:firstLineChars="22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如果在报名过后，发现报考专业有误请联系单位处理。</w:t>
      </w: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6" w:name="_Toc223106524"/>
      <w:bookmarkStart w:id="147" w:name="_Toc219557782"/>
      <w:r>
        <w:rPr>
          <w:rFonts w:hint="eastAsia" w:ascii="仿宋_GB2312" w:hAnsi="仿宋_GB2312" w:eastAsia="仿宋_GB2312" w:cs="仿宋_GB2312"/>
          <w:b w:val="0"/>
          <w:bCs w:val="0"/>
          <w:sz w:val="32"/>
          <w:szCs w:val="32"/>
        </w:rPr>
        <w:t>3.4 医师发现自己的多点执业地点有问题？</w:t>
      </w:r>
      <w:bookmarkEnd w:id="146"/>
      <w:bookmarkEnd w:id="147"/>
    </w:p>
    <w:p>
      <w:pPr>
        <w:pStyle w:val="20"/>
        <w:ind w:firstLine="729" w:firstLineChars="228"/>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对多点执业信息有疑问，请在医师电子化注册系统调整多点执业信息。</w:t>
      </w:r>
    </w:p>
    <w:p>
      <w:pPr>
        <w:pStyle w:val="4"/>
        <w:tabs>
          <w:tab w:val="left" w:pos="576"/>
          <w:tab w:val="clear" w:pos="927"/>
        </w:tabs>
        <w:spacing w:before="260" w:after="260" w:line="416" w:lineRule="auto"/>
        <w:ind w:left="576" w:hanging="576"/>
        <w:rPr>
          <w:rFonts w:hint="eastAsia" w:ascii="仿宋_GB2312" w:hAnsi="仿宋_GB2312" w:eastAsia="仿宋_GB2312" w:cs="仿宋_GB2312"/>
          <w:b w:val="0"/>
          <w:bCs w:val="0"/>
          <w:sz w:val="32"/>
          <w:szCs w:val="32"/>
        </w:rPr>
      </w:pPr>
      <w:bookmarkStart w:id="148" w:name="_Toc223106525"/>
      <w:bookmarkStart w:id="149" w:name="_Toc219557783"/>
      <w:r>
        <w:rPr>
          <w:rFonts w:hint="eastAsia" w:ascii="仿宋_GB2312" w:hAnsi="仿宋_GB2312" w:eastAsia="仿宋_GB2312" w:cs="仿宋_GB2312"/>
          <w:b w:val="0"/>
          <w:bCs w:val="0"/>
          <w:sz w:val="32"/>
          <w:szCs w:val="32"/>
        </w:rPr>
        <w:t>3.5 考试完成后发现考核成绩有问题？</w:t>
      </w:r>
      <w:bookmarkEnd w:id="148"/>
      <w:bookmarkEnd w:id="149"/>
    </w:p>
    <w:p>
      <w:pPr>
        <w:pStyle w:val="20"/>
        <w:ind w:firstLine="729" w:firstLineChars="228"/>
        <w:rPr>
          <w:rFonts w:ascii="微软雅黑 Light" w:hAnsi="微软雅黑 Light" w:eastAsia="微软雅黑 Light"/>
          <w:sz w:val="21"/>
          <w:szCs w:val="21"/>
        </w:rPr>
      </w:pPr>
      <w:r>
        <w:rPr>
          <w:rFonts w:hint="eastAsia" w:ascii="仿宋_GB2312" w:hAnsi="仿宋_GB2312" w:eastAsia="仿宋_GB2312" w:cs="仿宋_GB2312"/>
          <w:b w:val="0"/>
          <w:bCs w:val="0"/>
          <w:sz w:val="32"/>
          <w:szCs w:val="32"/>
        </w:rPr>
        <w:t>如果发现考核成绩有问题请联系所在区的定期考核办公室处理。</w:t>
      </w:r>
    </w:p>
    <w:p>
      <w:pPr>
        <w:pStyle w:val="20"/>
        <w:ind w:firstLine="0" w:firstLineChars="0"/>
        <w:rPr>
          <w:rFonts w:ascii="微软雅黑 Light" w:hAnsi="微软雅黑 Light" w:eastAsia="微软雅黑 Light"/>
          <w:szCs w:val="24"/>
        </w:rPr>
      </w:pPr>
    </w:p>
    <w:p>
      <w:pPr>
        <w:jc w:val="center"/>
        <w:rPr>
          <w:rFonts w:hint="default" w:ascii="方正小标宋简体" w:hAnsi="方正小标宋简体" w:eastAsia="方正小标宋简体" w:cs="方正小标宋简体"/>
          <w:sz w:val="44"/>
          <w:szCs w:val="44"/>
          <w:lang w:val="en-US" w:eastAsia="zh-CN"/>
        </w:rPr>
      </w:pPr>
    </w:p>
    <w:sectPr>
      <w:pgSz w:w="11906" w:h="16838"/>
      <w:pgMar w:top="1418" w:right="1644" w:bottom="1418" w:left="1418" w:header="851" w:footer="992" w:gutter="567"/>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Light">
    <w:altName w:val="黑体"/>
    <w:panose1 w:val="020B0502040204020203"/>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宋体" w:hAnsi="宋体"/>
        <w:sz w:val="28"/>
        <w:szCs w:val="28"/>
      </w:rPr>
    </w:pPr>
    <w:r>
      <w:rPr>
        <w:sz w:val="2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6"/>
                      <w:jc w:val="right"/>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63D1E"/>
    <w:multiLevelType w:val="multilevel"/>
    <w:tmpl w:val="15563D1E"/>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55A5642C"/>
    <w:multiLevelType w:val="multilevel"/>
    <w:tmpl w:val="55A5642C"/>
    <w:lvl w:ilvl="0" w:tentative="0">
      <w:start w:val="1"/>
      <w:numFmt w:val="bullet"/>
      <w:lvlText w:val=""/>
      <w:lvlJc w:val="left"/>
      <w:pPr>
        <w:ind w:left="912" w:hanging="420"/>
      </w:pPr>
      <w:rPr>
        <w:rFonts w:hint="default" w:ascii="Wingdings" w:hAnsi="Wingdings"/>
      </w:rPr>
    </w:lvl>
    <w:lvl w:ilvl="1" w:tentative="0">
      <w:start w:val="1"/>
      <w:numFmt w:val="bullet"/>
      <w:lvlText w:val=""/>
      <w:lvlJc w:val="left"/>
      <w:pPr>
        <w:ind w:left="1332" w:hanging="420"/>
      </w:pPr>
      <w:rPr>
        <w:rFonts w:hint="default" w:ascii="Wingdings" w:hAnsi="Wingdings"/>
      </w:rPr>
    </w:lvl>
    <w:lvl w:ilvl="2" w:tentative="0">
      <w:start w:val="1"/>
      <w:numFmt w:val="bullet"/>
      <w:lvlText w:val=""/>
      <w:lvlJc w:val="left"/>
      <w:pPr>
        <w:ind w:left="1752" w:hanging="420"/>
      </w:pPr>
      <w:rPr>
        <w:rFonts w:hint="default" w:ascii="Wingdings" w:hAnsi="Wingdings"/>
      </w:rPr>
    </w:lvl>
    <w:lvl w:ilvl="3" w:tentative="0">
      <w:start w:val="1"/>
      <w:numFmt w:val="bullet"/>
      <w:lvlText w:val=""/>
      <w:lvlJc w:val="left"/>
      <w:pPr>
        <w:ind w:left="2172" w:hanging="420"/>
      </w:pPr>
      <w:rPr>
        <w:rFonts w:hint="default" w:ascii="Wingdings" w:hAnsi="Wingdings"/>
      </w:rPr>
    </w:lvl>
    <w:lvl w:ilvl="4" w:tentative="0">
      <w:start w:val="1"/>
      <w:numFmt w:val="bullet"/>
      <w:lvlText w:val=""/>
      <w:lvlJc w:val="left"/>
      <w:pPr>
        <w:ind w:left="2592" w:hanging="420"/>
      </w:pPr>
      <w:rPr>
        <w:rFonts w:hint="default" w:ascii="Wingdings" w:hAnsi="Wingdings"/>
      </w:rPr>
    </w:lvl>
    <w:lvl w:ilvl="5" w:tentative="0">
      <w:start w:val="1"/>
      <w:numFmt w:val="bullet"/>
      <w:lvlText w:val=""/>
      <w:lvlJc w:val="left"/>
      <w:pPr>
        <w:ind w:left="3012" w:hanging="420"/>
      </w:pPr>
      <w:rPr>
        <w:rFonts w:hint="default" w:ascii="Wingdings" w:hAnsi="Wingdings"/>
      </w:rPr>
    </w:lvl>
    <w:lvl w:ilvl="6" w:tentative="0">
      <w:start w:val="1"/>
      <w:numFmt w:val="bullet"/>
      <w:lvlText w:val=""/>
      <w:lvlJc w:val="left"/>
      <w:pPr>
        <w:ind w:left="3432" w:hanging="420"/>
      </w:pPr>
      <w:rPr>
        <w:rFonts w:hint="default" w:ascii="Wingdings" w:hAnsi="Wingdings"/>
      </w:rPr>
    </w:lvl>
    <w:lvl w:ilvl="7" w:tentative="0">
      <w:start w:val="1"/>
      <w:numFmt w:val="bullet"/>
      <w:lvlText w:val=""/>
      <w:lvlJc w:val="left"/>
      <w:pPr>
        <w:ind w:left="3852" w:hanging="420"/>
      </w:pPr>
      <w:rPr>
        <w:rFonts w:hint="default" w:ascii="Wingdings" w:hAnsi="Wingdings"/>
      </w:rPr>
    </w:lvl>
    <w:lvl w:ilvl="8" w:tentative="0">
      <w:start w:val="1"/>
      <w:numFmt w:val="bullet"/>
      <w:lvlText w:val=""/>
      <w:lvlJc w:val="left"/>
      <w:pPr>
        <w:ind w:left="4272"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080"/>
    <w:rsid w:val="000D29CF"/>
    <w:rsid w:val="00153D42"/>
    <w:rsid w:val="00225080"/>
    <w:rsid w:val="00374422"/>
    <w:rsid w:val="00432871"/>
    <w:rsid w:val="00441C9C"/>
    <w:rsid w:val="005D0357"/>
    <w:rsid w:val="006C55F9"/>
    <w:rsid w:val="00AD2A93"/>
    <w:rsid w:val="00B667EA"/>
    <w:rsid w:val="00D50F5F"/>
    <w:rsid w:val="00ED417B"/>
    <w:rsid w:val="00F42E88"/>
    <w:rsid w:val="12D7516B"/>
    <w:rsid w:val="148918CA"/>
    <w:rsid w:val="16AF44BA"/>
    <w:rsid w:val="17EC3347"/>
    <w:rsid w:val="195B09F9"/>
    <w:rsid w:val="1A913B40"/>
    <w:rsid w:val="1C4638DE"/>
    <w:rsid w:val="1CB96EE3"/>
    <w:rsid w:val="1E3247BD"/>
    <w:rsid w:val="1FB83DFF"/>
    <w:rsid w:val="1FBA0BE9"/>
    <w:rsid w:val="29457F90"/>
    <w:rsid w:val="2ACE2C5F"/>
    <w:rsid w:val="2B306671"/>
    <w:rsid w:val="341C1D3C"/>
    <w:rsid w:val="470F29D4"/>
    <w:rsid w:val="48CD13FB"/>
    <w:rsid w:val="4A833206"/>
    <w:rsid w:val="4E1B0B2E"/>
    <w:rsid w:val="52E56AC0"/>
    <w:rsid w:val="53F356D4"/>
    <w:rsid w:val="5AE61ECA"/>
    <w:rsid w:val="5E1B54D1"/>
    <w:rsid w:val="6519721E"/>
    <w:rsid w:val="669E41EB"/>
    <w:rsid w:val="6C3139EB"/>
    <w:rsid w:val="6DFD5DE9"/>
    <w:rsid w:val="6FE06723"/>
    <w:rsid w:val="711853D5"/>
    <w:rsid w:val="747C1419"/>
    <w:rsid w:val="7ABC2DDB"/>
    <w:rsid w:val="7D365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0" w:firstLineChars="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spacing w:before="160" w:after="160" w:line="360" w:lineRule="auto"/>
      <w:contextualSpacing/>
      <w:jc w:val="left"/>
      <w:outlineLvl w:val="0"/>
    </w:pPr>
    <w:rPr>
      <w:rFonts w:ascii="Arial" w:hAnsi="Arial" w:eastAsia="黑体"/>
      <w:bCs/>
      <w:kern w:val="44"/>
      <w:sz w:val="36"/>
      <w:szCs w:val="36"/>
    </w:rPr>
  </w:style>
  <w:style w:type="paragraph" w:styleId="4">
    <w:name w:val="heading 2"/>
    <w:basedOn w:val="1"/>
    <w:next w:val="1"/>
    <w:qFormat/>
    <w:uiPriority w:val="0"/>
    <w:pPr>
      <w:keepNext/>
      <w:keepLines/>
      <w:tabs>
        <w:tab w:val="left" w:pos="927"/>
      </w:tabs>
      <w:spacing w:before="160" w:after="160"/>
      <w:outlineLvl w:val="1"/>
    </w:pPr>
    <w:rPr>
      <w:rFonts w:ascii="Arial" w:hAnsi="Arial" w:eastAsia="黑体"/>
      <w:bCs/>
      <w:sz w:val="30"/>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qFormat/>
    <w:uiPriority w:val="0"/>
    <w:pPr>
      <w:spacing w:after="120"/>
      <w:ind w:left="100" w:leftChars="100" w:firstLine="200" w:firstLineChars="200"/>
    </w:p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tabs>
        <w:tab w:val="left" w:pos="420"/>
        <w:tab w:val="right" w:leader="dot" w:pos="8493"/>
      </w:tabs>
      <w:spacing w:before="120" w:after="120" w:line="360" w:lineRule="auto"/>
      <w:ind w:left="420" w:leftChars="200"/>
    </w:pPr>
    <w:rPr>
      <w:b/>
      <w:bCs/>
      <w:caps/>
      <w:sz w:val="28"/>
      <w:szCs w:val="20"/>
    </w:rPr>
  </w:style>
  <w:style w:type="paragraph" w:styleId="9">
    <w:name w:val="toc 2"/>
    <w:basedOn w:val="1"/>
    <w:next w:val="1"/>
    <w:qFormat/>
    <w:uiPriority w:val="39"/>
    <w:pPr>
      <w:tabs>
        <w:tab w:val="left" w:pos="840"/>
        <w:tab w:val="right" w:leader="dot" w:pos="8493"/>
      </w:tabs>
      <w:ind w:left="960" w:leftChars="400"/>
    </w:pPr>
    <w:rPr>
      <w:rFonts w:ascii="黑体" w:hAnsi="黑体"/>
      <w:smallCaps/>
      <w:kern w:val="0"/>
      <w:szCs w:val="20"/>
    </w:rPr>
  </w:style>
  <w:style w:type="character" w:styleId="12">
    <w:name w:val="Hyperlink"/>
    <w:qFormat/>
    <w:uiPriority w:val="99"/>
    <w:rPr>
      <w:color w:val="0000FF"/>
      <w:u w:val="single"/>
    </w:rPr>
  </w:style>
  <w:style w:type="paragraph" w:customStyle="1" w:styleId="13">
    <w:name w:val="my正文"/>
    <w:basedOn w:val="1"/>
    <w:qFormat/>
    <w:uiPriority w:val="0"/>
    <w:pPr>
      <w:spacing w:line="360" w:lineRule="auto"/>
      <w:ind w:firstLine="480" w:firstLineChars="200"/>
    </w:pPr>
    <w:rPr>
      <w:sz w:val="24"/>
    </w:rPr>
  </w:style>
  <w:style w:type="character" w:customStyle="1" w:styleId="14">
    <w:name w:val="页脚 Char"/>
    <w:basedOn w:val="11"/>
    <w:link w:val="6"/>
    <w:qFormat/>
    <w:uiPriority w:val="99"/>
    <w:rPr>
      <w:rFonts w:ascii="Times New Roman" w:hAnsi="Times New Roman" w:eastAsia="宋体" w:cs="Times New Roman"/>
      <w:sz w:val="18"/>
      <w:szCs w:val="18"/>
    </w:rPr>
  </w:style>
  <w:style w:type="character" w:customStyle="1" w:styleId="15">
    <w:name w:val="批注框文本 Char"/>
    <w:basedOn w:val="11"/>
    <w:link w:val="5"/>
    <w:semiHidden/>
    <w:qFormat/>
    <w:uiPriority w:val="99"/>
    <w:rPr>
      <w:rFonts w:ascii="Times New Roman" w:hAnsi="Times New Roman" w:eastAsia="宋体" w:cs="Times New Roman"/>
      <w:sz w:val="18"/>
      <w:szCs w:val="18"/>
    </w:rPr>
  </w:style>
  <w:style w:type="character" w:customStyle="1" w:styleId="16">
    <w:name w:val="页眉 Char"/>
    <w:basedOn w:val="11"/>
    <w:link w:val="7"/>
    <w:semiHidden/>
    <w:qFormat/>
    <w:uiPriority w:val="99"/>
    <w:rPr>
      <w:rFonts w:ascii="Times New Roman" w:hAnsi="Times New Roman" w:eastAsia="宋体" w:cs="Times New Roman"/>
      <w:sz w:val="18"/>
      <w:szCs w:val="18"/>
    </w:rPr>
  </w:style>
  <w:style w:type="paragraph" w:styleId="17">
    <w:name w:val="No Spacing"/>
    <w:qFormat/>
    <w:uiPriority w:val="1"/>
    <w:rPr>
      <w:rFonts w:asciiTheme="minorHAnsi" w:hAnsiTheme="minorHAnsi" w:eastAsiaTheme="minorEastAsia" w:cstheme="minorBidi"/>
      <w:sz w:val="22"/>
      <w:szCs w:val="22"/>
      <w:lang w:val="en-US" w:eastAsia="zh-CN" w:bidi="ar-SA"/>
    </w:rPr>
  </w:style>
  <w:style w:type="paragraph" w:customStyle="1" w:styleId="18">
    <w:name w:val="TOC Heading"/>
    <w:basedOn w:val="2"/>
    <w:next w:val="1"/>
    <w:unhideWhenUsed/>
    <w:qFormat/>
    <w:uiPriority w:val="39"/>
    <w:pPr>
      <w:widowControl/>
      <w:spacing w:before="240" w:after="0" w:line="259" w:lineRule="auto"/>
      <w:contextualSpacing w:val="0"/>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19">
    <w:name w:val="样式 正文文本 + 左侧:  1 字符 首行缩进:  2 字符"/>
    <w:basedOn w:val="3"/>
    <w:qFormat/>
    <w:uiPriority w:val="0"/>
    <w:pPr>
      <w:spacing w:line="360" w:lineRule="auto"/>
    </w:pPr>
    <w:rPr>
      <w:rFonts w:cs="宋体"/>
      <w:szCs w:val="20"/>
    </w:rPr>
  </w:style>
  <w:style w:type="paragraph" w:customStyle="1" w:styleId="20">
    <w:name w:val="样式 样式 正文文本 + 左侧:  1 字符 首行缩进:  2 字符 + 左侧:  1 字符 首行缩进:  2 字符"/>
    <w:basedOn w:val="19"/>
    <w:qFormat/>
    <w:uiPriority w:val="0"/>
    <w:pPr>
      <w:spacing w:after="0"/>
      <w:ind w:left="0" w:leftChars="0" w:firstLine="48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microsoft.com/office/2007/relationships/diagramDrawing" Target="diagrams/drawing1.xml"/><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 Type="http://schemas.openxmlformats.org/officeDocument/2006/relationships/diagramData" Target="diagrams/data1.xml"/><Relationship Id="rId10" Type="http://schemas.openxmlformats.org/officeDocument/2006/relationships/image" Target="media/image1.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alignAccFollowNode1">
    <dgm:fillClrLst>
      <a:srgbClr val="4472C4">
        <a:tint val="40000"/>
        <a:alpha val="90000"/>
      </a:srgbClr>
      <a:srgbClr val="70AD47">
        <a:tint val="40000"/>
        <a:alpha val="90000"/>
      </a:srgbClr>
    </dgm:fillClrLst>
    <dgm:linClrLst>
      <a:srgbClr val="4472C4">
        <a:tint val="40000"/>
        <a:alpha val="90000"/>
      </a:srgbClr>
      <a:srgbClr val="70AD47">
        <a:tint val="40000"/>
        <a:alpha val="90000"/>
      </a:srgbClr>
    </dgm:linClrLst>
    <dgm:effectClrLst/>
    <dgm:txLinClrLst/>
    <dgm:txFillClrLst meth="repeat">
      <a:sysClr val="windowText" lastClr="000000"/>
    </dgm:txFillClrLst>
    <dgm:txEffectClrLst/>
  </dgm:styleLbl>
  <dgm:styleLbl name="alignImgPlace1">
    <dgm:fillClrLst>
      <a:srgbClr val="4472C4">
        <a:tint val="50000"/>
      </a:srgbClr>
      <a:srgbClr val="70AD47">
        <a:tint val="20000"/>
      </a:srgbClr>
    </dgm:fillClrLst>
    <dgm:linClrLst meth="repeat">
      <a:sysClr val="window" lastClr="FFFFFF"/>
    </dgm:linClrLst>
    <dgm:effectClrLst/>
    <dgm:txLinClrLst/>
    <dgm:txFillClrLst meth="repeat">
      <a:sysClr val="window" lastClr="FFFFFF"/>
    </dgm:txFillClrLst>
    <dgm:txEffectClrLst/>
  </dgm:styleLbl>
  <dgm:styleLbl name="alignNode1">
    <dgm:fillClrLst>
      <a:srgbClr val="4472C4"/>
      <a:srgbClr val="70AD47"/>
    </dgm:fillClrLst>
    <dgm:linClrLst>
      <a:srgbClr val="4472C4"/>
      <a:srgbClr val="70AD47"/>
    </dgm:linClrLst>
    <dgm:effectClrLst/>
    <dgm:txLinClrLst/>
    <dgm:txFillClrLst/>
    <dgm:txEffectClrLst/>
  </dgm:styleLbl>
  <dgm:styleLbl name="asst0">
    <dgm:fillClrLst meth="repeat">
      <a:srgbClr val="4472C4"/>
    </dgm:fillClrLst>
    <dgm:linClrLst meth="repeat">
      <a:sysClr val="window" lastClr="FFFFFF">
        <a:shade val="80000"/>
      </a:sysClr>
    </dgm:linClrLst>
    <dgm:effectClrLst/>
    <dgm:txLinClrLst/>
    <dgm:txFillClrLst/>
    <dgm:txEffectClrLst/>
  </dgm:styleLbl>
  <dgm:styleLbl name="asst1">
    <dgm:fillClrLst meth="repeat">
      <a:srgbClr val="70AD47"/>
    </dgm:fillClrLst>
    <dgm:linClrLst meth="repeat">
      <a:sysClr val="window" lastClr="FFFFFF">
        <a:shade val="80000"/>
      </a:sysClr>
    </dgm:linClrLst>
    <dgm:effectClrLst/>
    <dgm:txLinClrLst/>
    <dgm:txFillClrLst/>
    <dgm:txEffectClrLst/>
  </dgm:styleLbl>
  <dgm:styleLbl name="asst2">
    <dgm:fillClrLst>
      <a:srgbClr val="5B9BD5"/>
    </dgm:fillClrLst>
    <dgm:linClrLst meth="repeat">
      <a:sysClr val="window" lastClr="FFFFFF"/>
    </dgm:linClrLst>
    <dgm:effectClrLst/>
    <dgm:txLinClrLst/>
    <dgm:txFillClrLst/>
    <dgm:txEffectClrLst/>
  </dgm:styleLbl>
  <dgm:styleLbl name="asst3">
    <dgm:fillClrLst>
      <a:srgbClr val="ED7D31"/>
    </dgm:fillClrLst>
    <dgm:linClrLst meth="repeat">
      <a:sysClr val="window" lastClr="FFFFFF"/>
    </dgm:linClrLst>
    <dgm:effectClrLst/>
    <dgm:txLinClrLst/>
    <dgm:txFillClrLst/>
    <dgm:txEffectClrLst/>
  </dgm:styleLbl>
  <dgm:styleLbl name="asst4">
    <dgm:fillClrLst>
      <a:srgbClr val="A5A5A5"/>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bgAccFollowNode1">
    <dgm:fillClrLst>
      <a:srgbClr val="4472C4">
        <a:tint val="40000"/>
        <a:alpha val="90000"/>
      </a:srgbClr>
      <a:srgbClr val="70AD47">
        <a:tint val="40000"/>
        <a:alpha val="90000"/>
      </a:srgbClr>
    </dgm:fillClrLst>
    <dgm:linClrLst>
      <a:srgbClr val="4472C4">
        <a:tint val="40000"/>
        <a:alpha val="90000"/>
      </a:srgbClr>
      <a:srgbClr val="70AD47">
        <a:tint val="40000"/>
        <a:alpha val="90000"/>
      </a:srgbClr>
    </dgm:linClrLst>
    <dgm:effectClrLst/>
    <dgm:txLinClrLst/>
    <dgm:txFillClrLst meth="repeat">
      <a:sysClr val="windowText" lastClr="000000"/>
    </dgm:txFillClrLst>
    <dgm:txEffectClrLst/>
  </dgm:styleLbl>
  <dgm:styleLbl name="bgImgPlace1">
    <dgm:fillClrLst>
      <a:srgbClr val="4472C4">
        <a:tint val="50000"/>
      </a:srgbClr>
      <a:srgbClr val="70AD47">
        <a:tint val="2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4472C4">
        <a:tint val="40000"/>
      </a:srgbClr>
    </dgm:fillClrLst>
    <dgm:linClrLst meth="repeat">
      <a:sysClr val="windowText" lastClr="000000"/>
    </dgm:linClrLst>
    <dgm:effectClrLst/>
    <dgm:txLinClrLst/>
    <dgm:txFillClrLst meth="repeat">
      <a:sysClr val="windowText" lastClr="000000"/>
    </dgm:txFillClrLst>
    <dgm:txEffectClrLst/>
  </dgm:styleLbl>
  <dgm:styleLbl name="bgSibTrans2D1">
    <dgm:fillClrLst>
      <a:srgbClr val="4472C4"/>
      <a:srgbClr val="70AD47"/>
    </dgm:fillClrLst>
    <dgm:linClrLst meth="repeat">
      <a:sysClr val="window" lastClr="FFFFFF"/>
    </dgm:linClrLst>
    <dgm:effectClrLst/>
    <dgm:txLinClrLst/>
    <dgm:txFillClrLst meth="repeat">
      <a:sysClr val="window" lastClr="FFFFFF"/>
    </dgm:txFillClrLst>
    <dgm:txEffectClrLst/>
  </dgm:styleLbl>
  <dgm:styleLbl name="callout">
    <dgm:fillClrLst meth="repeat">
      <a:srgbClr val="4472C4"/>
    </dgm:fillClrLst>
    <dgm:linClrLst meth="repeat">
      <a:srgbClr val="4472C4">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dkBgShp">
    <dgm:fillClrLst meth="repeat">
      <a:srgbClr val="4472C4">
        <a:shade val="90000"/>
      </a:srgbClr>
    </dgm:fillClrLst>
    <dgm:linClrLst meth="repeat">
      <a:sysClr val="windowText" lastClr="000000"/>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a:srgbClr val="FFC000"/>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a:srgbClr val="4472C4"/>
      <a:srgbClr val="70AD47"/>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a:srgbClr val="70AD47"/>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a:srgbClr val="5B9BD5"/>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a:srgbClr val="ED7D31"/>
    </dgm:linClrLst>
    <dgm:effectClrLst/>
    <dgm:txLinClrLst/>
    <dgm:txFillClrLst meth="repeat">
      <a:sysClr val="windowText" lastClr="000000"/>
    </dgm:txFillClrLst>
    <dgm:txEffectClrLst/>
  </dgm:styleLbl>
  <dgm:styleLbl name="fgAccFollowNode1">
    <dgm:fillClrLst>
      <a:srgbClr val="4472C4">
        <a:tint val="40000"/>
        <a:alpha val="90000"/>
      </a:srgbClr>
      <a:srgbClr val="70AD47">
        <a:tint val="40000"/>
        <a:alpha val="90000"/>
      </a:srgbClr>
    </dgm:fillClrLst>
    <dgm:linClrLst>
      <a:srgbClr val="4472C4">
        <a:tint val="40000"/>
        <a:alpha val="90000"/>
      </a:srgbClr>
      <a:srgbClr val="4472C4">
        <a:tint val="40000"/>
        <a:alpha val="90000"/>
      </a:srgbClr>
    </dgm:linClrLst>
    <dgm:effectClrLst/>
    <dgm:txLinClrLst/>
    <dgm:txFillClrLst meth="repeat">
      <a:sysClr val="windowText" lastClr="000000"/>
    </dgm:txFillClrLst>
    <dgm:txEffectClrLst/>
  </dgm:styleLbl>
  <dgm:styleLbl name="fgImgPlace1">
    <dgm:fillClrLst>
      <a:srgbClr val="4472C4">
        <a:tint val="50000"/>
      </a:srgbClr>
      <a:srgbClr val="70AD47">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4472C4">
        <a:tint val="4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a:srgbClr val="4472C4"/>
      <a:srgbClr val="70AD47"/>
    </dgm:fillClrLst>
    <dgm:linClrLst meth="repeat">
      <a:sysClr val="window" lastClr="FFFFFF"/>
    </dgm:linClrLst>
    <dgm:effectClrLst/>
    <dgm:txLinClrLst/>
    <dgm:txFillClrLst meth="repeat">
      <a:sysClr val="window" lastClr="FFFFFF"/>
    </dgm:txFillClrLst>
    <dgm:txEffectClrLst/>
  </dgm:styleLbl>
  <dgm:styleLbl name="lnNode1">
    <dgm:fillClrLst>
      <a:srgbClr val="4472C4"/>
      <a:srgbClr val="70AD47"/>
    </dgm:fillClrLst>
    <dgm:linClrLst meth="repeat">
      <a:sysClr val="window" lastClr="FFFFFF"/>
    </dgm:linClrLst>
    <dgm:effectClrLst/>
    <dgm:txLinClrLst/>
    <dgm:txFillClrLst/>
    <dgm:txEffectClrLst/>
  </dgm:styleLbl>
  <dgm:styleLbl name="node0">
    <dgm:fillClrLst meth="repeat">
      <a:srgbClr val="FFC000"/>
    </dgm:fillClrLst>
    <dgm:linClrLst meth="repeat">
      <a:sysClr val="window" lastClr="FFFFFF"/>
    </dgm:linClrLst>
    <dgm:effectClrLst/>
    <dgm:txLinClrLst/>
    <dgm:txFillClrLst/>
    <dgm:txEffectClrLst/>
  </dgm:styleLbl>
  <dgm:styleLbl name="node1">
    <dgm:fillClrLst>
      <a:srgbClr val="4472C4"/>
      <a:srgbClr val="70AD47"/>
    </dgm:fillClrLst>
    <dgm:linClrLst meth="repeat">
      <a:sysClr val="window" lastClr="FFFFFF"/>
    </dgm:linClrLst>
    <dgm:effectClrLst/>
    <dgm:txLinClrLst/>
    <dgm:txFillClrLst/>
    <dgm:txEffectClrLst/>
  </dgm:styleLbl>
  <dgm:styleLbl name="node2">
    <dgm:fillClrLst>
      <a:srgbClr val="70AD47"/>
    </dgm:fillClrLst>
    <dgm:linClrLst meth="repeat">
      <a:sysClr val="window" lastClr="FFFFFF"/>
    </dgm:linClrLst>
    <dgm:effectClrLst/>
    <dgm:txLinClrLst/>
    <dgm:txFillClrLst/>
    <dgm:txEffectClrLst/>
  </dgm:styleLbl>
  <dgm:styleLbl name="node3">
    <dgm:fillClrLst>
      <a:srgbClr val="5B9BD5"/>
    </dgm:fillClrLst>
    <dgm:linClrLst meth="repeat">
      <a:sysClr val="window" lastClr="FFFFFF"/>
    </dgm:linClrLst>
    <dgm:effectClrLst/>
    <dgm:txLinClrLst/>
    <dgm:txFillClrLst/>
    <dgm:txEffectClrLst/>
  </dgm:styleLbl>
  <dgm:styleLbl name="node4">
    <dgm:fillClrLst>
      <a:srgbClr val="ED7D31"/>
    </dgm:fillClrLst>
    <dgm:linClrLst meth="repeat">
      <a:sysClr val="window" lastClr="FFFFFF"/>
    </dgm:linClrLst>
    <dgm:effectClrLst/>
    <dgm:txLinClrLst/>
    <dgm:txFillClrLst/>
    <dgm:txEffectClrLst/>
  </dgm:styleLbl>
  <dgm:styleLbl name="parChTrans1D1">
    <dgm:fillClrLst meth="repeat">
      <a:srgbClr val="4472C4"/>
    </dgm:fillClrLst>
    <dgm:linClrLst meth="repeat">
      <a:srgbClr val="4472C4"/>
    </dgm:linClrLst>
    <dgm:effectClrLst/>
    <dgm:txLinClrLst/>
    <dgm:txFillClrLst meth="repeat">
      <a:sysClr val="windowText" lastClr="000000"/>
    </dgm:txFillClrLst>
    <dgm:txEffectClrLst/>
  </dgm:styleLbl>
  <dgm:styleLbl name="parChTrans1D2">
    <dgm:fillClrLst meth="repeat">
      <a:srgbClr val="70AD47">
        <a:tint val="90000"/>
      </a:srgbClr>
    </dgm:fillClrLst>
    <dgm:linClrLst meth="repeat">
      <a:srgbClr val="70AD47"/>
    </dgm:linClrLst>
    <dgm:effectClrLst/>
    <dgm:txLinClrLst/>
    <dgm:txFillClrLst meth="repeat">
      <a:sysClr val="windowText" lastClr="000000"/>
    </dgm:txFillClrLst>
    <dgm:txEffectClrLst/>
  </dgm:styleLbl>
  <dgm:styleLbl name="parChTrans1D3">
    <dgm:fillClrLst meth="repeat">
      <a:srgbClr val="70AD47">
        <a:tint val="70000"/>
      </a:srgbClr>
    </dgm:fillClrLst>
    <dgm:linClrLst meth="repeat">
      <a:srgbClr val="5B9BD5"/>
    </dgm:linClrLst>
    <dgm:effectClrLst/>
    <dgm:txLinClrLst/>
    <dgm:txFillClrLst meth="repeat">
      <a:sysClr val="windowText" lastClr="000000"/>
    </dgm:txFillClrLst>
    <dgm:txEffectClrLst/>
  </dgm:styleLbl>
  <dgm:styleLbl name="parChTrans1D4">
    <dgm:fillClrLst meth="repeat">
      <a:srgbClr val="70AD47">
        <a:tint val="50000"/>
      </a:srgbClr>
    </dgm:fillClrLst>
    <dgm:linClrLst meth="repeat">
      <a:srgbClr val="ED7D31"/>
    </dgm:linClrLst>
    <dgm:effectClrLst/>
    <dgm:txLinClrLst/>
    <dgm:txFillClrLst meth="repeat">
      <a:sysClr val="windowText" lastClr="000000"/>
    </dgm:txFillClrLst>
    <dgm:txEffectClrLst/>
  </dgm:styleLbl>
  <dgm:styleLbl name="parChTrans2D1">
    <dgm:fillClrLst meth="repeat">
      <a:srgbClr val="4472C4"/>
    </dgm:fillClrLst>
    <dgm:linClrLst meth="repeat">
      <a:sysClr val="window" lastClr="FFFFFF"/>
    </dgm:linClrLst>
    <dgm:effectClrLst/>
    <dgm:txLinClrLst/>
    <dgm:txFillClrLst meth="repeat">
      <a:sysClr val="window" lastClr="FFFFFF"/>
    </dgm:txFillClrLst>
    <dgm:txEffectClrLst/>
  </dgm:styleLbl>
  <dgm:styleLbl name="parChTrans2D2">
    <dgm:fillClrLst meth="repeat">
      <a:srgbClr val="70AD47"/>
    </dgm:fillClrLst>
    <dgm:linClrLst meth="repeat">
      <a:sysClr val="window" lastClr="FFFFFF"/>
    </dgm:linClrLst>
    <dgm:effectClrLst/>
    <dgm:txLinClrLst/>
    <dgm:txFillClrLst/>
    <dgm:txEffectClrLst/>
  </dgm:styleLbl>
  <dgm:styleLbl name="parChTrans2D3">
    <dgm:fillClrLst meth="repeat">
      <a:srgbClr val="70AD47"/>
    </dgm:fillClrLst>
    <dgm:linClrLst meth="repeat">
      <a:sysClr val="window" lastClr="FFFFFF"/>
    </dgm:linClrLst>
    <dgm:effectClrLst/>
    <dgm:txLinClrLst/>
    <dgm:txFillClrLst/>
    <dgm:txEffectClrLst/>
  </dgm:styleLbl>
  <dgm:styleLbl name="parChTrans2D4">
    <dgm:fillClrLst meth="repeat">
      <a:srgbClr val="5B9BD5"/>
    </dgm:fillClrLst>
    <dgm:linClrLst meth="repeat">
      <a:sysClr val="window" lastClr="FFFFFF"/>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dgm:linClrLst>
      <a:srgbClr val="4472C4"/>
      <a:srgbClr val="70AD47"/>
    </dgm:linClrLst>
    <dgm:effectClrLst/>
    <dgm:txLinClrLst/>
    <dgm:txFillClrLst meth="repeat">
      <a:sysClr val="windowText" lastClr="000000"/>
    </dgm:txFillClrLst>
    <dgm:txEffectClrLst/>
  </dgm:styleLbl>
  <dgm:styleLbl name="sibTrans2D1">
    <dgm:fillClrLst>
      <a:srgbClr val="4472C4"/>
      <a:srgbClr val="70AD47"/>
    </dgm:fillClrLst>
    <dgm:linClrLst meth="repeat">
      <a:sysClr val="window" lastClr="FFFFFF"/>
    </dgm:linClrLst>
    <dgm:effectClrLst/>
    <dgm:txLinClrLst/>
    <dgm:txFillClrLst/>
    <dgm:txEffectClrLst/>
  </dgm:styleLbl>
  <dgm:styleLbl name="solidAlign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solidBg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solidFgAcc1">
    <dgm:fillClrLst meth="repeat">
      <a:sysClr val="window" lastClr="FFFFFF"/>
    </dgm:fillClrLst>
    <dgm:linClrLst>
      <a:srgbClr val="4472C4"/>
      <a:srgbClr val="70AD47"/>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4472C4"/>
    </dgm:linClrLst>
    <dgm:effectClrLst/>
    <dgm:txLinClrLst/>
    <dgm:txFillClrLst meth="repeat">
      <a:sysClr val="windowText" lastClr="000000"/>
    </dgm:txFillClrLst>
    <dgm:txEffectClrLst/>
  </dgm:styleLbl>
  <dgm:styleLbl name="trBgShp">
    <dgm:fillClrLst meth="repeat">
      <a:srgbClr val="4472C4">
        <a:tint val="50000"/>
        <a:alpha val="40000"/>
      </a:srgbClr>
    </dgm:fillClrLst>
    <dgm:linClrLst meth="repeat">
      <a:srgbClr val="4472C4"/>
    </dgm:linClrLst>
    <dgm:effectClrLst/>
    <dgm:txLinClrLst/>
    <dgm:txFillClrLst meth="repeat">
      <a:sysClr val="window" lastClr="FFFFFF"/>
    </dgm:txFillClrLst>
    <dgm:txEffectClrLst/>
  </dgm:styleLbl>
  <dgm:styleLbl name="vennNode1">
    <dgm:fillClrLst>
      <a:srgbClr val="4472C4">
        <a:alpha val="50000"/>
      </a:srgbClr>
      <a:srgbClr val="70AD47">
        <a:alpha val="50000"/>
      </a:srgbClr>
    </dgm:fillClrLst>
    <dgm:linClrLst meth="repeat">
      <a:sysClr val="window" lastClr="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69CC0DF-1E35-409A-9D07-35650C06A5CB}" type="doc">
      <dgm:prSet loTypeId="urn:microsoft.com/office/officeart/2009/layout/CircleArrowProcess" loCatId="process" qsTypeId="urn:microsoft.com/office/officeart/2005/8/quickstyle/simple4" qsCatId="simple" csTypeId="urn:microsoft.com/office/officeart/2005/8/colors/colorful5" csCatId="colorful" phldr="1"/>
      <dgm:spPr/>
      <dgm:t>
        <a:bodyPr/>
        <a:p>
          <a:endParaRPr lang="zh-CN" altLang="en-US"/>
        </a:p>
      </dgm:t>
    </dgm:pt>
    <dgm:pt modelId="{6709102C-F962-4F83-A95D-03A0F3E6C748}">
      <dgm:prSet phldrT="[文本]" custT="1"/>
      <dgm:spPr/>
      <dgm:t>
        <a:bodyPr/>
        <a:p>
          <a:r>
            <a:rPr lang="zh-CN" altLang="en-US" sz="1200" b="1">
              <a:latin typeface="微软雅黑 Light" panose="020B0502040204020203" pitchFamily="2" charset="-122"/>
              <a:ea typeface="微软雅黑 Light" panose="020B0502040204020203" pitchFamily="2" charset="-122"/>
            </a:rPr>
            <a:t>考核准备</a:t>
          </a:r>
          <a:endParaRPr lang="zh-CN" altLang="en-US" sz="1600" b="1">
            <a:latin typeface="微软雅黑 Light" panose="020B0502040204020203" pitchFamily="2" charset="-122"/>
            <a:ea typeface="微软雅黑 Light" panose="020B0502040204020203" pitchFamily="2" charset="-122"/>
          </a:endParaRPr>
        </a:p>
      </dgm:t>
    </dgm:pt>
    <dgm:pt modelId="{E8D43654-8D2E-4E6C-AD40-24C03808F4AD}" cxnId="{8FA60C30-F752-4A29-A76E-6C77BEA37008}" type="parTrans">
      <dgm:prSet/>
      <dgm:spPr/>
      <dgm:t>
        <a:bodyPr/>
        <a:p>
          <a:endParaRPr lang="zh-CN" altLang="en-US"/>
        </a:p>
      </dgm:t>
    </dgm:pt>
    <dgm:pt modelId="{DBA20D9E-A5BD-4E4E-987A-C81AA9A1E306}" cxnId="{8FA60C30-F752-4A29-A76E-6C77BEA37008}" type="sibTrans">
      <dgm:prSet/>
      <dgm:spPr/>
      <dgm:t>
        <a:bodyPr/>
        <a:p>
          <a:endParaRPr lang="zh-CN" altLang="en-US"/>
        </a:p>
      </dgm:t>
    </dgm:pt>
    <dgm:pt modelId="{28B4F36C-18EF-4CD1-B1AD-1664B269B633}">
      <dgm:prSet phldrT="[文本]" custT="1"/>
      <dgm:spPr/>
      <dgm:t>
        <a:bodyPr/>
        <a:p>
          <a:r>
            <a:rPr lang="zh-CN" altLang="en-US" sz="1100">
              <a:latin typeface="微软雅黑 Light" panose="020B0502040204020203" pitchFamily="2" charset="-122"/>
              <a:ea typeface="微软雅黑 Light" panose="020B0502040204020203" pitchFamily="2" charset="-122"/>
            </a:rPr>
            <a:t>基础信息确认</a:t>
          </a:r>
        </a:p>
      </dgm:t>
    </dgm:pt>
    <dgm:pt modelId="{874A3927-7F46-4E3E-ADE1-BFE3046E93E4}" cxnId="{EF8B00F7-0F07-4C8F-BCA4-62DF0CDA9690}" type="parTrans">
      <dgm:prSet/>
      <dgm:spPr/>
      <dgm:t>
        <a:bodyPr/>
        <a:p>
          <a:endParaRPr lang="zh-CN" altLang="en-US"/>
        </a:p>
      </dgm:t>
    </dgm:pt>
    <dgm:pt modelId="{B2E442C6-1678-4734-A32A-22F57EE6B9A1}" cxnId="{EF8B00F7-0F07-4C8F-BCA4-62DF0CDA9690}" type="sibTrans">
      <dgm:prSet/>
      <dgm:spPr/>
      <dgm:t>
        <a:bodyPr/>
        <a:p>
          <a:endParaRPr lang="zh-CN" altLang="en-US"/>
        </a:p>
      </dgm:t>
    </dgm:pt>
    <dgm:pt modelId="{23C6C3FB-D0FE-4453-B7A9-14AE83DEE130}">
      <dgm:prSet phldrT="[文本]" custT="1"/>
      <dgm:spPr/>
      <dgm:t>
        <a:bodyPr/>
        <a:p>
          <a:r>
            <a:rPr lang="zh-CN" altLang="en-US" sz="1100">
              <a:latin typeface="微软雅黑 Light" panose="020B0502040204020203" pitchFamily="2" charset="-122"/>
              <a:ea typeface="微软雅黑 Light" panose="020B0502040204020203" pitchFamily="2" charset="-122"/>
            </a:rPr>
            <a:t>考核机构申请</a:t>
          </a:r>
        </a:p>
      </dgm:t>
    </dgm:pt>
    <dgm:pt modelId="{FFE52DE1-BED7-49D4-B105-09888E71219A}" cxnId="{78E6DEDA-018D-4BE9-BE6C-5E0D65A1F7A0}" type="parTrans">
      <dgm:prSet/>
      <dgm:spPr/>
      <dgm:t>
        <a:bodyPr/>
        <a:p>
          <a:endParaRPr lang="zh-CN" altLang="en-US"/>
        </a:p>
      </dgm:t>
    </dgm:pt>
    <dgm:pt modelId="{B8AC3F80-93B2-412F-B218-6D3C90583B89}" cxnId="{78E6DEDA-018D-4BE9-BE6C-5E0D65A1F7A0}" type="sibTrans">
      <dgm:prSet/>
      <dgm:spPr/>
      <dgm:t>
        <a:bodyPr/>
        <a:p>
          <a:endParaRPr lang="zh-CN" altLang="en-US"/>
        </a:p>
      </dgm:t>
    </dgm:pt>
    <dgm:pt modelId="{CE13D14C-0CCF-4185-AD39-4AB029E351EB}">
      <dgm:prSet phldrT="[文本]" custT="1"/>
      <dgm:spPr/>
      <dgm:t>
        <a:bodyPr/>
        <a:p>
          <a:r>
            <a:rPr lang="zh-CN" altLang="en-US" sz="1100">
              <a:latin typeface="微软雅黑 Light" panose="020B0502040204020203" pitchFamily="2" charset="-122"/>
              <a:ea typeface="微软雅黑 Light" panose="020B0502040204020203" pitchFamily="2" charset="-122"/>
            </a:rPr>
            <a:t>医师报名</a:t>
          </a:r>
        </a:p>
      </dgm:t>
    </dgm:pt>
    <dgm:pt modelId="{06D0F98F-515D-4567-9B73-BBAE5A77FEC6}" cxnId="{9D9E11E3-8FBC-4FA0-8A7C-97EAF6B648AE}" type="parTrans">
      <dgm:prSet/>
      <dgm:spPr/>
      <dgm:t>
        <a:bodyPr/>
        <a:p>
          <a:endParaRPr lang="zh-CN" altLang="en-US"/>
        </a:p>
      </dgm:t>
    </dgm:pt>
    <dgm:pt modelId="{A23CFAAD-0EB9-4093-8572-BFEDFD542363}" cxnId="{9D9E11E3-8FBC-4FA0-8A7C-97EAF6B648AE}" type="sibTrans">
      <dgm:prSet/>
      <dgm:spPr/>
      <dgm:t>
        <a:bodyPr/>
        <a:p>
          <a:endParaRPr lang="zh-CN" altLang="en-US"/>
        </a:p>
      </dgm:t>
    </dgm:pt>
    <dgm:pt modelId="{038AA7F5-F408-486C-8527-0EB911F08310}">
      <dgm:prSet phldrT="[文本]" custT="1"/>
      <dgm:spPr/>
      <dgm:t>
        <a:bodyPr/>
        <a:p>
          <a:r>
            <a:rPr lang="zh-CN" altLang="en-US" sz="1200" b="1">
              <a:latin typeface="微软雅黑 Light" panose="020B0502040204020203" pitchFamily="2" charset="-122"/>
              <a:ea typeface="微软雅黑 Light" panose="020B0502040204020203" pitchFamily="2" charset="-122"/>
            </a:rPr>
            <a:t>机构评价（执业道德、工作业绩）</a:t>
          </a:r>
        </a:p>
      </dgm:t>
    </dgm:pt>
    <dgm:pt modelId="{1A4FB134-77D8-4415-A3AF-508A6360A9CB}" cxnId="{2A84D9F6-CC4C-4A94-AB13-3A8EFCAD4E54}" type="parTrans">
      <dgm:prSet/>
      <dgm:spPr/>
      <dgm:t>
        <a:bodyPr/>
        <a:p>
          <a:endParaRPr lang="zh-CN" altLang="en-US"/>
        </a:p>
      </dgm:t>
    </dgm:pt>
    <dgm:pt modelId="{E23CFB62-1FC3-42D4-A4D1-DC61FD978ADF}" cxnId="{2A84D9F6-CC4C-4A94-AB13-3A8EFCAD4E54}" type="sibTrans">
      <dgm:prSet/>
      <dgm:spPr/>
      <dgm:t>
        <a:bodyPr/>
        <a:p>
          <a:endParaRPr lang="zh-CN" altLang="en-US"/>
        </a:p>
      </dgm:t>
    </dgm:pt>
    <dgm:pt modelId="{DA101525-2F13-4EE8-965F-002160DF19D3}">
      <dgm:prSet phldrT="[文本]" custT="1"/>
      <dgm:spPr/>
      <dgm:t>
        <a:bodyPr/>
        <a:p>
          <a:r>
            <a:rPr lang="zh-CN" altLang="en-US" sz="1100">
              <a:latin typeface="微软雅黑 Light" panose="020B0502040204020203" pitchFamily="2" charset="-122"/>
              <a:ea typeface="微软雅黑 Light" panose="020B0502040204020203" pitchFamily="2" charset="-122"/>
            </a:rPr>
            <a:t>所在机构评价</a:t>
          </a:r>
        </a:p>
      </dgm:t>
    </dgm:pt>
    <dgm:pt modelId="{6BB4DD67-BFD8-4CAE-A35D-6F82B2B3CAE7}" cxnId="{9E538EA1-22C8-40BA-AE64-697046322D2A}" type="parTrans">
      <dgm:prSet/>
      <dgm:spPr/>
      <dgm:t>
        <a:bodyPr/>
        <a:p>
          <a:endParaRPr lang="zh-CN" altLang="en-US"/>
        </a:p>
      </dgm:t>
    </dgm:pt>
    <dgm:pt modelId="{DB53D7B1-48DC-4D6E-BB1F-34C2F4F95ABB}" cxnId="{9E538EA1-22C8-40BA-AE64-697046322D2A}" type="sibTrans">
      <dgm:prSet/>
      <dgm:spPr/>
      <dgm:t>
        <a:bodyPr/>
        <a:p>
          <a:endParaRPr lang="zh-CN" altLang="en-US"/>
        </a:p>
      </dgm:t>
    </dgm:pt>
    <dgm:pt modelId="{C68134C5-7BF7-4685-A1B7-7FF14A87E5D2}">
      <dgm:prSet phldrT="[文本]" custT="1"/>
      <dgm:spPr/>
      <dgm:t>
        <a:bodyPr/>
        <a:p>
          <a:r>
            <a:rPr lang="zh-CN" altLang="en-US" sz="1200" b="1">
              <a:latin typeface="微软雅黑 Light" panose="020B0502040204020203" pitchFamily="2" charset="-122"/>
              <a:ea typeface="微软雅黑 Light" panose="020B0502040204020203" pitchFamily="2" charset="-122"/>
            </a:rPr>
            <a:t>业务水平测评</a:t>
          </a:r>
        </a:p>
      </dgm:t>
    </dgm:pt>
    <dgm:pt modelId="{85B78886-78AD-400B-905A-4C522E26E3D4}" cxnId="{67AD6075-CE3C-4534-997D-8C445B0CED82}" type="parTrans">
      <dgm:prSet/>
      <dgm:spPr/>
      <dgm:t>
        <a:bodyPr/>
        <a:p>
          <a:endParaRPr lang="zh-CN" altLang="en-US"/>
        </a:p>
      </dgm:t>
    </dgm:pt>
    <dgm:pt modelId="{2A1064EC-D391-4933-A17B-ED68EDAF8A57}" cxnId="{67AD6075-CE3C-4534-997D-8C445B0CED82}" type="sibTrans">
      <dgm:prSet/>
      <dgm:spPr/>
      <dgm:t>
        <a:bodyPr/>
        <a:p>
          <a:endParaRPr lang="zh-CN" altLang="en-US"/>
        </a:p>
      </dgm:t>
    </dgm:pt>
    <dgm:pt modelId="{73E9BCAB-EB1E-40BB-A43D-064ABD8D0500}">
      <dgm:prSet phldrT="[文本]" custT="1"/>
      <dgm:spPr/>
      <dgm:t>
        <a:bodyPr/>
        <a:p>
          <a:r>
            <a:rPr lang="zh-CN" altLang="en-US" sz="1200" b="1">
              <a:latin typeface="微软雅黑 Light" panose="020B0502040204020203" pitchFamily="2" charset="-122"/>
              <a:ea typeface="微软雅黑 Light" panose="020B0502040204020203" pitchFamily="2" charset="-122"/>
            </a:rPr>
            <a:t>考核结果汇总</a:t>
          </a:r>
        </a:p>
      </dgm:t>
    </dgm:pt>
    <dgm:pt modelId="{D3F76854-8EBE-4398-98EA-B336C50EE1FE}" cxnId="{E3B6C466-F68A-4BA0-921D-415FA02BC7CA}" type="parTrans">
      <dgm:prSet/>
      <dgm:spPr/>
      <dgm:t>
        <a:bodyPr/>
        <a:p>
          <a:endParaRPr lang="zh-CN" altLang="en-US"/>
        </a:p>
      </dgm:t>
    </dgm:pt>
    <dgm:pt modelId="{023B2BD2-2A81-46C5-82D1-45648E66BC7D}" cxnId="{E3B6C466-F68A-4BA0-921D-415FA02BC7CA}" type="sibTrans">
      <dgm:prSet/>
      <dgm:spPr/>
      <dgm:t>
        <a:bodyPr/>
        <a:p>
          <a:endParaRPr lang="zh-CN" altLang="en-US"/>
        </a:p>
      </dgm:t>
    </dgm:pt>
    <dgm:pt modelId="{88A69A05-FEE3-4278-ACC1-72C81D3E6675}">
      <dgm:prSet phldrT="[文本]" custT="1"/>
      <dgm:spPr/>
      <dgm:t>
        <a:bodyPr/>
        <a:p>
          <a:r>
            <a:rPr lang="zh-CN" altLang="en-US" sz="1200" b="1">
              <a:latin typeface="微软雅黑 Light" panose="020B0502040204020203" pitchFamily="2" charset="-122"/>
              <a:ea typeface="微软雅黑 Light" panose="020B0502040204020203" pitchFamily="2" charset="-122"/>
            </a:rPr>
            <a:t>考核报名</a:t>
          </a:r>
        </a:p>
      </dgm:t>
    </dgm:pt>
    <dgm:pt modelId="{AB862497-9BA8-4C5B-8730-59662A7C0491}" cxnId="{B0CD07F1-360E-4E30-95EE-FAB51CE017A3}" type="sibTrans">
      <dgm:prSet/>
      <dgm:spPr/>
      <dgm:t>
        <a:bodyPr/>
        <a:p>
          <a:endParaRPr lang="zh-CN" altLang="en-US"/>
        </a:p>
      </dgm:t>
    </dgm:pt>
    <dgm:pt modelId="{3B37751E-8903-45AB-92F5-497E3A61BC0C}" cxnId="{B0CD07F1-360E-4E30-95EE-FAB51CE017A3}" type="parTrans">
      <dgm:prSet/>
      <dgm:spPr/>
      <dgm:t>
        <a:bodyPr/>
        <a:p>
          <a:endParaRPr lang="zh-CN" altLang="en-US"/>
        </a:p>
      </dgm:t>
    </dgm:pt>
    <dgm:pt modelId="{31B889EB-5C06-4C0A-A17F-A0C37F8F6E2D}">
      <dgm:prSet phldrT="[文本]" custT="1"/>
      <dgm:spPr/>
      <dgm:t>
        <a:bodyPr/>
        <a:p>
          <a:r>
            <a:rPr lang="zh-CN" altLang="en-US" sz="1100">
              <a:latin typeface="微软雅黑 Light" panose="020B0502040204020203" pitchFamily="2" charset="-122"/>
              <a:ea typeface="微软雅黑 Light" panose="020B0502040204020203" pitchFamily="2" charset="-122"/>
            </a:rPr>
            <a:t>多点机构评价</a:t>
          </a:r>
        </a:p>
      </dgm:t>
    </dgm:pt>
    <dgm:pt modelId="{35B3270E-787B-4F68-AE84-F3FB4495F069}" cxnId="{A21FC094-8FC5-49C8-A4FE-2183BABE6CDF}" type="parTrans">
      <dgm:prSet/>
      <dgm:spPr/>
      <dgm:t>
        <a:bodyPr/>
        <a:p>
          <a:endParaRPr lang="zh-CN" altLang="en-US"/>
        </a:p>
      </dgm:t>
    </dgm:pt>
    <dgm:pt modelId="{8C33D55F-772B-41A7-ACD2-0BF3BADB3ADE}" cxnId="{A21FC094-8FC5-49C8-A4FE-2183BABE6CDF}" type="sibTrans">
      <dgm:prSet/>
      <dgm:spPr/>
      <dgm:t>
        <a:bodyPr/>
        <a:p>
          <a:endParaRPr lang="zh-CN" altLang="en-US"/>
        </a:p>
      </dgm:t>
    </dgm:pt>
    <dgm:pt modelId="{68FC0FFE-DFCB-448A-A795-E5EFCCE08ED6}">
      <dgm:prSet phldrT="[文本]" custT="1"/>
      <dgm:spPr/>
      <dgm:t>
        <a:bodyPr/>
        <a:p>
          <a:r>
            <a:rPr lang="zh-CN" altLang="en-US" sz="1100" b="0">
              <a:latin typeface="微软雅黑 Light" panose="020B0502040204020203" pitchFamily="2" charset="-122"/>
              <a:ea typeface="微软雅黑 Light" panose="020B0502040204020203" pitchFamily="2" charset="-122"/>
            </a:rPr>
            <a:t>参考进度跟踪</a:t>
          </a:r>
        </a:p>
      </dgm:t>
    </dgm:pt>
    <dgm:pt modelId="{212B5EF3-08C6-4499-B29A-D2BFB852AF25}" cxnId="{B8CE3DDA-95DC-42F8-9C8D-DA33BDD2500C}" type="parTrans">
      <dgm:prSet/>
      <dgm:spPr/>
      <dgm:t>
        <a:bodyPr/>
        <a:p>
          <a:endParaRPr lang="zh-CN" altLang="en-US"/>
        </a:p>
      </dgm:t>
    </dgm:pt>
    <dgm:pt modelId="{85EAC964-4FA0-4974-9099-EE3211A5C31E}" cxnId="{B8CE3DDA-95DC-42F8-9C8D-DA33BDD2500C}" type="sibTrans">
      <dgm:prSet/>
      <dgm:spPr/>
      <dgm:t>
        <a:bodyPr/>
        <a:p>
          <a:endParaRPr lang="zh-CN" altLang="en-US"/>
        </a:p>
      </dgm:t>
    </dgm:pt>
    <dgm:pt modelId="{CF1DD49B-5387-4608-8129-ABEDB73D99AF}">
      <dgm:prSet phldrT="[文本]" custT="1"/>
      <dgm:spPr/>
      <dgm:t>
        <a:bodyPr/>
        <a:p>
          <a:r>
            <a:rPr lang="zh-CN" altLang="en-US" sz="1100" b="0">
              <a:latin typeface="微软雅黑 Light" panose="020B0502040204020203" pitchFamily="2" charset="-122"/>
              <a:ea typeface="微软雅黑 Light" panose="020B0502040204020203" pitchFamily="2" charset="-122"/>
            </a:rPr>
            <a:t>考核结果汇总</a:t>
          </a:r>
        </a:p>
      </dgm:t>
    </dgm:pt>
    <dgm:pt modelId="{20A68CBA-37DA-42D8-9D33-C8D17FDEA266}" cxnId="{39AE5DAD-BA37-4834-9E0C-C865ADD8B48B}" type="parTrans">
      <dgm:prSet/>
      <dgm:spPr/>
      <dgm:t>
        <a:bodyPr/>
        <a:p>
          <a:endParaRPr lang="zh-CN" altLang="en-US"/>
        </a:p>
      </dgm:t>
    </dgm:pt>
    <dgm:pt modelId="{658A71C0-2D5D-47DA-9939-E2169FDC2544}" cxnId="{39AE5DAD-BA37-4834-9E0C-C865ADD8B48B}" type="sibTrans">
      <dgm:prSet/>
      <dgm:spPr/>
      <dgm:t>
        <a:bodyPr/>
        <a:p>
          <a:endParaRPr lang="zh-CN" altLang="en-US"/>
        </a:p>
      </dgm:t>
    </dgm:pt>
    <dgm:pt modelId="{7670D1FC-A3D8-4440-BBA0-F748482447DA}">
      <dgm:prSet phldrT="[文本]" custT="1"/>
      <dgm:spPr/>
      <dgm:t>
        <a:bodyPr/>
        <a:p>
          <a:r>
            <a:rPr lang="zh-CN" altLang="en-US" sz="1100" b="0">
              <a:latin typeface="微软雅黑 Light" panose="020B0502040204020203" pitchFamily="2" charset="-122"/>
              <a:ea typeface="微软雅黑 Light" panose="020B0502040204020203" pitchFamily="2" charset="-122"/>
            </a:rPr>
            <a:t>违规违法情况处理</a:t>
          </a:r>
        </a:p>
      </dgm:t>
    </dgm:pt>
    <dgm:pt modelId="{B06AE87A-925E-40BA-99D5-56896D894FD3}" cxnId="{EA80704A-71AD-45E0-BC49-9D2917AB1506}" type="parTrans">
      <dgm:prSet/>
      <dgm:spPr/>
      <dgm:t>
        <a:bodyPr/>
        <a:p>
          <a:endParaRPr lang="zh-CN" altLang="en-US"/>
        </a:p>
      </dgm:t>
    </dgm:pt>
    <dgm:pt modelId="{F2DEA297-E6E4-4ED7-BD53-1AACE4F63FD9}" cxnId="{EA80704A-71AD-45E0-BC49-9D2917AB1506}" type="sibTrans">
      <dgm:prSet/>
      <dgm:spPr/>
      <dgm:t>
        <a:bodyPr/>
        <a:p>
          <a:endParaRPr lang="zh-CN" altLang="en-US"/>
        </a:p>
      </dgm:t>
    </dgm:pt>
    <dgm:pt modelId="{C4C90FEF-572A-4FBB-BCAE-C556E234B88A}">
      <dgm:prSet phldrT="[文本]" custT="1"/>
      <dgm:spPr/>
      <dgm:t>
        <a:bodyPr/>
        <a:p>
          <a:r>
            <a:rPr lang="zh-CN" altLang="en-US" sz="1100">
              <a:latin typeface="微软雅黑 Light" panose="020B0502040204020203" pitchFamily="2" charset="-122"/>
              <a:ea typeface="微软雅黑 Light" panose="020B0502040204020203" pitchFamily="2" charset="-122"/>
            </a:rPr>
            <a:t>报名跟踪</a:t>
          </a:r>
        </a:p>
      </dgm:t>
    </dgm:pt>
    <dgm:pt modelId="{C2D01D02-39BA-491B-B405-8B80D7DE3AD2}" cxnId="{5741D56D-3E63-4148-9930-C06DBD96DF9C}" type="sibTrans">
      <dgm:prSet/>
      <dgm:spPr/>
      <dgm:t>
        <a:bodyPr/>
        <a:p>
          <a:endParaRPr lang="zh-CN" altLang="en-US"/>
        </a:p>
      </dgm:t>
    </dgm:pt>
    <dgm:pt modelId="{B7893A41-667C-49A5-AB2D-90EEF12BD1C1}" cxnId="{5741D56D-3E63-4148-9930-C06DBD96DF9C}" type="parTrans">
      <dgm:prSet/>
      <dgm:spPr/>
      <dgm:t>
        <a:bodyPr/>
        <a:p>
          <a:endParaRPr lang="zh-CN" altLang="en-US"/>
        </a:p>
      </dgm:t>
    </dgm:pt>
    <dgm:pt modelId="{4249F5DB-C1DB-492A-9A84-A95C096A58C4}" type="pres">
      <dgm:prSet presAssocID="{E69CC0DF-1E35-409A-9D07-35650C06A5CB}" presName="Name0" presStyleCnt="0">
        <dgm:presLayoutVars>
          <dgm:chMax val="7"/>
          <dgm:chPref val="7"/>
          <dgm:dir/>
          <dgm:animLvl val="lvl"/>
        </dgm:presLayoutVars>
      </dgm:prSet>
      <dgm:spPr/>
      <dgm:t>
        <a:bodyPr/>
        <a:p>
          <a:endParaRPr lang="zh-CN" altLang="en-US"/>
        </a:p>
      </dgm:t>
    </dgm:pt>
    <dgm:pt modelId="{2002C4DD-81D5-466B-91EB-386127BB42A9}" type="pres">
      <dgm:prSet presAssocID="{6709102C-F962-4F83-A95D-03A0F3E6C748}" presName="Accent1" presStyleCnt="0"/>
      <dgm:spPr/>
      <dgm:t>
        <a:bodyPr/>
        <a:p>
          <a:endParaRPr lang="zh-CN" altLang="en-US"/>
        </a:p>
      </dgm:t>
    </dgm:pt>
    <dgm:pt modelId="{176BE099-EB5E-455B-929B-181A51DDBB70}" type="pres">
      <dgm:prSet presAssocID="{6709102C-F962-4F83-A95D-03A0F3E6C748}" presName="Accent" presStyleLbl="node1" presStyleIdx="0" presStyleCnt="5"/>
      <dgm:spPr/>
      <dgm:t>
        <a:bodyPr/>
        <a:p>
          <a:endParaRPr lang="zh-CN" altLang="en-US"/>
        </a:p>
      </dgm:t>
    </dgm:pt>
    <dgm:pt modelId="{FF5CB57C-54AA-4197-94B0-DFBB1FA8B10C}" type="pres">
      <dgm:prSet presAssocID="{6709102C-F962-4F83-A95D-03A0F3E6C748}" presName="Child1" presStyleLbl="revTx" presStyleIdx="0" presStyleCnt="10" custScaleX="114748">
        <dgm:presLayoutVars>
          <dgm:chMax val="0"/>
          <dgm:chPref val="0"/>
          <dgm:bulletEnabled val="1"/>
        </dgm:presLayoutVars>
      </dgm:prSet>
      <dgm:spPr/>
      <dgm:t>
        <a:bodyPr/>
        <a:p>
          <a:endParaRPr lang="zh-CN" altLang="en-US"/>
        </a:p>
      </dgm:t>
    </dgm:pt>
    <dgm:pt modelId="{74EDA46D-570C-44FD-A47F-9DC5D20A64AA}" type="pres">
      <dgm:prSet presAssocID="{6709102C-F962-4F83-A95D-03A0F3E6C748}" presName="Parent1" presStyleLbl="revTx" presStyleIdx="1" presStyleCnt="10" custScaleX="114748">
        <dgm:presLayoutVars>
          <dgm:chMax val="1"/>
          <dgm:chPref val="1"/>
          <dgm:bulletEnabled val="1"/>
        </dgm:presLayoutVars>
      </dgm:prSet>
      <dgm:spPr/>
      <dgm:t>
        <a:bodyPr/>
        <a:p>
          <a:endParaRPr lang="zh-CN" altLang="en-US"/>
        </a:p>
      </dgm:t>
    </dgm:pt>
    <dgm:pt modelId="{6FFB32BE-7DBD-4FE2-B7E6-84CE49976A9B}" type="pres">
      <dgm:prSet presAssocID="{88A69A05-FEE3-4278-ACC1-72C81D3E6675}" presName="Accent2" presStyleCnt="0"/>
      <dgm:spPr/>
      <dgm:t>
        <a:bodyPr/>
        <a:p>
          <a:endParaRPr lang="zh-CN" altLang="en-US"/>
        </a:p>
      </dgm:t>
    </dgm:pt>
    <dgm:pt modelId="{E67FC738-6728-45E2-8F41-E5B740F3F8AB}" type="pres">
      <dgm:prSet presAssocID="{88A69A05-FEE3-4278-ACC1-72C81D3E6675}" presName="Accent" presStyleLbl="node1" presStyleIdx="1" presStyleCnt="5"/>
      <dgm:spPr/>
      <dgm:t>
        <a:bodyPr/>
        <a:p>
          <a:endParaRPr lang="zh-CN" altLang="en-US"/>
        </a:p>
      </dgm:t>
    </dgm:pt>
    <dgm:pt modelId="{01587981-363B-423B-A13A-CB39378C4C17}" type="pres">
      <dgm:prSet presAssocID="{88A69A05-FEE3-4278-ACC1-72C81D3E6675}" presName="Child2" presStyleLbl="revTx" presStyleIdx="2" presStyleCnt="10" custScaleX="114748">
        <dgm:presLayoutVars>
          <dgm:chMax val="0"/>
          <dgm:chPref val="0"/>
          <dgm:bulletEnabled val="1"/>
        </dgm:presLayoutVars>
      </dgm:prSet>
      <dgm:spPr/>
      <dgm:t>
        <a:bodyPr/>
        <a:p>
          <a:endParaRPr lang="zh-CN" altLang="en-US"/>
        </a:p>
      </dgm:t>
    </dgm:pt>
    <dgm:pt modelId="{9CAEBE00-D695-42F4-82A2-3F4BD267E8D6}" type="pres">
      <dgm:prSet presAssocID="{88A69A05-FEE3-4278-ACC1-72C81D3E6675}" presName="Parent2" presStyleLbl="revTx" presStyleIdx="3" presStyleCnt="10">
        <dgm:presLayoutVars>
          <dgm:chMax val="1"/>
          <dgm:chPref val="1"/>
          <dgm:bulletEnabled val="1"/>
        </dgm:presLayoutVars>
      </dgm:prSet>
      <dgm:spPr/>
      <dgm:t>
        <a:bodyPr/>
        <a:p>
          <a:endParaRPr lang="zh-CN" altLang="en-US"/>
        </a:p>
      </dgm:t>
    </dgm:pt>
    <dgm:pt modelId="{8BF85C71-FC62-44F1-B49D-A691DEAABCD0}" type="pres">
      <dgm:prSet presAssocID="{038AA7F5-F408-486C-8527-0EB911F08310}" presName="Accent3" presStyleCnt="0"/>
      <dgm:spPr/>
      <dgm:t>
        <a:bodyPr/>
        <a:p>
          <a:endParaRPr lang="zh-CN" altLang="en-US"/>
        </a:p>
      </dgm:t>
    </dgm:pt>
    <dgm:pt modelId="{151808E1-D772-4D8B-9E2C-0F948D17D78E}" type="pres">
      <dgm:prSet presAssocID="{038AA7F5-F408-486C-8527-0EB911F08310}" presName="Accent" presStyleLbl="node1" presStyleIdx="2" presStyleCnt="5"/>
      <dgm:spPr/>
      <dgm:t>
        <a:bodyPr/>
        <a:p>
          <a:endParaRPr lang="zh-CN" altLang="en-US"/>
        </a:p>
      </dgm:t>
    </dgm:pt>
    <dgm:pt modelId="{32DA6570-A550-449D-B083-140F1D7AA48B}" type="pres">
      <dgm:prSet presAssocID="{038AA7F5-F408-486C-8527-0EB911F08310}" presName="Child3" presStyleLbl="revTx" presStyleIdx="4" presStyleCnt="10" custScaleX="114748">
        <dgm:presLayoutVars>
          <dgm:chMax val="0"/>
          <dgm:chPref val="0"/>
          <dgm:bulletEnabled val="1"/>
        </dgm:presLayoutVars>
      </dgm:prSet>
      <dgm:spPr/>
      <dgm:t>
        <a:bodyPr/>
        <a:p>
          <a:endParaRPr lang="zh-CN" altLang="en-US"/>
        </a:p>
      </dgm:t>
    </dgm:pt>
    <dgm:pt modelId="{9FA207C8-A4CD-4F5F-97D2-FE86028BBA4A}" type="pres">
      <dgm:prSet presAssocID="{038AA7F5-F408-486C-8527-0EB911F08310}" presName="Parent3" presStyleLbl="revTx" presStyleIdx="5" presStyleCnt="10">
        <dgm:presLayoutVars>
          <dgm:chMax val="1"/>
          <dgm:chPref val="1"/>
          <dgm:bulletEnabled val="1"/>
        </dgm:presLayoutVars>
      </dgm:prSet>
      <dgm:spPr/>
      <dgm:t>
        <a:bodyPr/>
        <a:p>
          <a:endParaRPr lang="zh-CN" altLang="en-US"/>
        </a:p>
      </dgm:t>
    </dgm:pt>
    <dgm:pt modelId="{E7FA68C0-4F59-4FF5-B8E2-0323C1E64310}" type="pres">
      <dgm:prSet presAssocID="{C68134C5-7BF7-4685-A1B7-7FF14A87E5D2}" presName="Accent4" presStyleCnt="0"/>
      <dgm:spPr/>
      <dgm:t>
        <a:bodyPr/>
        <a:p>
          <a:endParaRPr lang="zh-CN" altLang="en-US"/>
        </a:p>
      </dgm:t>
    </dgm:pt>
    <dgm:pt modelId="{6E535CF1-A027-4FC9-BC1E-F9F3CA48756D}" type="pres">
      <dgm:prSet presAssocID="{C68134C5-7BF7-4685-A1B7-7FF14A87E5D2}" presName="Accent" presStyleLbl="node1" presStyleIdx="3" presStyleCnt="5"/>
      <dgm:spPr/>
      <dgm:t>
        <a:bodyPr/>
        <a:p>
          <a:endParaRPr lang="zh-CN" altLang="en-US"/>
        </a:p>
      </dgm:t>
    </dgm:pt>
    <dgm:pt modelId="{F33334AF-5512-493D-8099-CC4004DDC0D2}" type="pres">
      <dgm:prSet presAssocID="{C68134C5-7BF7-4685-A1B7-7FF14A87E5D2}" presName="Child4" presStyleLbl="revTx" presStyleIdx="6" presStyleCnt="10" custScaleX="114748">
        <dgm:presLayoutVars>
          <dgm:chMax val="0"/>
          <dgm:chPref val="0"/>
          <dgm:bulletEnabled val="1"/>
        </dgm:presLayoutVars>
      </dgm:prSet>
      <dgm:spPr/>
      <dgm:t>
        <a:bodyPr/>
        <a:p>
          <a:endParaRPr lang="zh-CN" altLang="en-US"/>
        </a:p>
      </dgm:t>
    </dgm:pt>
    <dgm:pt modelId="{BCC1CE6C-A110-4466-BD00-E58AC02B9DD3}" type="pres">
      <dgm:prSet presAssocID="{C68134C5-7BF7-4685-A1B7-7FF14A87E5D2}" presName="Parent4" presStyleLbl="revTx" presStyleIdx="7" presStyleCnt="10">
        <dgm:presLayoutVars>
          <dgm:chMax val="1"/>
          <dgm:chPref val="1"/>
          <dgm:bulletEnabled val="1"/>
        </dgm:presLayoutVars>
      </dgm:prSet>
      <dgm:spPr/>
      <dgm:t>
        <a:bodyPr/>
        <a:p>
          <a:endParaRPr lang="zh-CN" altLang="en-US"/>
        </a:p>
      </dgm:t>
    </dgm:pt>
    <dgm:pt modelId="{B3220F31-C1E0-4773-B060-3A009C3E4D64}" type="pres">
      <dgm:prSet presAssocID="{73E9BCAB-EB1E-40BB-A43D-064ABD8D0500}" presName="Accent5" presStyleCnt="0"/>
      <dgm:spPr/>
      <dgm:t>
        <a:bodyPr/>
        <a:p>
          <a:endParaRPr lang="zh-CN" altLang="en-US"/>
        </a:p>
      </dgm:t>
    </dgm:pt>
    <dgm:pt modelId="{710AD4A0-656B-4897-830B-FF1188C41E12}" type="pres">
      <dgm:prSet presAssocID="{73E9BCAB-EB1E-40BB-A43D-064ABD8D0500}" presName="Accent" presStyleLbl="node1" presStyleIdx="4" presStyleCnt="5"/>
      <dgm:spPr/>
      <dgm:t>
        <a:bodyPr/>
        <a:p>
          <a:endParaRPr lang="zh-CN" altLang="en-US"/>
        </a:p>
      </dgm:t>
    </dgm:pt>
    <dgm:pt modelId="{2F1C14F1-5105-46C4-9E25-07817A5121E5}" type="pres">
      <dgm:prSet presAssocID="{73E9BCAB-EB1E-40BB-A43D-064ABD8D0500}" presName="Child5" presStyleLbl="revTx" presStyleIdx="8" presStyleCnt="10" custScaleX="114748">
        <dgm:presLayoutVars>
          <dgm:chMax val="0"/>
          <dgm:chPref val="0"/>
          <dgm:bulletEnabled val="1"/>
        </dgm:presLayoutVars>
      </dgm:prSet>
      <dgm:spPr/>
      <dgm:t>
        <a:bodyPr/>
        <a:p>
          <a:endParaRPr lang="zh-CN" altLang="en-US"/>
        </a:p>
      </dgm:t>
    </dgm:pt>
    <dgm:pt modelId="{F33E63CF-0CDC-44A4-BAB8-F1B52F601A09}" type="pres">
      <dgm:prSet presAssocID="{73E9BCAB-EB1E-40BB-A43D-064ABD8D0500}" presName="Parent5" presStyleLbl="revTx" presStyleIdx="9" presStyleCnt="10">
        <dgm:presLayoutVars>
          <dgm:chMax val="1"/>
          <dgm:chPref val="1"/>
          <dgm:bulletEnabled val="1"/>
        </dgm:presLayoutVars>
      </dgm:prSet>
      <dgm:spPr/>
      <dgm:t>
        <a:bodyPr/>
        <a:p>
          <a:endParaRPr lang="zh-CN" altLang="en-US"/>
        </a:p>
      </dgm:t>
    </dgm:pt>
  </dgm:ptLst>
  <dgm:cxnLst>
    <dgm:cxn modelId="{5CD9FB76-3C55-4F0D-A9F9-86BAFD4DD156}" type="presOf" srcId="{C4C90FEF-572A-4FBB-BCAE-C556E234B88A}" destId="{01587981-363B-423B-A13A-CB39378C4C17}" srcOrd="0" destOrd="1" presId="urn:microsoft.com/office/officeart/2009/layout/CircleArrowProcess"/>
    <dgm:cxn modelId="{A21FC094-8FC5-49C8-A4FE-2183BABE6CDF}" srcId="{038AA7F5-F408-486C-8527-0EB911F08310}" destId="{31B889EB-5C06-4C0A-A17F-A0C37F8F6E2D}" srcOrd="1" destOrd="0" parTransId="{35B3270E-787B-4F68-AE84-F3FB4495F069}" sibTransId="{8C33D55F-772B-41A7-ACD2-0BF3BADB3ADE}"/>
    <dgm:cxn modelId="{B8CE3DDA-95DC-42F8-9C8D-DA33BDD2500C}" srcId="{C68134C5-7BF7-4685-A1B7-7FF14A87E5D2}" destId="{68FC0FFE-DFCB-448A-A795-E5EFCCE08ED6}" srcOrd="0" destOrd="0" parTransId="{212B5EF3-08C6-4499-B29A-D2BFB852AF25}" sibTransId="{85EAC964-4FA0-4974-9099-EE3211A5C31E}"/>
    <dgm:cxn modelId="{B0CD07F1-360E-4E30-95EE-FAB51CE017A3}" srcId="{E69CC0DF-1E35-409A-9D07-35650C06A5CB}" destId="{88A69A05-FEE3-4278-ACC1-72C81D3E6675}" srcOrd="1" destOrd="0" parTransId="{3B37751E-8903-45AB-92F5-497E3A61BC0C}" sibTransId="{AB862497-9BA8-4C5B-8730-59662A7C0491}"/>
    <dgm:cxn modelId="{67AD6075-CE3C-4534-997D-8C445B0CED82}" srcId="{E69CC0DF-1E35-409A-9D07-35650C06A5CB}" destId="{C68134C5-7BF7-4685-A1B7-7FF14A87E5D2}" srcOrd="3" destOrd="0" parTransId="{85B78886-78AD-400B-905A-4C522E26E3D4}" sibTransId="{2A1064EC-D391-4933-A17B-ED68EDAF8A57}"/>
    <dgm:cxn modelId="{3AC9737B-E3AC-4B72-9E22-B73372DBC258}" type="presOf" srcId="{C68134C5-7BF7-4685-A1B7-7FF14A87E5D2}" destId="{BCC1CE6C-A110-4466-BD00-E58AC02B9DD3}" srcOrd="0" destOrd="0" presId="urn:microsoft.com/office/officeart/2009/layout/CircleArrowProcess"/>
    <dgm:cxn modelId="{78E6DEDA-018D-4BE9-BE6C-5E0D65A1F7A0}" srcId="{6709102C-F962-4F83-A95D-03A0F3E6C748}" destId="{23C6C3FB-D0FE-4453-B7A9-14AE83DEE130}" srcOrd="1" destOrd="0" parTransId="{FFE52DE1-BED7-49D4-B105-09888E71219A}" sibTransId="{B8AC3F80-93B2-412F-B218-6D3C90583B89}"/>
    <dgm:cxn modelId="{E3B6C466-F68A-4BA0-921D-415FA02BC7CA}" srcId="{E69CC0DF-1E35-409A-9D07-35650C06A5CB}" destId="{73E9BCAB-EB1E-40BB-A43D-064ABD8D0500}" srcOrd="4" destOrd="0" parTransId="{D3F76854-8EBE-4398-98EA-B336C50EE1FE}" sibTransId="{023B2BD2-2A81-46C5-82D1-45648E66BC7D}"/>
    <dgm:cxn modelId="{BB1E57FF-5A99-45AF-B2C8-CF6BBE1B394F}" type="presOf" srcId="{88A69A05-FEE3-4278-ACC1-72C81D3E6675}" destId="{9CAEBE00-D695-42F4-82A2-3F4BD267E8D6}" srcOrd="0" destOrd="0" presId="urn:microsoft.com/office/officeart/2009/layout/CircleArrowProcess"/>
    <dgm:cxn modelId="{5741D56D-3E63-4148-9930-C06DBD96DF9C}" srcId="{88A69A05-FEE3-4278-ACC1-72C81D3E6675}" destId="{C4C90FEF-572A-4FBB-BCAE-C556E234B88A}" srcOrd="1" destOrd="0" parTransId="{B7893A41-667C-49A5-AB2D-90EEF12BD1C1}" sibTransId="{C2D01D02-39BA-491B-B405-8B80D7DE3AD2}"/>
    <dgm:cxn modelId="{5D1FDF92-F6D4-40D3-8431-69372CC78AAA}" type="presOf" srcId="{CF1DD49B-5387-4608-8129-ABEDB73D99AF}" destId="{2F1C14F1-5105-46C4-9E25-07817A5121E5}" srcOrd="0" destOrd="0" presId="urn:microsoft.com/office/officeart/2009/layout/CircleArrowProcess"/>
    <dgm:cxn modelId="{9D9E11E3-8FBC-4FA0-8A7C-97EAF6B648AE}" srcId="{88A69A05-FEE3-4278-ACC1-72C81D3E6675}" destId="{CE13D14C-0CCF-4185-AD39-4AB029E351EB}" srcOrd="0" destOrd="0" parTransId="{06D0F98F-515D-4567-9B73-BBAE5A77FEC6}" sibTransId="{A23CFAAD-0EB9-4093-8572-BFEDFD542363}"/>
    <dgm:cxn modelId="{20F27058-CEFA-479E-BF98-CE53C77CC477}" type="presOf" srcId="{68FC0FFE-DFCB-448A-A795-E5EFCCE08ED6}" destId="{F33334AF-5512-493D-8099-CC4004DDC0D2}" srcOrd="0" destOrd="0" presId="urn:microsoft.com/office/officeart/2009/layout/CircleArrowProcess"/>
    <dgm:cxn modelId="{EA80704A-71AD-45E0-BC49-9D2917AB1506}" srcId="{73E9BCAB-EB1E-40BB-A43D-064ABD8D0500}" destId="{7670D1FC-A3D8-4440-BBA0-F748482447DA}" srcOrd="1" destOrd="0" parTransId="{B06AE87A-925E-40BA-99D5-56896D894FD3}" sibTransId="{F2DEA297-E6E4-4ED7-BD53-1AACE4F63FD9}"/>
    <dgm:cxn modelId="{270835E1-50B7-45E1-A1C7-2BA066CC07C6}" type="presOf" srcId="{23C6C3FB-D0FE-4453-B7A9-14AE83DEE130}" destId="{FF5CB57C-54AA-4197-94B0-DFBB1FA8B10C}" srcOrd="0" destOrd="1" presId="urn:microsoft.com/office/officeart/2009/layout/CircleArrowProcess"/>
    <dgm:cxn modelId="{16240D4E-325D-4DE8-9BFE-C999FABAC51C}" type="presOf" srcId="{73E9BCAB-EB1E-40BB-A43D-064ABD8D0500}" destId="{F33E63CF-0CDC-44A4-BAB8-F1B52F601A09}" srcOrd="0" destOrd="0" presId="urn:microsoft.com/office/officeart/2009/layout/CircleArrowProcess"/>
    <dgm:cxn modelId="{75783E17-8367-4E1F-A911-5F360799622C}" type="presOf" srcId="{31B889EB-5C06-4C0A-A17F-A0C37F8F6E2D}" destId="{32DA6570-A550-449D-B083-140F1D7AA48B}" srcOrd="0" destOrd="1" presId="urn:microsoft.com/office/officeart/2009/layout/CircleArrowProcess"/>
    <dgm:cxn modelId="{C406B996-FC72-47C6-AA0B-702AA4B4B1B1}" type="presOf" srcId="{038AA7F5-F408-486C-8527-0EB911F08310}" destId="{9FA207C8-A4CD-4F5F-97D2-FE86028BBA4A}" srcOrd="0" destOrd="0" presId="urn:microsoft.com/office/officeart/2009/layout/CircleArrowProcess"/>
    <dgm:cxn modelId="{EF8B00F7-0F07-4C8F-BCA4-62DF0CDA9690}" srcId="{6709102C-F962-4F83-A95D-03A0F3E6C748}" destId="{28B4F36C-18EF-4CD1-B1AD-1664B269B633}" srcOrd="0" destOrd="0" parTransId="{874A3927-7F46-4E3E-ADE1-BFE3046E93E4}" sibTransId="{B2E442C6-1678-4734-A32A-22F57EE6B9A1}"/>
    <dgm:cxn modelId="{73910261-8CBF-4FFF-A5DC-40AE5D515866}" type="presOf" srcId="{28B4F36C-18EF-4CD1-B1AD-1664B269B633}" destId="{FF5CB57C-54AA-4197-94B0-DFBB1FA8B10C}" srcOrd="0" destOrd="0" presId="urn:microsoft.com/office/officeart/2009/layout/CircleArrowProcess"/>
    <dgm:cxn modelId="{39AE5DAD-BA37-4834-9E0C-C865ADD8B48B}" srcId="{73E9BCAB-EB1E-40BB-A43D-064ABD8D0500}" destId="{CF1DD49B-5387-4608-8129-ABEDB73D99AF}" srcOrd="0" destOrd="0" parTransId="{20A68CBA-37DA-42D8-9D33-C8D17FDEA266}" sibTransId="{658A71C0-2D5D-47DA-9939-E2169FDC2544}"/>
    <dgm:cxn modelId="{2A84D9F6-CC4C-4A94-AB13-3A8EFCAD4E54}" srcId="{E69CC0DF-1E35-409A-9D07-35650C06A5CB}" destId="{038AA7F5-F408-486C-8527-0EB911F08310}" srcOrd="2" destOrd="0" parTransId="{1A4FB134-77D8-4415-A3AF-508A6360A9CB}" sibTransId="{E23CFB62-1FC3-42D4-A4D1-DC61FD978ADF}"/>
    <dgm:cxn modelId="{8FA60C30-F752-4A29-A76E-6C77BEA37008}" srcId="{E69CC0DF-1E35-409A-9D07-35650C06A5CB}" destId="{6709102C-F962-4F83-A95D-03A0F3E6C748}" srcOrd="0" destOrd="0" parTransId="{E8D43654-8D2E-4E6C-AD40-24C03808F4AD}" sibTransId="{DBA20D9E-A5BD-4E4E-987A-C81AA9A1E306}"/>
    <dgm:cxn modelId="{7289C835-5C72-4919-A90F-9FEBB68FDD5E}" type="presOf" srcId="{6709102C-F962-4F83-A95D-03A0F3E6C748}" destId="{74EDA46D-570C-44FD-A47F-9DC5D20A64AA}" srcOrd="0" destOrd="0" presId="urn:microsoft.com/office/officeart/2009/layout/CircleArrowProcess"/>
    <dgm:cxn modelId="{5311F235-C4DA-436F-9ECB-9A322950D6B6}" type="presOf" srcId="{E69CC0DF-1E35-409A-9D07-35650C06A5CB}" destId="{4249F5DB-C1DB-492A-9A84-A95C096A58C4}" srcOrd="0" destOrd="0" presId="urn:microsoft.com/office/officeart/2009/layout/CircleArrowProcess"/>
    <dgm:cxn modelId="{9A31B36F-0460-40B1-A5F5-82797C50DA2D}" type="presOf" srcId="{DA101525-2F13-4EE8-965F-002160DF19D3}" destId="{32DA6570-A550-449D-B083-140F1D7AA48B}" srcOrd="0" destOrd="0" presId="urn:microsoft.com/office/officeart/2009/layout/CircleArrowProcess"/>
    <dgm:cxn modelId="{9E538EA1-22C8-40BA-AE64-697046322D2A}" srcId="{038AA7F5-F408-486C-8527-0EB911F08310}" destId="{DA101525-2F13-4EE8-965F-002160DF19D3}" srcOrd="0" destOrd="0" parTransId="{6BB4DD67-BFD8-4CAE-A35D-6F82B2B3CAE7}" sibTransId="{DB53D7B1-48DC-4D6E-BB1F-34C2F4F95ABB}"/>
    <dgm:cxn modelId="{1654F004-84A2-413F-88A0-28834891E9BD}" type="presOf" srcId="{7670D1FC-A3D8-4440-BBA0-F748482447DA}" destId="{2F1C14F1-5105-46C4-9E25-07817A5121E5}" srcOrd="0" destOrd="1" presId="urn:microsoft.com/office/officeart/2009/layout/CircleArrowProcess"/>
    <dgm:cxn modelId="{F4DEF4AF-922A-42C7-8DA8-C43E750097D8}" type="presOf" srcId="{CE13D14C-0CCF-4185-AD39-4AB029E351EB}" destId="{01587981-363B-423B-A13A-CB39378C4C17}" srcOrd="0" destOrd="0" presId="urn:microsoft.com/office/officeart/2009/layout/CircleArrowProcess"/>
    <dgm:cxn modelId="{D1BA4359-6349-418F-9DA6-1408F1AAC0EE}" type="presParOf" srcId="{4249F5DB-C1DB-492A-9A84-A95C096A58C4}" destId="{2002C4DD-81D5-466B-91EB-386127BB42A9}" srcOrd="0" destOrd="0" presId="urn:microsoft.com/office/officeart/2009/layout/CircleArrowProcess"/>
    <dgm:cxn modelId="{CAE9C8F1-9A5D-46D5-8ABE-4CC2E47526BA}" type="presParOf" srcId="{2002C4DD-81D5-466B-91EB-386127BB42A9}" destId="{176BE099-EB5E-455B-929B-181A51DDBB70}" srcOrd="0" destOrd="0" presId="urn:microsoft.com/office/officeart/2009/layout/CircleArrowProcess"/>
    <dgm:cxn modelId="{BA7D0F44-6871-437E-B29C-FD5DDDC60569}" type="presParOf" srcId="{4249F5DB-C1DB-492A-9A84-A95C096A58C4}" destId="{FF5CB57C-54AA-4197-94B0-DFBB1FA8B10C}" srcOrd="1" destOrd="0" presId="urn:microsoft.com/office/officeart/2009/layout/CircleArrowProcess"/>
    <dgm:cxn modelId="{601DD9EF-269B-45A1-880D-7926E6ECE0A3}" type="presParOf" srcId="{4249F5DB-C1DB-492A-9A84-A95C096A58C4}" destId="{74EDA46D-570C-44FD-A47F-9DC5D20A64AA}" srcOrd="2" destOrd="0" presId="urn:microsoft.com/office/officeart/2009/layout/CircleArrowProcess"/>
    <dgm:cxn modelId="{83CE0398-87A2-491E-9142-BE2A192B4C4C}" type="presParOf" srcId="{4249F5DB-C1DB-492A-9A84-A95C096A58C4}" destId="{6FFB32BE-7DBD-4FE2-B7E6-84CE49976A9B}" srcOrd="3" destOrd="0" presId="urn:microsoft.com/office/officeart/2009/layout/CircleArrowProcess"/>
    <dgm:cxn modelId="{446B411B-3666-4E86-9079-1B87EE1372DA}" type="presParOf" srcId="{6FFB32BE-7DBD-4FE2-B7E6-84CE49976A9B}" destId="{E67FC738-6728-45E2-8F41-E5B740F3F8AB}" srcOrd="0" destOrd="0" presId="urn:microsoft.com/office/officeart/2009/layout/CircleArrowProcess"/>
    <dgm:cxn modelId="{0FD8ACEF-0C8B-4DD5-AF9C-290FFEAB4131}" type="presParOf" srcId="{4249F5DB-C1DB-492A-9A84-A95C096A58C4}" destId="{01587981-363B-423B-A13A-CB39378C4C17}" srcOrd="4" destOrd="0" presId="urn:microsoft.com/office/officeart/2009/layout/CircleArrowProcess"/>
    <dgm:cxn modelId="{E5E0BF6E-4A0F-4A7D-BB07-9023BDEA22C3}" type="presParOf" srcId="{4249F5DB-C1DB-492A-9A84-A95C096A58C4}" destId="{9CAEBE00-D695-42F4-82A2-3F4BD267E8D6}" srcOrd="5" destOrd="0" presId="urn:microsoft.com/office/officeart/2009/layout/CircleArrowProcess"/>
    <dgm:cxn modelId="{FA1D4EE8-CDB8-4BAC-B978-FCE2981E44F8}" type="presParOf" srcId="{4249F5DB-C1DB-492A-9A84-A95C096A58C4}" destId="{8BF85C71-FC62-44F1-B49D-A691DEAABCD0}" srcOrd="6" destOrd="0" presId="urn:microsoft.com/office/officeart/2009/layout/CircleArrowProcess"/>
    <dgm:cxn modelId="{AE1ADAF8-5D6C-4F86-8D11-EB2865DB42A1}" type="presParOf" srcId="{8BF85C71-FC62-44F1-B49D-A691DEAABCD0}" destId="{151808E1-D772-4D8B-9E2C-0F948D17D78E}" srcOrd="0" destOrd="0" presId="urn:microsoft.com/office/officeart/2009/layout/CircleArrowProcess"/>
    <dgm:cxn modelId="{2754A5BB-7DFE-4740-A081-5A818B2B7325}" type="presParOf" srcId="{4249F5DB-C1DB-492A-9A84-A95C096A58C4}" destId="{32DA6570-A550-449D-B083-140F1D7AA48B}" srcOrd="7" destOrd="0" presId="urn:microsoft.com/office/officeart/2009/layout/CircleArrowProcess"/>
    <dgm:cxn modelId="{C4CF9B78-4A60-42DF-930A-62DB4BF0046F}" type="presParOf" srcId="{4249F5DB-C1DB-492A-9A84-A95C096A58C4}" destId="{9FA207C8-A4CD-4F5F-97D2-FE86028BBA4A}" srcOrd="8" destOrd="0" presId="urn:microsoft.com/office/officeart/2009/layout/CircleArrowProcess"/>
    <dgm:cxn modelId="{0608C0DB-65A4-4EB0-8D3F-9DEE48BC7A4B}" type="presParOf" srcId="{4249F5DB-C1DB-492A-9A84-A95C096A58C4}" destId="{E7FA68C0-4F59-4FF5-B8E2-0323C1E64310}" srcOrd="9" destOrd="0" presId="urn:microsoft.com/office/officeart/2009/layout/CircleArrowProcess"/>
    <dgm:cxn modelId="{ED98EF64-CD34-449D-AB9A-975041B8221E}" type="presParOf" srcId="{E7FA68C0-4F59-4FF5-B8E2-0323C1E64310}" destId="{6E535CF1-A027-4FC9-BC1E-F9F3CA48756D}" srcOrd="0" destOrd="0" presId="urn:microsoft.com/office/officeart/2009/layout/CircleArrowProcess"/>
    <dgm:cxn modelId="{8228959E-CA02-4EEF-AE05-57825CB21038}" type="presParOf" srcId="{4249F5DB-C1DB-492A-9A84-A95C096A58C4}" destId="{F33334AF-5512-493D-8099-CC4004DDC0D2}" srcOrd="10" destOrd="0" presId="urn:microsoft.com/office/officeart/2009/layout/CircleArrowProcess"/>
    <dgm:cxn modelId="{BF351648-6704-4312-B33B-4E100A1151CD}" type="presParOf" srcId="{4249F5DB-C1DB-492A-9A84-A95C096A58C4}" destId="{BCC1CE6C-A110-4466-BD00-E58AC02B9DD3}" srcOrd="11" destOrd="0" presId="urn:microsoft.com/office/officeart/2009/layout/CircleArrowProcess"/>
    <dgm:cxn modelId="{F2C4F4B2-B632-43A7-B97A-53C082217AEF}" type="presParOf" srcId="{4249F5DB-C1DB-492A-9A84-A95C096A58C4}" destId="{B3220F31-C1E0-4773-B060-3A009C3E4D64}" srcOrd="12" destOrd="0" presId="urn:microsoft.com/office/officeart/2009/layout/CircleArrowProcess"/>
    <dgm:cxn modelId="{AB022016-7408-457A-9242-0332D5E18689}" type="presParOf" srcId="{B3220F31-C1E0-4773-B060-3A009C3E4D64}" destId="{710AD4A0-656B-4897-830B-FF1188C41E12}" srcOrd="0" destOrd="0" presId="urn:microsoft.com/office/officeart/2009/layout/CircleArrowProcess"/>
    <dgm:cxn modelId="{B012D5FF-0C7B-4E24-8A9F-00F5CFD000CC}" type="presParOf" srcId="{4249F5DB-C1DB-492A-9A84-A95C096A58C4}" destId="{2F1C14F1-5105-46C4-9E25-07817A5121E5}" srcOrd="13" destOrd="0" presId="urn:microsoft.com/office/officeart/2009/layout/CircleArrowProcess"/>
    <dgm:cxn modelId="{80E38BF9-DFDA-4C69-9C5F-792EB558844A}" type="presParOf" srcId="{4249F5DB-C1DB-492A-9A84-A95C096A58C4}" destId="{F33E63CF-0CDC-44A4-BAB8-F1B52F601A09}" srcOrd="14"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520246" cy="6057900"/>
        <a:chOff x="0" y="0"/>
        <a:chExt cx="3520246" cy="6057900"/>
      </a:xfrm>
    </dsp:grpSpPr>
    <dsp:sp modelId="{176BE099-EB5E-455B-929B-181A51DDBB70}">
      <dsp:nvSpPr>
        <dsp:cNvPr id="3" name="环形箭头 2"/>
        <dsp:cNvSpPr/>
      </dsp:nvSpPr>
      <dsp:spPr bwMode="white">
        <a:xfrm>
          <a:off x="2185463" y="0"/>
          <a:ext cx="1876643" cy="1876737"/>
        </a:xfrm>
        <a:prstGeom prst="circularArrow">
          <a:avLst>
            <a:gd name="adj1" fmla="val 10980"/>
            <a:gd name="adj2" fmla="val 1142322"/>
            <a:gd name="adj3" fmla="val 4500000"/>
            <a:gd name="adj4" fmla="val 10800000"/>
            <a:gd name="adj5" fmla="val 12500"/>
          </a:avLst>
        </a:prstGeom>
      </dsp:spPr>
      <dsp:style>
        <a:lnRef idx="0">
          <a:sysClr val="window" lastClr="FFFFFF"/>
        </a:lnRef>
        <a:fillRef idx="3">
          <a:srgbClr val="4472C4">
            <a:hueOff val="0"/>
            <a:satOff val="0"/>
            <a:lumOff val="0"/>
            <a:alpha val="100000"/>
          </a:srgbClr>
        </a:fillRef>
        <a:effectRef idx="2">
          <a:scrgbClr r="0" g="0" b="0"/>
        </a:effectRef>
        <a:fontRef idx="minor">
          <a:sysClr val="window" lastClr="FFFFFF"/>
        </a:fontRef>
      </dsp:style>
      <dsp:txXfrm>
        <a:off x="2185463" y="0"/>
        <a:ext cx="1876643" cy="1876737"/>
      </dsp:txXfrm>
    </dsp:sp>
    <dsp:sp modelId="{FF5CB57C-54AA-4197-94B0-DFBB1FA8B10C}">
      <dsp:nvSpPr>
        <dsp:cNvPr id="4" name="矩形 3"/>
        <dsp:cNvSpPr/>
      </dsp:nvSpPr>
      <dsp:spPr bwMode="white">
        <a:xfrm>
          <a:off x="4059290" y="556721"/>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基础信息确认</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考核机构申请</a:t>
          </a:r>
          <a:endParaRPr>
            <a:solidFill>
              <a:sysClr val="windowText" lastClr="000000"/>
            </a:solidFill>
          </a:endParaRPr>
        </a:p>
      </dsp:txBody>
      <dsp:txXfrm>
        <a:off x="4059290" y="556721"/>
        <a:ext cx="1125071" cy="746333"/>
      </dsp:txXfrm>
    </dsp:sp>
    <dsp:sp modelId="{74EDA46D-570C-44FD-A47F-9DC5D20A64AA}">
      <dsp:nvSpPr>
        <dsp:cNvPr id="5" name="矩形 4"/>
        <dsp:cNvSpPr/>
      </dsp:nvSpPr>
      <dsp:spPr bwMode="white">
        <a:xfrm>
          <a:off x="2599796" y="679696"/>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考核准备</a:t>
          </a:r>
          <a:endParaRPr lang="zh-CN" altLang="en-US" sz="1600" b="1">
            <a:solidFill>
              <a:sysClr val="windowText" lastClr="000000"/>
            </a:solidFill>
            <a:latin typeface="微软雅黑 Light" panose="020B0502040204020203" pitchFamily="2" charset="-122"/>
            <a:ea typeface="微软雅黑 Light" panose="020B0502040204020203" pitchFamily="2" charset="-122"/>
          </a:endParaRPr>
        </a:p>
      </dsp:txBody>
      <dsp:txXfrm>
        <a:off x="2599796" y="679696"/>
        <a:ext cx="1047273" cy="523403"/>
      </dsp:txXfrm>
    </dsp:sp>
    <dsp:sp modelId="{E67FC738-6728-45E2-8F41-E5B740F3F8AB}">
      <dsp:nvSpPr>
        <dsp:cNvPr id="6" name="形状 5"/>
        <dsp:cNvSpPr/>
      </dsp:nvSpPr>
      <dsp:spPr bwMode="white">
        <a:xfrm>
          <a:off x="1664115" y="1078306"/>
          <a:ext cx="1876643" cy="1876737"/>
        </a:xfrm>
        <a:prstGeom prst="leftCircularArrow">
          <a:avLst>
            <a:gd name="adj1" fmla="val 10980"/>
            <a:gd name="adj2" fmla="val 1142322"/>
            <a:gd name="adj3" fmla="val 6300000"/>
            <a:gd name="adj4" fmla="val 18900000"/>
            <a:gd name="adj5" fmla="val 12500"/>
          </a:avLst>
        </a:prstGeom>
      </dsp:spPr>
      <dsp:style>
        <a:lnRef idx="0">
          <a:sysClr val="window" lastClr="FFFFFF"/>
        </a:lnRef>
        <a:fillRef idx="3">
          <a:srgbClr val="4472C4">
            <a:hueOff val="-1845000"/>
            <a:satOff val="-2548"/>
            <a:lumOff val="-979"/>
            <a:alpha val="100000"/>
          </a:srgbClr>
        </a:fillRef>
        <a:effectRef idx="2">
          <a:scrgbClr r="0" g="0" b="0"/>
        </a:effectRef>
        <a:fontRef idx="minor">
          <a:sysClr val="window" lastClr="FFFFFF"/>
        </a:fontRef>
      </dsp:style>
      <dsp:txXfrm>
        <a:off x="1664115" y="1078306"/>
        <a:ext cx="1876643" cy="1876737"/>
      </dsp:txXfrm>
    </dsp:sp>
    <dsp:sp modelId="{01587981-363B-423B-A13A-CB39378C4C17}">
      <dsp:nvSpPr>
        <dsp:cNvPr id="7" name="矩形 6"/>
        <dsp:cNvSpPr/>
      </dsp:nvSpPr>
      <dsp:spPr bwMode="white">
        <a:xfrm>
          <a:off x="3546742" y="1648960"/>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医师报名</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报名跟踪</a:t>
          </a:r>
          <a:endParaRPr>
            <a:solidFill>
              <a:sysClr val="windowText" lastClr="000000"/>
            </a:solidFill>
          </a:endParaRPr>
        </a:p>
      </dsp:txBody>
      <dsp:txXfrm>
        <a:off x="3546742" y="1648960"/>
        <a:ext cx="1125071" cy="746333"/>
      </dsp:txXfrm>
    </dsp:sp>
    <dsp:sp modelId="{9CAEBE00-D695-42F4-82A2-3F4BD267E8D6}">
      <dsp:nvSpPr>
        <dsp:cNvPr id="8" name="矩形 7"/>
        <dsp:cNvSpPr/>
      </dsp:nvSpPr>
      <dsp:spPr bwMode="white">
        <a:xfrm>
          <a:off x="2076335" y="1760426"/>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考核报名</a:t>
          </a:r>
          <a:endParaRPr>
            <a:solidFill>
              <a:sysClr val="windowText" lastClr="000000"/>
            </a:solidFill>
          </a:endParaRPr>
        </a:p>
      </dsp:txBody>
      <dsp:txXfrm>
        <a:off x="2076335" y="1760426"/>
        <a:ext cx="1047273" cy="523403"/>
      </dsp:txXfrm>
    </dsp:sp>
    <dsp:sp modelId="{151808E1-D772-4D8B-9E2C-0F948D17D78E}">
      <dsp:nvSpPr>
        <dsp:cNvPr id="9" name="环形箭头 8"/>
        <dsp:cNvSpPr/>
      </dsp:nvSpPr>
      <dsp:spPr bwMode="white">
        <a:xfrm>
          <a:off x="2185463" y="2161459"/>
          <a:ext cx="1876643" cy="1876737"/>
        </a:xfrm>
        <a:prstGeom prst="circularArrow">
          <a:avLst>
            <a:gd name="adj1" fmla="val 10980"/>
            <a:gd name="adj2" fmla="val 1142322"/>
            <a:gd name="adj3" fmla="val 4500000"/>
            <a:gd name="adj4" fmla="val 13500000"/>
            <a:gd name="adj5" fmla="val 12500"/>
          </a:avLst>
        </a:prstGeom>
      </dsp:spPr>
      <dsp:style>
        <a:lnRef idx="0">
          <a:sysClr val="window" lastClr="FFFFFF"/>
        </a:lnRef>
        <a:fillRef idx="3">
          <a:srgbClr val="4472C4">
            <a:hueOff val="-3690000"/>
            <a:satOff val="-5097"/>
            <a:lumOff val="-1960"/>
            <a:alpha val="100000"/>
          </a:srgbClr>
        </a:fillRef>
        <a:effectRef idx="2">
          <a:scrgbClr r="0" g="0" b="0"/>
        </a:effectRef>
        <a:fontRef idx="minor">
          <a:sysClr val="window" lastClr="FFFFFF"/>
        </a:fontRef>
      </dsp:style>
      <dsp:txXfrm>
        <a:off x="2185463" y="2161459"/>
        <a:ext cx="1876643" cy="1876737"/>
      </dsp:txXfrm>
    </dsp:sp>
    <dsp:sp modelId="{32DA6570-A550-449D-B083-140F1D7AA48B}">
      <dsp:nvSpPr>
        <dsp:cNvPr id="10" name="矩形 9"/>
        <dsp:cNvSpPr/>
      </dsp:nvSpPr>
      <dsp:spPr bwMode="white">
        <a:xfrm>
          <a:off x="4059290" y="2718180"/>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所在机构评价</a:t>
          </a:r>
          <a:endParaRPr lang="zh-CN" altLang="en-US" sz="110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a:solidFill>
                <a:sysClr val="windowText" lastClr="000000"/>
              </a:solidFill>
              <a:latin typeface="微软雅黑 Light" panose="020B0502040204020203" pitchFamily="2" charset="-122"/>
              <a:ea typeface="微软雅黑 Light" panose="020B0502040204020203" pitchFamily="2" charset="-122"/>
            </a:rPr>
            <a:t>多点机构评价</a:t>
          </a:r>
          <a:endParaRPr>
            <a:solidFill>
              <a:sysClr val="windowText" lastClr="000000"/>
            </a:solidFill>
          </a:endParaRPr>
        </a:p>
      </dsp:txBody>
      <dsp:txXfrm>
        <a:off x="4059290" y="2718180"/>
        <a:ext cx="1125071" cy="746333"/>
      </dsp:txXfrm>
    </dsp:sp>
    <dsp:sp modelId="{9FA207C8-A4CD-4F5F-97D2-FE86028BBA4A}">
      <dsp:nvSpPr>
        <dsp:cNvPr id="11" name="矩形 10"/>
        <dsp:cNvSpPr/>
      </dsp:nvSpPr>
      <dsp:spPr bwMode="white">
        <a:xfrm>
          <a:off x="2599796" y="2840549"/>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机构评价（执业道德、工作业绩）</a:t>
          </a:r>
          <a:endParaRPr>
            <a:solidFill>
              <a:sysClr val="windowText" lastClr="000000"/>
            </a:solidFill>
          </a:endParaRPr>
        </a:p>
      </dsp:txBody>
      <dsp:txXfrm>
        <a:off x="2599796" y="2840549"/>
        <a:ext cx="1047273" cy="523403"/>
      </dsp:txXfrm>
    </dsp:sp>
    <dsp:sp modelId="{6E535CF1-A027-4FC9-BC1E-F9F3CA48756D}">
      <dsp:nvSpPr>
        <dsp:cNvPr id="12" name="形状 11"/>
        <dsp:cNvSpPr/>
      </dsp:nvSpPr>
      <dsp:spPr bwMode="white">
        <a:xfrm>
          <a:off x="1664115" y="3241582"/>
          <a:ext cx="1876643" cy="1876737"/>
        </a:xfrm>
        <a:prstGeom prst="leftCircularArrow">
          <a:avLst>
            <a:gd name="adj1" fmla="val 10980"/>
            <a:gd name="adj2" fmla="val 1142322"/>
            <a:gd name="adj3" fmla="val 6300000"/>
            <a:gd name="adj4" fmla="val 18900000"/>
            <a:gd name="adj5" fmla="val 12500"/>
          </a:avLst>
        </a:prstGeom>
      </dsp:spPr>
      <dsp:style>
        <a:lnRef idx="0">
          <a:sysClr val="window" lastClr="FFFFFF"/>
        </a:lnRef>
        <a:fillRef idx="3">
          <a:srgbClr val="4472C4">
            <a:hueOff val="-5535000"/>
            <a:satOff val="-7646"/>
            <a:lumOff val="-2940"/>
            <a:alpha val="100000"/>
          </a:srgbClr>
        </a:fillRef>
        <a:effectRef idx="2">
          <a:scrgbClr r="0" g="0" b="0"/>
        </a:effectRef>
        <a:fontRef idx="minor">
          <a:sysClr val="window" lastClr="FFFFFF"/>
        </a:fontRef>
      </dsp:style>
      <dsp:txXfrm>
        <a:off x="1664115" y="3241582"/>
        <a:ext cx="1876643" cy="1876737"/>
      </dsp:txXfrm>
    </dsp:sp>
    <dsp:sp modelId="{F33334AF-5512-493D-8099-CC4004DDC0D2}">
      <dsp:nvSpPr>
        <dsp:cNvPr id="13" name="矩形 12"/>
        <dsp:cNvSpPr/>
      </dsp:nvSpPr>
      <dsp:spPr bwMode="white">
        <a:xfrm>
          <a:off x="3546742" y="3798909"/>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参考进度跟踪</a:t>
          </a:r>
          <a:endParaRPr>
            <a:solidFill>
              <a:sysClr val="windowText" lastClr="000000"/>
            </a:solidFill>
          </a:endParaRPr>
        </a:p>
      </dsp:txBody>
      <dsp:txXfrm>
        <a:off x="3546742" y="3798909"/>
        <a:ext cx="1125071" cy="746333"/>
      </dsp:txXfrm>
    </dsp:sp>
    <dsp:sp modelId="{BCC1CE6C-A110-4466-BD00-E58AC02B9DD3}">
      <dsp:nvSpPr>
        <dsp:cNvPr id="14" name="矩形 13"/>
        <dsp:cNvSpPr/>
      </dsp:nvSpPr>
      <dsp:spPr bwMode="white">
        <a:xfrm>
          <a:off x="2076335" y="3921279"/>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业务水平测评</a:t>
          </a:r>
          <a:endParaRPr>
            <a:solidFill>
              <a:sysClr val="windowText" lastClr="000000"/>
            </a:solidFill>
          </a:endParaRPr>
        </a:p>
      </dsp:txBody>
      <dsp:txXfrm>
        <a:off x="2076335" y="3921279"/>
        <a:ext cx="1047273" cy="523403"/>
      </dsp:txXfrm>
    </dsp:sp>
    <dsp:sp modelId="{710AD4A0-656B-4897-830B-FF1188C41E12}">
      <dsp:nvSpPr>
        <dsp:cNvPr id="15" name="空心弧 14"/>
        <dsp:cNvSpPr/>
      </dsp:nvSpPr>
      <dsp:spPr bwMode="white">
        <a:xfrm>
          <a:off x="2318880" y="4444681"/>
          <a:ext cx="1612273" cy="1613219"/>
        </a:xfrm>
        <a:prstGeom prst="blockArc">
          <a:avLst>
            <a:gd name="adj1" fmla="val 13500000"/>
            <a:gd name="adj2" fmla="val 10800000"/>
            <a:gd name="adj3" fmla="val 12740"/>
          </a:avLst>
        </a:prstGeom>
      </dsp:spPr>
      <dsp:style>
        <a:lnRef idx="0">
          <a:sysClr val="window" lastClr="FFFFFF"/>
        </a:lnRef>
        <a:fillRef idx="3">
          <a:srgbClr val="4472C4">
            <a:hueOff val="-7380000"/>
            <a:satOff val="-10195"/>
            <a:lumOff val="-3921"/>
            <a:alpha val="100000"/>
          </a:srgbClr>
        </a:fillRef>
        <a:effectRef idx="2">
          <a:scrgbClr r="0" g="0" b="0"/>
        </a:effectRef>
        <a:fontRef idx="minor">
          <a:sysClr val="window" lastClr="FFFFFF"/>
        </a:fontRef>
      </dsp:style>
      <dsp:txXfrm>
        <a:off x="2318880" y="4444681"/>
        <a:ext cx="1612273" cy="1613219"/>
      </dsp:txXfrm>
    </dsp:sp>
    <dsp:sp modelId="{2F1C14F1-5105-46C4-9E25-07817A5121E5}">
      <dsp:nvSpPr>
        <dsp:cNvPr id="16" name="矩形 15"/>
        <dsp:cNvSpPr/>
      </dsp:nvSpPr>
      <dsp:spPr bwMode="white">
        <a:xfrm>
          <a:off x="4059290" y="4890543"/>
          <a:ext cx="1125071" cy="74633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6985" tIns="6985" rIns="6985" bIns="6985" anchor="ctr"/>
        <a:lstStyle>
          <a:lvl1pPr algn="l">
            <a:defRPr sz="6500"/>
          </a:lvl1pPr>
          <a:lvl2pPr marL="285750" indent="-285750" algn="l">
            <a:defRPr sz="5000"/>
          </a:lvl2pPr>
          <a:lvl3pPr marL="571500" indent="-285750" algn="l">
            <a:defRPr sz="5000"/>
          </a:lvl3pPr>
          <a:lvl4pPr marL="857250" indent="-285750" algn="l">
            <a:defRPr sz="5000"/>
          </a:lvl4pPr>
          <a:lvl5pPr marL="1143000" indent="-285750" algn="l">
            <a:defRPr sz="5000"/>
          </a:lvl5pPr>
          <a:lvl6pPr marL="1428750" indent="-285750" algn="l">
            <a:defRPr sz="5000"/>
          </a:lvl6pPr>
          <a:lvl7pPr marL="1714500" indent="-285750" algn="l">
            <a:defRPr sz="5000"/>
          </a:lvl7pPr>
          <a:lvl8pPr marL="2000250" indent="-285750" algn="l">
            <a:defRPr sz="5000"/>
          </a:lvl8pPr>
          <a:lvl9pPr marL="2286000" indent="-285750" algn="l">
            <a:defRPr sz="5000"/>
          </a:lvl9pPr>
        </a:lstStyle>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考核结果汇总</a:t>
          </a:r>
          <a:endParaRPr lang="zh-CN" altLang="en-US" sz="1100" b="0">
            <a:solidFill>
              <a:sysClr val="windowText" lastClr="000000"/>
            </a:solidFill>
            <a:latin typeface="微软雅黑 Light" panose="020B0502040204020203" pitchFamily="2" charset="-122"/>
            <a:ea typeface="微软雅黑 Light" panose="020B0502040204020203" pitchFamily="2" charset="-122"/>
          </a:endParaRPr>
        </a:p>
        <a:p>
          <a:pPr marL="57150" lvl="1" indent="-57150">
            <a:lnSpc>
              <a:spcPct val="100000"/>
            </a:lnSpc>
            <a:spcBef>
              <a:spcPct val="0"/>
            </a:spcBef>
            <a:spcAft>
              <a:spcPct val="15000"/>
            </a:spcAft>
            <a:buChar char="•"/>
          </a:pPr>
          <a:r>
            <a:rPr lang="zh-CN" altLang="en-US" sz="1100" b="0">
              <a:solidFill>
                <a:sysClr val="windowText" lastClr="000000"/>
              </a:solidFill>
              <a:latin typeface="微软雅黑 Light" panose="020B0502040204020203" pitchFamily="2" charset="-122"/>
              <a:ea typeface="微软雅黑 Light" panose="020B0502040204020203" pitchFamily="2" charset="-122"/>
            </a:rPr>
            <a:t>违规违法情况处理</a:t>
          </a:r>
          <a:endParaRPr>
            <a:solidFill>
              <a:sysClr val="windowText" lastClr="000000"/>
            </a:solidFill>
          </a:endParaRPr>
        </a:p>
      </dsp:txBody>
      <dsp:txXfrm>
        <a:off x="4059290" y="4890543"/>
        <a:ext cx="1125071" cy="746333"/>
      </dsp:txXfrm>
    </dsp:sp>
    <dsp:sp modelId="{F33E63CF-0CDC-44A4-BAB8-F1B52F601A09}">
      <dsp:nvSpPr>
        <dsp:cNvPr id="17" name="矩形 16"/>
        <dsp:cNvSpPr/>
      </dsp:nvSpPr>
      <dsp:spPr bwMode="white">
        <a:xfrm>
          <a:off x="2599796" y="5002008"/>
          <a:ext cx="1047273" cy="523403"/>
        </a:xfrm>
        <a:prstGeom prst="rect">
          <a:avLst/>
        </a:prstGeom>
      </dsp:spPr>
      <dsp:style>
        <a:lnRef idx="0">
          <a:sysClr val="windowText" lastClr="000000">
            <a:alpha val="0"/>
          </a:sysClr>
        </a:lnRef>
        <a:fillRef idx="0">
          <a:sysClr val="window" lastClr="FFFFFF">
            <a:alpha val="0"/>
          </a:sysClr>
        </a:fillRef>
        <a:effectRef idx="0">
          <a:scrgbClr r="0" g="0" b="0"/>
        </a:effectRef>
        <a:fontRef idx="minor"/>
      </dsp:style>
      <dsp:txBody>
        <a:bodyPr lIns="7620" tIns="7620" rIns="7620" bIns="762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200" b="1">
              <a:solidFill>
                <a:sysClr val="windowText" lastClr="000000"/>
              </a:solidFill>
              <a:latin typeface="微软雅黑 Light" panose="020B0502040204020203" pitchFamily="2" charset="-122"/>
              <a:ea typeface="微软雅黑 Light" panose="020B0502040204020203" pitchFamily="2" charset="-122"/>
            </a:rPr>
            <a:t>考核结果汇总</a:t>
          </a:r>
          <a:endParaRPr>
            <a:solidFill>
              <a:sysClr val="windowText" lastClr="000000"/>
            </a:solidFill>
          </a:endParaRPr>
        </a:p>
      </dsp:txBody>
      <dsp:txXfrm>
        <a:off x="2599796" y="5002008"/>
        <a:ext cx="1047273" cy="52340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ysClr val="window" lastClr="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ysClr val="window" lastClr="FFFFFF"/>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ysClr val="windowText" lastClr="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36</Pages>
  <Words>6026</Words>
  <Characters>6596</Characters>
  <Lines>1</Lines>
  <Paragraphs>1</Paragraphs>
  <TotalTime>21</TotalTime>
  <ScaleCrop>false</ScaleCrop>
  <LinksUpToDate>false</LinksUpToDate>
  <CharactersWithSpaces>6720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2019-03-22T04:32:00Z</dcterms:created>
  <dc:creator>Admin</dc:creator>
  <cp:lastModifiedBy>thtf</cp:lastModifiedBy>
  <cp:lastPrinted>2019-03-22T04:33:00Z</cp:lastPrinted>
  <dcterms:modified xsi:type="dcterms:W3CDTF">2026-03-03T17:51:53Z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KSOTemplateDocerSaveRecord">
    <vt:lpwstr>eyJoZGlkIjoiNGYzMGJjODZiZjI5NTZmZTZjYTdkODQ2NzA0NTExM2YiLCJ1c2VySWQiOiIxNjU2OTU1NzcxIn0=</vt:lpwstr>
  </property>
  <property fmtid="{D5CDD505-2E9C-101B-9397-08002B2CF9AE}" pid="4" name="ICV">
    <vt:lpwstr>66ACFD1C4A1646029142289C334D11F1_12</vt:lpwstr>
  </property>
</Properties>
</file>