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2CE6B2">
      <w:pPr>
        <w:spacing w:line="790" w:lineRule="exact"/>
        <w:jc w:val="center"/>
        <w:rPr>
          <w:rFonts w:ascii="华文中宋" w:hAnsi="华文中宋" w:eastAsia="华文中宋"/>
          <w:b/>
          <w:color w:val="FF0000"/>
          <w:spacing w:val="30"/>
          <w:sz w:val="30"/>
          <w:szCs w:val="30"/>
        </w:rPr>
      </w:pPr>
    </w:p>
    <w:p w14:paraId="175BB10E">
      <w:pPr>
        <w:spacing w:line="790" w:lineRule="exact"/>
        <w:jc w:val="center"/>
        <w:rPr>
          <w:rFonts w:ascii="华文中宋" w:hAnsi="华文中宋" w:eastAsia="华文中宋"/>
          <w:b/>
          <w:color w:val="FF0000"/>
          <w:spacing w:val="30"/>
          <w:sz w:val="30"/>
          <w:szCs w:val="30"/>
        </w:rPr>
      </w:pPr>
    </w:p>
    <w:p w14:paraId="690D4B15">
      <w:pPr>
        <w:jc w:val="distribute"/>
        <w:rPr>
          <w:rFonts w:ascii="方正小标宋简体" w:hAnsi="宋体" w:eastAsia="方正小标宋简体"/>
          <w:color w:val="FF0000"/>
          <w:spacing w:val="-20"/>
          <w:w w:val="60"/>
          <w:sz w:val="100"/>
          <w:szCs w:val="100"/>
        </w:rPr>
      </w:pPr>
      <w:r>
        <w:rPr>
          <w:rFonts w:hint="eastAsia" w:ascii="方正小标宋简体" w:hAnsi="宋体" w:eastAsia="方正小标宋简体"/>
          <w:color w:val="FF0000"/>
          <w:spacing w:val="-20"/>
          <w:w w:val="60"/>
          <w:sz w:val="100"/>
          <w:szCs w:val="100"/>
        </w:rPr>
        <w:t>北京市大兴区卫生健康委员会文件</w:t>
      </w:r>
    </w:p>
    <w:p w14:paraId="05905145">
      <w:pPr>
        <w:spacing w:line="560" w:lineRule="exact"/>
        <w:jc w:val="center"/>
        <w:rPr>
          <w:rFonts w:hint="eastAsia" w:ascii="仿宋_GB2312" w:hAnsi="仿宋" w:eastAsia="仿宋_GB2312"/>
          <w:sz w:val="32"/>
          <w:szCs w:val="32"/>
        </w:rPr>
      </w:pPr>
    </w:p>
    <w:p w14:paraId="4696E48E">
      <w:pPr>
        <w:spacing w:line="560" w:lineRule="exact"/>
        <w:jc w:val="center"/>
        <w:rPr>
          <w:rFonts w:ascii="仿宋_GB2312" w:hAnsi="仿宋" w:eastAsia="仿宋_GB2312"/>
          <w:sz w:val="32"/>
          <w:szCs w:val="32"/>
        </w:rPr>
      </w:pPr>
    </w:p>
    <w:p w14:paraId="2907FB20">
      <w:pPr>
        <w:widowControl/>
        <w:jc w:val="center"/>
        <w:rPr>
          <w:rFonts w:ascii="仿宋_GB2312" w:hAnsi="华文中宋" w:eastAsia="仿宋_GB2312"/>
          <w:sz w:val="32"/>
          <w:szCs w:val="32"/>
        </w:rPr>
      </w:pPr>
      <w:r>
        <w:rPr>
          <w:rFonts w:ascii="仿宋_GB2312" w:hAnsi="华文中宋" w:eastAsia="仿宋_GB2312"/>
          <w:sz w:val="32"/>
          <w:szCs w:val="32"/>
        </w:rPr>
        <w:t>京兴政卫发〔20</w:t>
      </w:r>
      <w:r>
        <w:rPr>
          <w:rFonts w:hint="eastAsia" w:ascii="仿宋_GB2312" w:hAnsi="华文中宋" w:eastAsia="仿宋_GB2312"/>
          <w:sz w:val="32"/>
          <w:szCs w:val="32"/>
          <w:lang w:val="en-US" w:eastAsia="zh-CN"/>
        </w:rPr>
        <w:t>26</w:t>
      </w:r>
      <w:r>
        <w:rPr>
          <w:rFonts w:ascii="仿宋_GB2312" w:hAnsi="华文中宋" w:eastAsia="仿宋_GB2312"/>
          <w:sz w:val="32"/>
          <w:szCs w:val="32"/>
        </w:rPr>
        <w:t>〕</w:t>
      </w:r>
      <w:r>
        <w:rPr>
          <w:rFonts w:hint="eastAsia" w:ascii="仿宋_GB2312" w:hAnsi="华文中宋" w:eastAsia="仿宋_GB2312"/>
          <w:sz w:val="32"/>
          <w:szCs w:val="32"/>
          <w:lang w:val="en-US" w:eastAsia="zh-CN"/>
        </w:rPr>
        <w:t>13</w:t>
      </w:r>
      <w:r>
        <w:rPr>
          <w:rFonts w:ascii="仿宋_GB2312" w:hAnsi="华文中宋" w:eastAsia="仿宋_GB2312"/>
          <w:sz w:val="32"/>
          <w:szCs w:val="32"/>
        </w:rPr>
        <w:t>号</w:t>
      </w:r>
    </w:p>
    <w:p w14:paraId="1B9643E7">
      <w:pPr>
        <w:spacing w:line="540" w:lineRule="exact"/>
        <w:jc w:val="center"/>
        <w:rPr>
          <w:rFonts w:ascii="仿宋_GB2312" w:hAnsi="仿宋" w:eastAsia="仿宋_GB2312"/>
          <w:sz w:val="32"/>
          <w:szCs w:val="32"/>
        </w:rPr>
      </w:pPr>
      <w:r>
        <w:rPr>
          <w:rFonts w:ascii="方正小标宋简体" w:hAnsi="华文中宋" w:eastAsia="方正小标宋简体"/>
          <w:sz w:val="36"/>
          <w:szCs w:val="36"/>
        </w:rPr>
        <mc:AlternateContent>
          <mc:Choice Requires="wps">
            <w:drawing>
              <wp:anchor distT="0" distB="0" distL="114300" distR="114300" simplePos="0" relativeHeight="251660288" behindDoc="0" locked="0" layoutInCell="1" allowOverlap="1">
                <wp:simplePos x="0" y="0"/>
                <wp:positionH relativeFrom="column">
                  <wp:posOffset>2540</wp:posOffset>
                </wp:positionH>
                <wp:positionV relativeFrom="paragraph">
                  <wp:posOffset>32385</wp:posOffset>
                </wp:positionV>
                <wp:extent cx="5600700" cy="0"/>
                <wp:effectExtent l="0" t="9525" r="0" b="9525"/>
                <wp:wrapNone/>
                <wp:docPr id="1" name="直线 2"/>
                <wp:cNvGraphicFramePr/>
                <a:graphic xmlns:a="http://schemas.openxmlformats.org/drawingml/2006/main">
                  <a:graphicData uri="http://schemas.microsoft.com/office/word/2010/wordprocessingShape">
                    <wps:wsp>
                      <wps:cNvCnPr/>
                      <wps:spPr>
                        <a:xfrm>
                          <a:off x="0" y="0"/>
                          <a:ext cx="560070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0.2pt;margin-top:2.55pt;height:0pt;width:441pt;z-index:251660288;mso-width-relative:page;mso-height-relative:page;" filled="f" stroked="t" coordsize="21600,21600" o:gfxdata="UEsDBAoAAAAAAIdO4kAAAAAAAAAAAAAAAAAEAAAAZHJzL1BLAwQUAAAACACHTuJAxxt7/NMAAAAE&#10;AQAADwAAAGRycy9kb3ducmV2LnhtbE2OwU7DMBBE70j8g7VI3KiTCkIU4vQQCZUDUtXAAW5uvE2i&#10;2usodpvw9yxc4Pg0o5lXbhZnxQWnMHhSkK4SEEitNwN1Ct7fnu9yECFqMtp6QgVfGGBTXV+VujB+&#10;pj1emtgJHqFQaAV9jGMhZWh7dDqs/IjE2dFPTkfGqZNm0jOPOyvXSZJJpwfih16PWPfYnpqzU/Cx&#10;2+7G17rO/Mvndl66LG32j1ap25s0eQIRcYl/ZfjRZ3Wo2Ongz2SCsAruuafgIQXBYZ6vmQ+/LKtS&#10;/pevvgFQSwMEFAAAAAgAh07iQPwIXcLpAQAA3AMAAA4AAABkcnMvZTJvRG9jLnhtbK1TS44TMRDd&#10;I3EHy3vSnUgzQCudWUwIGwSRYA5Q8afbkn9yOenkLFyDFRuOM9eg3J3JwLDJgl64y67yq3qvysu7&#10;o7PsoBKa4Fs+n9WcKS+CNL5r+cO3zZt3nGEGL8EGr1p+UsjvVq9fLYfYqEXog5UqMQLx2Ayx5X3O&#10;sakqFL1ygLMQlSenDslBpm3qKplgIHRnq0Vd31ZDSDKmIBQina4nJz8jpmsAg9ZGqHUQe6d8nlCT&#10;spCJEvYmIl+N1WqtRP6iNarMbMuJaR5XSkL2rqzVaglNlyD2RpxLgGtKeMHJgfGU9AK1hgxsn8w/&#10;UM6IFDDoPBPBVRORURFiMa9faPO1h6hGLiQ1xovo+P9gxefDNjEjaRI48+Co4Y/ffzz+/MUWRZsh&#10;YkMh936bzjuM21SIHnVy5U8U2HHU83TRUx0zE3R4c1vXb2uSWjz5queLMWH+qIJjxWi5Nb5QhQYO&#10;nzBTMgp9CinH1rOBinxf3xQ8oMHT1HAyXaTi0XfjZQzWyI2xtlzB1O3ubWIHoOZvNjV9hRMB/xVW&#10;sqwB+yludE1j0SuQH7xk+RRJFk+vgZcanJKcWUWPp1gECE0GY6+JpNTWUwVF1knIYu2CPFET9jGZ&#10;ricp5mOVxUNNH+s9D2iZqj/3I9Lzo1z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cbe/zTAAAA&#10;BAEAAA8AAAAAAAAAAQAgAAAAIgAAAGRycy9kb3ducmV2LnhtbFBLAQIUABQAAAAIAIdO4kD8CF3C&#10;6QEAANwDAAAOAAAAAAAAAAEAIAAAACIBAABkcnMvZTJvRG9jLnhtbFBLBQYAAAAABgAGAFkBAAB9&#10;BQAAAAA=&#10;">
                <v:fill on="f" focussize="0,0"/>
                <v:stroke weight="1.5pt" color="#FF0000" joinstyle="round"/>
                <v:imagedata o:title=""/>
                <o:lock v:ext="edit" aspectratio="f"/>
              </v:line>
            </w:pict>
          </mc:Fallback>
        </mc:AlternateContent>
      </w:r>
    </w:p>
    <w:p w14:paraId="4709C781">
      <w:pPr>
        <w:spacing w:line="540" w:lineRule="exact"/>
        <w:jc w:val="center"/>
        <w:rPr>
          <w:rFonts w:ascii="仿宋_GB2312" w:hAnsi="仿宋" w:eastAsia="仿宋_GB2312"/>
          <w:sz w:val="32"/>
          <w:szCs w:val="32"/>
        </w:rPr>
      </w:pPr>
    </w:p>
    <w:p w14:paraId="62AD6B68">
      <w:pPr>
        <w:spacing w:line="540" w:lineRule="exact"/>
        <w:jc w:val="center"/>
        <w:rPr>
          <w:rFonts w:ascii="方正小标宋简体" w:hAnsi="华文中宋" w:eastAsia="方正小标宋简体"/>
          <w:w w:val="97"/>
          <w:sz w:val="44"/>
          <w:szCs w:val="44"/>
        </w:rPr>
      </w:pPr>
      <w:r>
        <w:rPr>
          <w:rFonts w:hint="eastAsia" w:ascii="方正小标宋简体" w:hAnsi="华文中宋" w:eastAsia="方正小标宋简体"/>
          <w:w w:val="97"/>
          <w:sz w:val="44"/>
          <w:szCs w:val="44"/>
        </w:rPr>
        <w:t>北京市大兴区卫生健康委员会</w:t>
      </w:r>
    </w:p>
    <w:p w14:paraId="5FD433F6">
      <w:pPr>
        <w:spacing w:line="540" w:lineRule="exact"/>
        <w:jc w:val="center"/>
        <w:rPr>
          <w:rFonts w:ascii="方正小标宋简体" w:hAnsi="华文中宋" w:eastAsia="方正小标宋简体"/>
          <w:w w:val="97"/>
          <w:sz w:val="44"/>
          <w:szCs w:val="44"/>
        </w:rPr>
      </w:pPr>
      <w:r>
        <w:rPr>
          <w:rFonts w:hint="eastAsia" w:ascii="方正小标宋简体" w:hAnsi="华文中宋" w:eastAsia="方正小标宋简体"/>
          <w:w w:val="97"/>
          <w:sz w:val="44"/>
          <w:szCs w:val="44"/>
        </w:rPr>
        <w:t>关于</w:t>
      </w:r>
      <w:r>
        <w:rPr>
          <w:rFonts w:hint="eastAsia" w:ascii="方正小标宋简体" w:hAnsi="华文中宋" w:eastAsia="方正小标宋简体"/>
          <w:w w:val="97"/>
          <w:sz w:val="44"/>
          <w:szCs w:val="44"/>
          <w:lang w:eastAsia="zh-CN"/>
        </w:rPr>
        <w:t>印发《大兴区</w:t>
      </w:r>
      <w:r>
        <w:rPr>
          <w:rFonts w:hint="eastAsia" w:ascii="方正小标宋简体" w:hAnsi="华文中宋" w:eastAsia="方正小标宋简体"/>
          <w:w w:val="97"/>
          <w:sz w:val="44"/>
          <w:szCs w:val="44"/>
          <w:lang w:val="en-US" w:eastAsia="zh-CN"/>
        </w:rPr>
        <w:t>2026年度医师定期考核工作方案</w:t>
      </w:r>
      <w:r>
        <w:rPr>
          <w:rFonts w:hint="eastAsia" w:ascii="方正小标宋简体" w:hAnsi="华文中宋" w:eastAsia="方正小标宋简体"/>
          <w:w w:val="97"/>
          <w:sz w:val="44"/>
          <w:szCs w:val="44"/>
          <w:lang w:eastAsia="zh-CN"/>
        </w:rPr>
        <w:t>》</w:t>
      </w:r>
      <w:r>
        <w:rPr>
          <w:rFonts w:hint="eastAsia" w:ascii="方正小标宋简体" w:hAnsi="华文中宋" w:eastAsia="方正小标宋简体"/>
          <w:w w:val="97"/>
          <w:sz w:val="44"/>
          <w:szCs w:val="44"/>
        </w:rPr>
        <w:t>的通知</w:t>
      </w:r>
    </w:p>
    <w:p w14:paraId="3C2B70F9">
      <w:pPr>
        <w:spacing w:line="540" w:lineRule="exact"/>
        <w:rPr>
          <w:rFonts w:ascii="华文中宋" w:hAnsi="华文中宋" w:eastAsia="华文中宋"/>
          <w:sz w:val="44"/>
          <w:szCs w:val="44"/>
        </w:rPr>
      </w:pPr>
    </w:p>
    <w:p w14:paraId="066D791F">
      <w:pPr>
        <w:spacing w:line="540" w:lineRule="exact"/>
        <w:rPr>
          <w:rFonts w:ascii="仿宋_GB2312" w:hAnsi="华文中宋" w:eastAsia="仿宋_GB2312"/>
          <w:sz w:val="32"/>
          <w:szCs w:val="32"/>
        </w:rPr>
      </w:pPr>
      <w:r>
        <w:rPr>
          <w:rFonts w:hint="eastAsia" w:ascii="仿宋_GB2312" w:hAnsi="华文中宋" w:eastAsia="仿宋_GB2312"/>
          <w:sz w:val="32"/>
          <w:szCs w:val="32"/>
          <w:lang w:eastAsia="zh-CN"/>
        </w:rPr>
        <w:t>各医疗卫生机构</w:t>
      </w:r>
      <w:r>
        <w:rPr>
          <w:rFonts w:hint="eastAsia" w:ascii="仿宋_GB2312" w:hAnsi="华文中宋" w:eastAsia="仿宋_GB2312"/>
          <w:sz w:val="32"/>
          <w:szCs w:val="32"/>
        </w:rPr>
        <w:t>：</w:t>
      </w:r>
    </w:p>
    <w:p w14:paraId="6B4939CE">
      <w:pPr>
        <w:tabs>
          <w:tab w:val="left" w:pos="2127"/>
          <w:tab w:val="left" w:pos="3828"/>
        </w:tabs>
        <w:spacing w:line="540" w:lineRule="exact"/>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lang w:eastAsia="zh-CN"/>
        </w:rPr>
        <w:t>为严谨有序地开展北京市</w:t>
      </w:r>
      <w:r>
        <w:rPr>
          <w:rFonts w:hint="eastAsia" w:ascii="仿宋_GB2312" w:hAnsi="仿宋" w:eastAsia="仿宋_GB2312"/>
          <w:sz w:val="32"/>
          <w:szCs w:val="32"/>
          <w:lang w:val="en-US" w:eastAsia="zh-CN"/>
        </w:rPr>
        <w:t>2026年度医师定期考核工作，</w:t>
      </w:r>
      <w:r>
        <w:rPr>
          <w:rFonts w:hint="eastAsia" w:ascii="仿宋_GB2312" w:hAnsi="仿宋" w:eastAsia="仿宋_GB2312"/>
          <w:sz w:val="32"/>
          <w:szCs w:val="32"/>
          <w:lang w:eastAsia="zh-CN"/>
        </w:rPr>
        <w:t>加强对执业医师的规范化管理，提高医师素质，切实保障医疗质量和医疗安全，根据《北京市</w:t>
      </w:r>
      <w:r>
        <w:rPr>
          <w:rFonts w:hint="eastAsia" w:ascii="仿宋_GB2312" w:hAnsi="仿宋" w:eastAsia="仿宋_GB2312"/>
          <w:sz w:val="32"/>
          <w:szCs w:val="32"/>
          <w:lang w:val="en-US" w:eastAsia="zh-CN"/>
        </w:rPr>
        <w:t>2026年度医师定期考核工作方案</w:t>
      </w:r>
      <w:r>
        <w:rPr>
          <w:rFonts w:hint="eastAsia" w:ascii="仿宋_GB2312" w:hAnsi="仿宋" w:eastAsia="仿宋_GB2312"/>
          <w:sz w:val="32"/>
          <w:szCs w:val="32"/>
          <w:lang w:eastAsia="zh-CN"/>
        </w:rPr>
        <w:t>》及相关文件要求，区卫生健康委组织制定了《大兴区2026年度医师定期考核工作方案》，现印发给你们，请遵照执行。</w:t>
      </w:r>
    </w:p>
    <w:p w14:paraId="33E09637">
      <w:pPr>
        <w:tabs>
          <w:tab w:val="left" w:pos="2127"/>
          <w:tab w:val="left" w:pos="3828"/>
        </w:tabs>
        <w:spacing w:line="540" w:lineRule="exact"/>
        <w:ind w:firstLine="640" w:firstLineChars="200"/>
        <w:rPr>
          <w:rFonts w:ascii="仿宋_GB2312" w:hAnsi="仿宋" w:eastAsia="仿宋_GB2312"/>
          <w:sz w:val="32"/>
          <w:szCs w:val="32"/>
        </w:rPr>
      </w:pPr>
    </w:p>
    <w:p w14:paraId="1F62A1B8">
      <w:pPr>
        <w:tabs>
          <w:tab w:val="left" w:pos="2127"/>
          <w:tab w:val="left" w:pos="3828"/>
        </w:tabs>
        <w:spacing w:line="540" w:lineRule="exact"/>
        <w:rPr>
          <w:rFonts w:hint="eastAsia" w:ascii="仿宋_GB2312" w:hAnsi="仿宋" w:eastAsia="仿宋_GB2312"/>
          <w:sz w:val="32"/>
          <w:szCs w:val="32"/>
          <w:lang w:eastAsia="zh-CN"/>
        </w:rPr>
      </w:pPr>
    </w:p>
    <w:p w14:paraId="52F6D90F">
      <w:pPr>
        <w:tabs>
          <w:tab w:val="left" w:pos="2127"/>
          <w:tab w:val="left" w:pos="3828"/>
        </w:tabs>
        <w:spacing w:line="540" w:lineRule="exact"/>
        <w:ind w:firstLine="640" w:firstLineChars="200"/>
        <w:rPr>
          <w:rFonts w:hint="eastAsia" w:ascii="仿宋_GB2312" w:hAnsi="仿宋" w:eastAsia="仿宋_GB2312"/>
          <w:sz w:val="32"/>
          <w:szCs w:val="32"/>
          <w:lang w:eastAsia="zh-CN"/>
        </w:rPr>
      </w:pPr>
    </w:p>
    <w:p w14:paraId="0583B2AE">
      <w:pPr>
        <w:spacing w:line="540" w:lineRule="exact"/>
        <w:ind w:firstLine="4320" w:firstLineChars="1350"/>
        <w:rPr>
          <w:rFonts w:ascii="仿宋_GB2312" w:hAnsi="仿宋" w:eastAsia="仿宋_GB2312"/>
          <w:sz w:val="32"/>
          <w:szCs w:val="32"/>
        </w:rPr>
      </w:pPr>
      <w:r>
        <w:rPr>
          <w:rFonts w:hint="eastAsia" w:ascii="仿宋_GB2312" w:hAnsi="仿宋" w:eastAsia="仿宋_GB2312"/>
          <w:sz w:val="32"/>
          <w:szCs w:val="32"/>
        </w:rPr>
        <w:t>北京市大兴区卫生健康委员会</w:t>
      </w:r>
    </w:p>
    <w:p w14:paraId="564C1C9C">
      <w:pPr>
        <w:spacing w:line="540" w:lineRule="exact"/>
        <w:ind w:firstLine="5280" w:firstLineChars="1650"/>
        <w:rPr>
          <w:rFonts w:ascii="仿宋_GB2312" w:hAnsi="仿宋" w:eastAsia="仿宋_GB2312"/>
          <w:sz w:val="32"/>
          <w:szCs w:val="32"/>
        </w:rPr>
      </w:pPr>
      <w:r>
        <w:rPr>
          <w:rFonts w:hint="eastAsia" w:ascii="仿宋_GB2312" w:hAnsi="仿宋" w:eastAsia="仿宋_GB2312"/>
          <w:sz w:val="32"/>
          <w:szCs w:val="32"/>
        </w:rPr>
        <w:t>20</w:t>
      </w:r>
      <w:r>
        <w:rPr>
          <w:rFonts w:hint="eastAsia" w:ascii="仿宋_GB2312" w:hAnsi="仿宋" w:eastAsia="仿宋_GB2312"/>
          <w:sz w:val="32"/>
          <w:szCs w:val="32"/>
          <w:lang w:val="en-US" w:eastAsia="zh-CN"/>
        </w:rPr>
        <w:t>26</w:t>
      </w:r>
      <w:r>
        <w:rPr>
          <w:rFonts w:hint="eastAsia" w:ascii="仿宋_GB2312" w:hAnsi="仿宋" w:eastAsia="仿宋_GB2312"/>
          <w:sz w:val="32"/>
          <w:szCs w:val="32"/>
        </w:rPr>
        <w:t>年</w:t>
      </w:r>
      <w:r>
        <w:rPr>
          <w:rFonts w:hint="eastAsia" w:ascii="仿宋_GB2312" w:hAnsi="仿宋" w:eastAsia="仿宋_GB2312"/>
          <w:sz w:val="32"/>
          <w:szCs w:val="32"/>
          <w:lang w:val="en-US" w:eastAsia="zh-CN"/>
        </w:rPr>
        <w:t>3</w:t>
      </w:r>
      <w:r>
        <w:rPr>
          <w:rFonts w:hint="eastAsia" w:ascii="仿宋_GB2312" w:hAnsi="仿宋" w:eastAsia="仿宋_GB2312"/>
          <w:sz w:val="32"/>
          <w:szCs w:val="32"/>
        </w:rPr>
        <w:t>月</w:t>
      </w:r>
      <w:r>
        <w:rPr>
          <w:rFonts w:hint="eastAsia" w:ascii="仿宋_GB2312" w:hAnsi="仿宋" w:eastAsia="仿宋_GB2312"/>
          <w:sz w:val="32"/>
          <w:szCs w:val="32"/>
          <w:lang w:val="en-US" w:eastAsia="zh-CN"/>
        </w:rPr>
        <w:t>4</w:t>
      </w:r>
      <w:r>
        <w:rPr>
          <w:rFonts w:hint="eastAsia" w:ascii="仿宋_GB2312" w:hAnsi="仿宋" w:eastAsia="仿宋_GB2312"/>
          <w:sz w:val="32"/>
          <w:szCs w:val="32"/>
        </w:rPr>
        <w:t>日</w:t>
      </w:r>
    </w:p>
    <w:p w14:paraId="5995C4E6">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（联系人：</w:t>
      </w:r>
      <w:r>
        <w:rPr>
          <w:rFonts w:hint="eastAsia" w:ascii="仿宋_GB2312" w:hAnsi="华文中宋" w:eastAsia="仿宋_GB2312"/>
          <w:w w:val="97"/>
          <w:sz w:val="32"/>
          <w:szCs w:val="32"/>
          <w:lang w:eastAsia="zh-CN"/>
        </w:rPr>
        <w:t>冯云彬</w:t>
      </w:r>
      <w:r>
        <w:rPr>
          <w:rFonts w:hint="eastAsia" w:ascii="仿宋_GB2312" w:hAnsi="仿宋" w:eastAsia="仿宋_GB2312"/>
          <w:sz w:val="32"/>
          <w:szCs w:val="32"/>
        </w:rPr>
        <w:t>；联系电话：</w:t>
      </w:r>
      <w:r>
        <w:rPr>
          <w:rFonts w:hint="eastAsia" w:ascii="仿宋_GB2312" w:hAnsi="华文中宋" w:eastAsia="仿宋_GB2312"/>
          <w:w w:val="97"/>
          <w:sz w:val="32"/>
          <w:szCs w:val="32"/>
          <w:lang w:val="en-US" w:eastAsia="zh-CN"/>
        </w:rPr>
        <w:t>61211687</w:t>
      </w:r>
      <w:r>
        <w:rPr>
          <w:rFonts w:hint="eastAsia" w:ascii="仿宋_GB2312" w:hAnsi="仿宋" w:eastAsia="仿宋_GB2312"/>
          <w:sz w:val="32"/>
          <w:szCs w:val="32"/>
        </w:rPr>
        <w:t>）</w:t>
      </w:r>
    </w:p>
    <w:p w14:paraId="116364B8">
      <w:pPr>
        <w:spacing w:line="560" w:lineRule="exact"/>
        <w:ind w:firstLine="640" w:firstLineChars="200"/>
        <w:rPr>
          <w:rFonts w:hint="eastAsia" w:ascii="仿宋_GB2312" w:hAnsi="仿宋" w:eastAsia="仿宋_GB2312"/>
          <w:sz w:val="32"/>
          <w:szCs w:val="32"/>
        </w:rPr>
      </w:pPr>
    </w:p>
    <w:p w14:paraId="54C6FDFA">
      <w:pPr>
        <w:spacing w:line="560" w:lineRule="exact"/>
        <w:ind w:firstLine="640" w:firstLineChars="200"/>
        <w:rPr>
          <w:rFonts w:hint="eastAsia" w:ascii="仿宋_GB2312" w:hAnsi="仿宋" w:eastAsia="仿宋_GB2312"/>
          <w:sz w:val="32"/>
          <w:szCs w:val="32"/>
        </w:rPr>
      </w:pPr>
    </w:p>
    <w:p w14:paraId="50CA6CC9">
      <w:pPr>
        <w:spacing w:line="560" w:lineRule="exact"/>
        <w:ind w:firstLine="640" w:firstLineChars="200"/>
        <w:rPr>
          <w:rFonts w:hint="eastAsia" w:ascii="仿宋_GB2312" w:hAnsi="仿宋" w:eastAsia="仿宋_GB2312"/>
          <w:sz w:val="32"/>
          <w:szCs w:val="32"/>
        </w:rPr>
      </w:pPr>
    </w:p>
    <w:p w14:paraId="52E03171">
      <w:pPr>
        <w:spacing w:line="560" w:lineRule="exact"/>
        <w:ind w:firstLine="640" w:firstLineChars="200"/>
        <w:rPr>
          <w:rFonts w:hint="eastAsia" w:ascii="仿宋_GB2312" w:hAnsi="仿宋" w:eastAsia="仿宋_GB2312"/>
          <w:sz w:val="32"/>
          <w:szCs w:val="32"/>
        </w:rPr>
      </w:pPr>
    </w:p>
    <w:p w14:paraId="72D07AE5">
      <w:pPr>
        <w:spacing w:line="560" w:lineRule="exact"/>
        <w:ind w:firstLine="640" w:firstLineChars="200"/>
        <w:rPr>
          <w:rFonts w:hint="eastAsia" w:ascii="仿宋_GB2312" w:hAnsi="仿宋" w:eastAsia="仿宋_GB2312"/>
          <w:sz w:val="32"/>
          <w:szCs w:val="32"/>
        </w:rPr>
      </w:pPr>
    </w:p>
    <w:p w14:paraId="1D7FE590">
      <w:pPr>
        <w:spacing w:line="560" w:lineRule="exact"/>
        <w:ind w:firstLine="640" w:firstLineChars="200"/>
        <w:rPr>
          <w:rFonts w:hint="eastAsia" w:ascii="仿宋_GB2312" w:hAnsi="仿宋" w:eastAsia="仿宋_GB2312"/>
          <w:sz w:val="32"/>
          <w:szCs w:val="32"/>
        </w:rPr>
      </w:pPr>
    </w:p>
    <w:p w14:paraId="2C9F7054">
      <w:pPr>
        <w:spacing w:line="560" w:lineRule="exact"/>
        <w:ind w:firstLine="640" w:firstLineChars="200"/>
        <w:rPr>
          <w:rFonts w:hint="eastAsia" w:ascii="仿宋_GB2312" w:hAnsi="仿宋" w:eastAsia="仿宋_GB2312"/>
          <w:sz w:val="32"/>
          <w:szCs w:val="32"/>
        </w:rPr>
      </w:pPr>
    </w:p>
    <w:p w14:paraId="0FCB121A">
      <w:pPr>
        <w:spacing w:line="560" w:lineRule="exact"/>
        <w:ind w:firstLine="640" w:firstLineChars="200"/>
        <w:rPr>
          <w:rFonts w:hint="eastAsia" w:ascii="仿宋_GB2312" w:hAnsi="仿宋" w:eastAsia="仿宋_GB2312"/>
          <w:sz w:val="32"/>
          <w:szCs w:val="32"/>
        </w:rPr>
      </w:pPr>
    </w:p>
    <w:p w14:paraId="6F8BEE0A">
      <w:pPr>
        <w:spacing w:line="560" w:lineRule="exact"/>
        <w:ind w:firstLine="640" w:firstLineChars="200"/>
        <w:rPr>
          <w:rFonts w:hint="eastAsia" w:ascii="仿宋_GB2312" w:hAnsi="仿宋" w:eastAsia="仿宋_GB2312"/>
          <w:sz w:val="32"/>
          <w:szCs w:val="32"/>
        </w:rPr>
      </w:pPr>
    </w:p>
    <w:p w14:paraId="784B74EC">
      <w:pPr>
        <w:spacing w:line="560" w:lineRule="exact"/>
        <w:ind w:firstLine="640" w:firstLineChars="200"/>
        <w:rPr>
          <w:rFonts w:hint="eastAsia" w:ascii="仿宋_GB2312" w:hAnsi="仿宋" w:eastAsia="仿宋_GB2312"/>
          <w:sz w:val="32"/>
          <w:szCs w:val="32"/>
        </w:rPr>
      </w:pPr>
    </w:p>
    <w:p w14:paraId="3506C3E8">
      <w:pPr>
        <w:spacing w:line="560" w:lineRule="exact"/>
        <w:ind w:firstLine="640" w:firstLineChars="200"/>
        <w:rPr>
          <w:rFonts w:hint="eastAsia" w:ascii="仿宋_GB2312" w:hAnsi="仿宋" w:eastAsia="仿宋_GB2312"/>
          <w:sz w:val="32"/>
          <w:szCs w:val="32"/>
        </w:rPr>
      </w:pPr>
    </w:p>
    <w:p w14:paraId="127128B8">
      <w:pPr>
        <w:spacing w:line="560" w:lineRule="exact"/>
        <w:ind w:firstLine="640" w:firstLineChars="200"/>
        <w:rPr>
          <w:rFonts w:hint="eastAsia" w:ascii="仿宋_GB2312" w:hAnsi="仿宋" w:eastAsia="仿宋_GB2312"/>
          <w:sz w:val="32"/>
          <w:szCs w:val="32"/>
        </w:rPr>
      </w:pPr>
    </w:p>
    <w:p w14:paraId="2D9DA0DC">
      <w:pPr>
        <w:spacing w:line="560" w:lineRule="exact"/>
        <w:ind w:firstLine="640" w:firstLineChars="200"/>
        <w:rPr>
          <w:rFonts w:hint="eastAsia" w:ascii="仿宋_GB2312" w:hAnsi="仿宋" w:eastAsia="仿宋_GB2312"/>
          <w:sz w:val="32"/>
          <w:szCs w:val="32"/>
        </w:rPr>
      </w:pPr>
    </w:p>
    <w:p w14:paraId="1D5CF9E0">
      <w:pPr>
        <w:spacing w:line="560" w:lineRule="exact"/>
        <w:ind w:firstLine="640" w:firstLineChars="200"/>
        <w:rPr>
          <w:rFonts w:hint="eastAsia" w:ascii="仿宋_GB2312" w:hAnsi="仿宋" w:eastAsia="仿宋_GB2312"/>
          <w:sz w:val="32"/>
          <w:szCs w:val="32"/>
        </w:rPr>
      </w:pPr>
    </w:p>
    <w:p w14:paraId="3F495D5F">
      <w:pPr>
        <w:spacing w:line="560" w:lineRule="exact"/>
        <w:rPr>
          <w:rFonts w:hint="eastAsia" w:ascii="仿宋_GB2312" w:hAnsi="仿宋" w:eastAsia="仿宋_GB2312"/>
          <w:sz w:val="32"/>
          <w:szCs w:val="32"/>
          <w:lang w:val="en-US" w:eastAsia="zh-CN"/>
        </w:rPr>
      </w:pPr>
    </w:p>
    <w:p w14:paraId="377EDD8B">
      <w:pPr>
        <w:spacing w:line="560" w:lineRule="exact"/>
        <w:rPr>
          <w:rFonts w:hint="eastAsia" w:ascii="仿宋_GB2312" w:hAnsi="仿宋" w:eastAsia="仿宋_GB2312"/>
          <w:sz w:val="32"/>
          <w:szCs w:val="32"/>
          <w:lang w:val="en-US" w:eastAsia="zh-CN"/>
        </w:rPr>
      </w:pPr>
    </w:p>
    <w:p w14:paraId="3F71FAA7">
      <w:pPr>
        <w:spacing w:line="560" w:lineRule="exact"/>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p>
    <w:p w14:paraId="3A9F5AA5">
      <w:pPr>
        <w:bidi w:val="0"/>
        <w:jc w:val="left"/>
        <w:rPr>
          <w:rFonts w:hint="default" w:ascii="Times New Roman" w:hAnsi="Times New Roman" w:eastAsia="宋体" w:cs="Times New Roman"/>
          <w:kern w:val="2"/>
          <w:sz w:val="21"/>
          <w:szCs w:val="24"/>
          <w:lang w:val="en-US" w:eastAsia="zh-CN" w:bidi="ar-SA"/>
        </w:rPr>
      </w:pPr>
    </w:p>
    <w:p w14:paraId="3249FCE4">
      <w:pPr>
        <w:spacing w:line="560" w:lineRule="exact"/>
        <w:ind w:firstLine="280" w:firstLineChars="100"/>
        <w:rPr>
          <w:sz w:val="28"/>
          <w:szCs w:val="28"/>
        </w:rPr>
      </w:pPr>
      <w:r>
        <w:rPr>
          <w:rFonts w:ascii="仿宋_GB2312" w:eastAsia="仿宋_GB2312"/>
          <w:sz w:val="28"/>
          <w:szCs w:val="28"/>
        </w:rPr>
        <mc:AlternateContent>
          <mc:Choice Requires="wps">
            <w:drawing>
              <wp:anchor distT="0" distB="0" distL="114300" distR="114300" simplePos="0" relativeHeight="251662336" behindDoc="0" locked="0" layoutInCell="1" allowOverlap="1">
                <wp:simplePos x="0" y="0"/>
                <wp:positionH relativeFrom="column">
                  <wp:posOffset>1905</wp:posOffset>
                </wp:positionH>
                <wp:positionV relativeFrom="paragraph">
                  <wp:posOffset>53340</wp:posOffset>
                </wp:positionV>
                <wp:extent cx="5636895" cy="0"/>
                <wp:effectExtent l="0" t="0" r="0" b="0"/>
                <wp:wrapNone/>
                <wp:docPr id="4" name="自选图形 4"/>
                <wp:cNvGraphicFramePr/>
                <a:graphic xmlns:a="http://schemas.openxmlformats.org/drawingml/2006/main">
                  <a:graphicData uri="http://schemas.microsoft.com/office/word/2010/wordprocessingShape">
                    <wps:wsp>
                      <wps:cNvCnPr/>
                      <wps:spPr>
                        <a:xfrm>
                          <a:off x="0" y="0"/>
                          <a:ext cx="5636895" cy="0"/>
                        </a:xfrm>
                        <a:prstGeom prst="straightConnector1">
                          <a:avLst/>
                        </a:prstGeom>
                        <a:ln w="12600" cap="flat" cmpd="sng">
                          <a:solidFill>
                            <a:srgbClr val="000000"/>
                          </a:solidFill>
                          <a:prstDash val="solid"/>
                          <a:headEnd type="none" w="med" len="med"/>
                          <a:tailEnd type="none" w="med" len="med"/>
                        </a:ln>
                      </wps:spPr>
                      <wps:bodyPr/>
                    </wps:wsp>
                  </a:graphicData>
                </a:graphic>
              </wp:anchor>
            </w:drawing>
          </mc:Choice>
          <mc:Fallback>
            <w:pict>
              <v:shape id="自选图形 4" o:spid="_x0000_s1026" o:spt="32" type="#_x0000_t32" style="position:absolute;left:0pt;margin-left:0.15pt;margin-top:4.2pt;height:0pt;width:443.85pt;z-index:251662336;mso-width-relative:page;mso-height-relative:page;" filled="f" stroked="t" coordsize="21600,21600" o:gfxdata="UEsDBAoAAAAAAIdO4kAAAAAAAAAAAAAAAAAEAAAAZHJzL1BLAwQUAAAACACHTuJAYd/RaNMAAAAE&#10;AQAADwAAAGRycy9kb3ducmV2LnhtbE2PQUvDQBSE74L/YXmCF7GbWpElzaaoUNSjqYEeN8lrNpp9&#10;G7Kbpv57n17qcZhh5ptsc3K9OOIYOk8alosEBFLtm45aDR+77a0CEaKhxvSeUMM3BtjklxeZSRs/&#10;0zsei9gKLqGQGg02xiGVMtQWnQkLPyCxd/CjM5Hl2MpmNDOXu17eJcmDdKYjXrBmwGeL9VcxOQ3T&#10;08v+tZzt/tOvypvHotq+FbtS6+urZbIGEfEUz2H4xWd0yJmp8hM1QfQaVpzToO5BsKmU4mPVn5Z5&#10;Jv/D5z9QSwMEFAAAAAgAh07iQKkIeIX2AQAA5AMAAA4AAABkcnMvZTJvRG9jLnhtbK1TzY7TMBC+&#10;I/EOlu80admtlqjpHlqWC4JKwANMHSex5D95vE1744Z4Bm4ceQd4m5XgLRg73S4slx7IwRnbM9/M&#10;9814cb03mu1kQOVszaeTkjNphWuU7Wr+4f3NsyvOMIJtQDsra36QyK+XT58sBl/JmeudbmRgBGKx&#10;GnzN+xh9VRQoemkAJ85LS5etCwYibUNXNAEGQje6mJXlvBhcaHxwQiLS6Xq85EfEcA6ga1sl5NqJ&#10;WyNtHFGD1BCJEvbKI1/mattWivi2bVFGpmtOTGNeKQnZ27QWywVUXQDfK3EsAc4p4REnA8pS0hPU&#10;GiKw26D+gTJKBIeujRPhTDESyYoQi2n5SJt3PXiZuZDU6E+i4/+DFW92m8BUU/MLziwYavjPT99+&#10;ffx89+XH3fev7CIpNHisyHFlN+G4Q78Jie6+DSb9iQjbZ1UPJ1XlPjJBh5fz5/OrF5ecifu74iHQ&#10;B4yvpDMsGTXHGEB1fVw5a6l3LkyzqrB7jZFSU+B9QMqqLRtohGfzktopgIaxpSEg03gihLbLwei0&#10;am6U1ikEQ7dd6cB2kAYif4khAf/llrKsAfvRL1+No9JLaF7ahsWDJ6ksvRCeajCy4UxLelDJIkCo&#10;Iih9jiel1pYqSCKPsiZr65pDVjufU/NzjcdBTdP15z5HPzzO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39Fo0wAAAAQBAAAPAAAAAAAAAAEAIAAAACIAAABkcnMvZG93bnJldi54bWxQSwECFAAU&#10;AAAACACHTuJAqQh4hfYBAADkAwAADgAAAAAAAAABACAAAAAiAQAAZHJzL2Uyb0RvYy54bWxQSwUG&#10;AAAAAAYABgBZAQAAigUAAAAA&#10;">
                <v:fill on="f" focussize="0,0"/>
                <v:stroke weight="0.992125984251969pt" color="#000000" joinstyle="round"/>
                <v:imagedata o:title=""/>
                <o:lock v:ext="edit" aspectratio="f"/>
              </v:shape>
            </w:pict>
          </mc:Fallback>
        </mc:AlternateContent>
      </w:r>
      <w:r>
        <w:rPr>
          <w:rFonts w:ascii="仿宋_GB2312" w:eastAsia="仿宋_GB2312"/>
          <w:sz w:val="28"/>
          <w:szCs w:val="28"/>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361950</wp:posOffset>
                </wp:positionV>
                <wp:extent cx="5636895" cy="0"/>
                <wp:effectExtent l="0" t="0" r="0" b="0"/>
                <wp:wrapNone/>
                <wp:docPr id="3" name="自选图形 3"/>
                <wp:cNvGraphicFramePr/>
                <a:graphic xmlns:a="http://schemas.openxmlformats.org/drawingml/2006/main">
                  <a:graphicData uri="http://schemas.microsoft.com/office/word/2010/wordprocessingShape">
                    <wps:wsp>
                      <wps:cNvCnPr/>
                      <wps:spPr>
                        <a:xfrm>
                          <a:off x="0" y="0"/>
                          <a:ext cx="5636895" cy="0"/>
                        </a:xfrm>
                        <a:prstGeom prst="straightConnector1">
                          <a:avLst/>
                        </a:prstGeom>
                        <a:ln w="12600"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0.45pt;margin-top:28.5pt;height:0pt;width:443.85pt;z-index:251661312;mso-width-relative:page;mso-height-relative:page;" filled="f" stroked="t" coordsize="21600,21600" o:gfxdata="UEsDBAoAAAAAAIdO4kAAAAAAAAAAAAAAAAAEAAAAZHJzL1BLAwQUAAAACACHTuJAhqSy8NYAAAAH&#10;AQAADwAAAGRycy9kb3ducmV2LnhtbE2PwU7DMBBE70j8g7VIXFDrFEQJIU4FSBVwJCVSj068xIF4&#10;HcVOU/6eRRzguDOj2Tf55uh6ccAxdJ4UrJYJCKTGm45aBW+77SIFEaImo3tPqOALA2yK05NcZ8bP&#10;9IqHMraCSyhkWoGNccikDI1Fp8PSD0jsvfvR6cjn2Eoz6pnLXS8vk2Qtne6IP1g94KPF5rOcnILp&#10;4Wn/XM12/+Gvqov7st6+lLtKqfOzVXIHIuIx/oXhB5/RoWCm2k9kgugVLG45qOD6hhexnaZrXlL/&#10;CrLI5X/+4htQSwMEFAAAAAgAh07iQBfKMvr3AQAA5AMAAA4AAABkcnMvZTJvRG9jLnhtbK1TzW4T&#10;MRC+I/EOlu9k86NGZZVNDwnlgiAS8AATr3fXkv/kcbPJjRviGbhx5B3gbSqVt2DsTVPaXnJgD96x&#10;PfPNfN+MF1d7o9lOBlTOVnwyGnMmrXC1sm3FP3+6fnXJGUawNWhnZcUPEvnV8uWLRe9LOXWd07UM&#10;jEAslr2veBejL4sCRScN4Mh5aemyccFApG1oizpAT+hGF9PxeF70LtQ+OCER6XQ9XPIjYjgH0DWN&#10;EnLtxI2RNg6oQWqIRAk75ZEvc7VNI0X80DQoI9MVJ6Yxr5SE7G1ai+UCyjaA75Q4lgDnlPCEkwFl&#10;KekJag0R2E1Qz6CMEsGha+JIOFMMRLIixGIyfqLNxw68zFxIavQn0fH/wYr3u01gqq74jDMLhhp+&#10;9/Xnny/fbr//vv31g82SQr3HkhxXdhOOO/SbkOjum2DSn4iwfVb1cFJV7iMTdHgxn80vX19wJu7v&#10;iodAHzC+lc6wZFQcYwDVdnHlrKXeuTDJqsLuHUZKTYH3ASmrtqynEZ7Ox9ROATSMDQ0BmcYTIbRt&#10;DkanVX2ttE4hGNrtSge2gzQQ+UsMCfiRW8qyBuwGv3w1jEonoX5jaxYPnqSy9EJ4qsHImjMt6UEl&#10;iwChjKD0OZ6UWluqIIk8yJqsrasPWe18Ts3PNR4HNU3Xv/sc/fA4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qSy8NYAAAAHAQAADwAAAAAAAAABACAAAAAiAAAAZHJzL2Rvd25yZXYueG1sUEsB&#10;AhQAFAAAAAgAh07iQBfKMvr3AQAA5AMAAA4AAAAAAAAAAQAgAAAAJQEAAGRycy9lMm9Eb2MueG1s&#10;UEsFBgAAAAAGAAYAWQEAAI4FAAAAAA==&#10;">
                <v:fill on="f" focussize="0,0"/>
                <v:stroke weight="0.992125984251969pt" color="#000000" joinstyle="round"/>
                <v:imagedata o:title=""/>
                <o:lock v:ext="edit" aspectratio="f"/>
              </v:shape>
            </w:pict>
          </mc:Fallback>
        </mc:AlternateContent>
      </w:r>
      <w:r>
        <w:rPr>
          <w:rFonts w:hint="eastAsia" w:ascii="仿宋_GB2312" w:eastAsia="仿宋_GB2312"/>
          <w:sz w:val="28"/>
          <w:szCs w:val="28"/>
        </w:rPr>
        <w:t>北京市大兴区卫生健康委员会办公室        20</w:t>
      </w:r>
      <w:r>
        <w:rPr>
          <w:rFonts w:hint="eastAsia" w:ascii="仿宋_GB2312" w:eastAsia="仿宋_GB2312"/>
          <w:sz w:val="28"/>
          <w:szCs w:val="28"/>
          <w:lang w:val="en-US" w:eastAsia="zh-CN"/>
        </w:rPr>
        <w:t>26</w:t>
      </w:r>
      <w:r>
        <w:rPr>
          <w:rFonts w:hint="eastAsia" w:ascii="仿宋_GB2312" w:eastAsia="仿宋_GB2312"/>
          <w:sz w:val="28"/>
          <w:szCs w:val="28"/>
        </w:rPr>
        <w:t>年</w:t>
      </w:r>
      <w:r>
        <w:rPr>
          <w:rFonts w:hint="eastAsia" w:ascii="仿宋_GB2312" w:eastAsia="仿宋_GB2312"/>
          <w:sz w:val="28"/>
          <w:szCs w:val="28"/>
          <w:lang w:val="en-US" w:eastAsia="zh-CN"/>
        </w:rPr>
        <w:t>3</w:t>
      </w:r>
      <w:r>
        <w:rPr>
          <w:rFonts w:hint="eastAsia" w:ascii="仿宋_GB2312" w:eastAsia="仿宋_GB2312"/>
          <w:sz w:val="28"/>
          <w:szCs w:val="28"/>
        </w:rPr>
        <w:t>月</w:t>
      </w:r>
      <w:r>
        <w:rPr>
          <w:rFonts w:hint="eastAsia" w:ascii="仿宋_GB2312" w:eastAsia="仿宋_GB2312"/>
          <w:sz w:val="28"/>
          <w:szCs w:val="28"/>
          <w:lang w:val="en-US" w:eastAsia="zh-CN"/>
        </w:rPr>
        <w:t>4</w:t>
      </w:r>
      <w:r>
        <w:rPr>
          <w:rFonts w:hint="eastAsia" w:ascii="仿宋_GB2312" w:eastAsia="仿宋_GB2312"/>
          <w:sz w:val="28"/>
          <w:szCs w:val="28"/>
        </w:rPr>
        <w:t>日印发</w:t>
      </w:r>
    </w:p>
    <w:p w14:paraId="0F89BCB5">
      <w:pPr>
        <w:keepNext w:val="0"/>
        <w:keepLines w:val="0"/>
        <w:pageBreakBefore w:val="0"/>
        <w:kinsoku/>
        <w:wordWrap/>
        <w:overflowPunct/>
        <w:topLinePunct w:val="0"/>
        <w:autoSpaceDE/>
        <w:autoSpaceDN/>
        <w:bidi w:val="0"/>
        <w:spacing w:line="560" w:lineRule="exact"/>
        <w:ind w:right="0" w:rightChars="0" w:firstLine="0" w:firstLineChars="0"/>
        <w:jc w:val="center"/>
        <w:textAlignment w:val="auto"/>
        <w:outlineLvl w:val="9"/>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北京市大兴区</w:t>
      </w:r>
    </w:p>
    <w:p w14:paraId="7DBBA2A4">
      <w:pPr>
        <w:keepNext w:val="0"/>
        <w:keepLines w:val="0"/>
        <w:pageBreakBefore w:val="0"/>
        <w:kinsoku/>
        <w:wordWrap/>
        <w:overflowPunct/>
        <w:topLinePunct w:val="0"/>
        <w:autoSpaceDE/>
        <w:autoSpaceDN/>
        <w:bidi w:val="0"/>
        <w:spacing w:line="560" w:lineRule="exact"/>
        <w:ind w:right="0" w:rightChars="0" w:firstLine="0" w:firstLineChars="0"/>
        <w:jc w:val="center"/>
        <w:textAlignment w:val="auto"/>
        <w:outlineLvl w:val="9"/>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val="0"/>
          <w:bCs/>
          <w:sz w:val="44"/>
          <w:szCs w:val="44"/>
        </w:rPr>
        <w:t>2</w:t>
      </w:r>
      <w:r>
        <w:rPr>
          <w:rFonts w:hint="eastAsia" w:ascii="方正小标宋简体" w:hAnsi="方正小标宋简体" w:eastAsia="方正小标宋简体" w:cs="方正小标宋简体"/>
          <w:b w:val="0"/>
          <w:bCs/>
          <w:sz w:val="44"/>
          <w:szCs w:val="44"/>
          <w:lang w:val="en-US" w:eastAsia="zh-CN"/>
        </w:rPr>
        <w:t>026</w:t>
      </w:r>
      <w:r>
        <w:rPr>
          <w:rFonts w:hint="eastAsia" w:ascii="方正小标宋简体" w:hAnsi="方正小标宋简体" w:eastAsia="方正小标宋简体" w:cs="方正小标宋简体"/>
          <w:b w:val="0"/>
          <w:bCs/>
          <w:sz w:val="44"/>
          <w:szCs w:val="44"/>
        </w:rPr>
        <w:t>年</w:t>
      </w:r>
      <w:r>
        <w:rPr>
          <w:rFonts w:hint="eastAsia" w:ascii="方正小标宋简体" w:hAnsi="方正小标宋简体" w:eastAsia="方正小标宋简体" w:cs="方正小标宋简体"/>
          <w:b w:val="0"/>
          <w:bCs/>
          <w:sz w:val="44"/>
          <w:szCs w:val="44"/>
          <w:lang w:eastAsia="zh-CN"/>
        </w:rPr>
        <w:t>度</w:t>
      </w:r>
      <w:r>
        <w:rPr>
          <w:rFonts w:hint="eastAsia" w:ascii="方正小标宋简体" w:hAnsi="方正小标宋简体" w:eastAsia="方正小标宋简体" w:cs="方正小标宋简体"/>
          <w:b w:val="0"/>
          <w:bCs/>
          <w:sz w:val="44"/>
          <w:szCs w:val="44"/>
        </w:rPr>
        <w:t>医师定期考核工作</w:t>
      </w:r>
      <w:r>
        <w:rPr>
          <w:rFonts w:hint="eastAsia" w:ascii="方正小标宋简体" w:hAnsi="方正小标宋简体" w:eastAsia="方正小标宋简体" w:cs="方正小标宋简体"/>
          <w:b w:val="0"/>
          <w:bCs/>
          <w:sz w:val="44"/>
          <w:szCs w:val="44"/>
          <w:lang w:eastAsia="zh-CN"/>
        </w:rPr>
        <w:t>方案</w:t>
      </w:r>
    </w:p>
    <w:p w14:paraId="3BE46274">
      <w:pPr>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right="0" w:rightChars="0"/>
        <w:jc w:val="both"/>
        <w:textAlignment w:val="auto"/>
        <w:outlineLvl w:val="9"/>
        <w:rPr>
          <w:rFonts w:hint="eastAsia" w:ascii="仿宋_GB2312" w:hAnsi="宋体" w:eastAsia="仿宋_GB2312" w:cs="宋体"/>
          <w:color w:val="333333"/>
          <w:kern w:val="0"/>
          <w:sz w:val="32"/>
          <w:szCs w:val="32"/>
          <w:lang w:val="en-US" w:eastAsia="zh-CN" w:bidi="ar-SA"/>
        </w:rPr>
      </w:pPr>
    </w:p>
    <w:p w14:paraId="2D3827F2">
      <w:pPr>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right="0" w:rightChars="0" w:firstLine="640" w:firstLineChars="200"/>
        <w:jc w:val="both"/>
        <w:textAlignment w:val="auto"/>
        <w:outlineLvl w:val="9"/>
        <w:rPr>
          <w:rFonts w:hint="eastAsia" w:ascii="仿宋_GB2312" w:hAnsi="宋体" w:eastAsia="仿宋_GB2312" w:cs="宋体"/>
          <w:color w:val="333333"/>
          <w:kern w:val="0"/>
          <w:sz w:val="32"/>
          <w:szCs w:val="32"/>
          <w:lang w:val="en-US" w:eastAsia="zh-CN" w:bidi="ar-SA"/>
        </w:rPr>
      </w:pPr>
      <w:r>
        <w:rPr>
          <w:rFonts w:hint="eastAsia" w:ascii="仿宋_GB2312" w:hAnsi="宋体" w:eastAsia="仿宋_GB2312" w:cs="宋体"/>
          <w:color w:val="333333"/>
          <w:kern w:val="0"/>
          <w:sz w:val="32"/>
          <w:szCs w:val="32"/>
          <w:lang w:val="en-US" w:eastAsia="zh-CN" w:bidi="ar-SA"/>
        </w:rPr>
        <w:t>为加强执业医师管理，做好2026年度医师定期考核工作，依据《中华人民共和国医师法》《北京市医师定期考核管理暂行办法》（京卫医〔2010〕85号）《北京市2026年度医师定期考核工作方案》（京卫医〔2025〕110号），结合实际，制定具体工作方案。要求如下：</w:t>
      </w:r>
    </w:p>
    <w:p w14:paraId="793507D2">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right="0" w:rightChars="0"/>
        <w:jc w:val="left"/>
        <w:textAlignment w:val="auto"/>
        <w:outlineLvl w:val="9"/>
        <w:rPr>
          <w:rFonts w:hint="eastAsia" w:ascii="黑体" w:hAnsi="黑体" w:eastAsia="黑体" w:cs="黑体"/>
          <w:b w:val="0"/>
          <w:bCs w:val="0"/>
          <w:color w:val="333333"/>
          <w:kern w:val="0"/>
          <w:sz w:val="32"/>
          <w:szCs w:val="32"/>
          <w:lang w:val="en-US" w:eastAsia="zh-CN" w:bidi="ar-SA"/>
        </w:rPr>
      </w:pPr>
      <w:r>
        <w:rPr>
          <w:rFonts w:hint="eastAsia" w:ascii="黑体" w:hAnsi="黑体" w:eastAsia="黑体" w:cs="黑体"/>
          <w:b w:val="0"/>
          <w:bCs w:val="0"/>
          <w:color w:val="333333"/>
          <w:kern w:val="0"/>
          <w:sz w:val="32"/>
          <w:szCs w:val="32"/>
          <w:lang w:val="en-US" w:eastAsia="zh-CN" w:bidi="ar-SA"/>
        </w:rPr>
        <w:t xml:space="preserve">    一、组织管理</w:t>
      </w:r>
    </w:p>
    <w:p w14:paraId="72D33229">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right="0" w:rightChars="0"/>
        <w:jc w:val="both"/>
        <w:textAlignment w:val="auto"/>
        <w:outlineLvl w:val="9"/>
        <w:rPr>
          <w:rFonts w:hint="eastAsia" w:ascii="仿宋_GB2312" w:hAnsi="仿宋_GB2312" w:eastAsia="仿宋_GB2312" w:cs="仿宋_GB2312"/>
          <w:b w:val="0"/>
          <w:bCs w:val="0"/>
          <w:color w:val="333333"/>
          <w:kern w:val="0"/>
          <w:sz w:val="32"/>
          <w:szCs w:val="32"/>
          <w:lang w:val="en-US" w:eastAsia="zh-CN" w:bidi="ar-SA"/>
        </w:rPr>
      </w:pPr>
      <w:r>
        <w:rPr>
          <w:rFonts w:hint="eastAsia" w:ascii="仿宋_GB2312" w:hAnsi="仿宋_GB2312" w:eastAsia="仿宋_GB2312" w:cs="仿宋_GB2312"/>
          <w:b w:val="0"/>
          <w:bCs w:val="0"/>
          <w:color w:val="333333"/>
          <w:kern w:val="0"/>
          <w:sz w:val="32"/>
          <w:szCs w:val="32"/>
          <w:lang w:val="en-US" w:eastAsia="zh-CN" w:bidi="ar-SA"/>
        </w:rPr>
        <w:t xml:space="preserve">    1.大兴区卫生人才教育服务中心作为辖区医师定期考核办公室，牵头负责医师定期考核的组织实施、沟通协调，考核数据汇总核对、审核上报等工作。</w:t>
      </w:r>
    </w:p>
    <w:p w14:paraId="140C6E4F">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right="0" w:rightChars="0" w:firstLine="640" w:firstLineChars="200"/>
        <w:jc w:val="left"/>
        <w:textAlignment w:val="auto"/>
        <w:outlineLvl w:val="9"/>
        <w:rPr>
          <w:rFonts w:hint="eastAsia" w:ascii="仿宋_GB2312" w:hAnsi="仿宋_GB2312" w:eastAsia="仿宋_GB2312" w:cs="仿宋_GB2312"/>
          <w:b w:val="0"/>
          <w:bCs w:val="0"/>
          <w:color w:val="333333"/>
          <w:kern w:val="0"/>
          <w:sz w:val="32"/>
          <w:szCs w:val="32"/>
          <w:lang w:val="en-US" w:eastAsia="zh-CN" w:bidi="ar-SA"/>
        </w:rPr>
      </w:pPr>
      <w:r>
        <w:rPr>
          <w:rFonts w:hint="eastAsia" w:ascii="仿宋_GB2312" w:hAnsi="仿宋_GB2312" w:eastAsia="仿宋_GB2312" w:cs="仿宋_GB2312"/>
          <w:b w:val="0"/>
          <w:bCs w:val="0"/>
          <w:color w:val="333333"/>
          <w:kern w:val="0"/>
          <w:sz w:val="32"/>
          <w:szCs w:val="32"/>
          <w:lang w:val="en-US" w:eastAsia="zh-CN" w:bidi="ar-SA"/>
        </w:rPr>
        <w:t>2.各医疗机构作为考核实施主体，负责通知本单位医师按时限要求参加定期考核、组织报名、信息审核，医师职业道德、工作成绩的考核评定与结果确认。</w:t>
      </w:r>
    </w:p>
    <w:p w14:paraId="7B243941">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right="0" w:rightChars="0" w:firstLine="640" w:firstLineChars="200"/>
        <w:jc w:val="both"/>
        <w:textAlignment w:val="auto"/>
        <w:outlineLvl w:val="9"/>
        <w:rPr>
          <w:rFonts w:hint="default" w:ascii="黑体" w:hAnsi="黑体" w:eastAsia="黑体" w:cs="黑体"/>
          <w:b w:val="0"/>
          <w:bCs w:val="0"/>
          <w:color w:val="333333"/>
          <w:kern w:val="0"/>
          <w:sz w:val="32"/>
          <w:szCs w:val="32"/>
          <w:lang w:val="en-US" w:eastAsia="zh-CN" w:bidi="ar-SA"/>
        </w:rPr>
      </w:pPr>
      <w:r>
        <w:rPr>
          <w:rFonts w:hint="eastAsia" w:ascii="仿宋_GB2312" w:hAnsi="仿宋_GB2312" w:eastAsia="仿宋_GB2312" w:cs="仿宋_GB2312"/>
          <w:b w:val="0"/>
          <w:bCs w:val="0"/>
          <w:color w:val="333333"/>
          <w:kern w:val="0"/>
          <w:sz w:val="32"/>
          <w:szCs w:val="32"/>
          <w:lang w:val="en-US" w:eastAsia="zh-CN" w:bidi="ar-SA"/>
        </w:rPr>
        <w:t>3.医师个人须严格按照考核工作通知要求，按时完成报名、信息填报，依规参加业务水平测试等相关考核环节。</w:t>
      </w:r>
    </w:p>
    <w:p w14:paraId="25A8B771">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right="0" w:rightChars="0" w:firstLine="640" w:firstLineChars="200"/>
        <w:jc w:val="both"/>
        <w:textAlignment w:val="auto"/>
        <w:outlineLvl w:val="9"/>
        <w:rPr>
          <w:rFonts w:hint="eastAsia" w:ascii="黑体" w:hAnsi="黑体" w:eastAsia="黑体" w:cs="黑体"/>
          <w:b w:val="0"/>
          <w:bCs w:val="0"/>
          <w:color w:val="333333"/>
          <w:kern w:val="0"/>
          <w:sz w:val="32"/>
          <w:szCs w:val="32"/>
          <w:lang w:val="en-US" w:eastAsia="zh-CN" w:bidi="ar-SA"/>
        </w:rPr>
      </w:pPr>
      <w:r>
        <w:rPr>
          <w:rFonts w:hint="eastAsia" w:ascii="黑体" w:hAnsi="黑体" w:eastAsia="黑体" w:cs="黑体"/>
          <w:b w:val="0"/>
          <w:bCs w:val="0"/>
          <w:color w:val="333333"/>
          <w:kern w:val="0"/>
          <w:sz w:val="32"/>
          <w:szCs w:val="32"/>
          <w:lang w:val="en-US" w:eastAsia="zh-CN" w:bidi="ar-SA"/>
        </w:rPr>
        <w:t>二、医师定期考核程序</w:t>
      </w:r>
    </w:p>
    <w:p w14:paraId="0247D4E5">
      <w:pPr>
        <w:keepNext w:val="0"/>
        <w:keepLines w:val="0"/>
        <w:pageBreakBefore w:val="0"/>
        <w:widowControl w:val="0"/>
        <w:kinsoku/>
        <w:wordWrap/>
        <w:overflowPunct/>
        <w:topLinePunct w:val="0"/>
        <w:autoSpaceDE/>
        <w:autoSpaceDN/>
        <w:bidi w:val="0"/>
        <w:spacing w:line="560" w:lineRule="exact"/>
        <w:ind w:right="0" w:rightChars="0" w:firstLine="640" w:firstLineChars="20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2026年度医师定期考核周期自2024年至2026年。</w:t>
      </w:r>
    </w:p>
    <w:p w14:paraId="2F7AC6F4">
      <w:pPr>
        <w:keepNext w:val="0"/>
        <w:keepLines w:val="0"/>
        <w:pageBreakBefore w:val="0"/>
        <w:widowControl/>
        <w:shd w:val="clear" w:color="auto" w:fill="FFFFFF"/>
        <w:kinsoku/>
        <w:wordWrap/>
        <w:overflowPunct/>
        <w:topLinePunct w:val="0"/>
        <w:autoSpaceDE/>
        <w:autoSpaceDN/>
        <w:bidi w:val="0"/>
        <w:spacing w:line="560" w:lineRule="exact"/>
        <w:ind w:left="638" w:leftChars="304" w:right="0" w:rightChars="0" w:firstLine="0" w:firstLineChars="0"/>
        <w:jc w:val="both"/>
        <w:textAlignment w:val="auto"/>
        <w:outlineLvl w:val="9"/>
        <w:rPr>
          <w:rFonts w:hint="eastAsia" w:ascii="仿宋_GB2312" w:hAnsi="仿宋_GB2312" w:eastAsia="仿宋_GB2312" w:cs="仿宋_GB2312"/>
          <w:color w:val="000000"/>
          <w:kern w:val="0"/>
          <w:sz w:val="32"/>
          <w:szCs w:val="32"/>
        </w:rPr>
      </w:pPr>
      <w:r>
        <w:rPr>
          <w:rFonts w:hint="eastAsia" w:ascii="仿宋_GB2312" w:hAnsi="宋体" w:eastAsia="仿宋_GB2312" w:cs="宋体"/>
          <w:color w:val="000000"/>
          <w:kern w:val="0"/>
          <w:sz w:val="32"/>
          <w:szCs w:val="32"/>
        </w:rPr>
        <w:t>北京市</w:t>
      </w:r>
      <w:r>
        <w:rPr>
          <w:rFonts w:hint="eastAsia" w:ascii="仿宋_GB2312" w:hAnsi="宋体" w:eastAsia="仿宋_GB2312" w:cs="宋体"/>
          <w:color w:val="000000"/>
          <w:kern w:val="0"/>
          <w:sz w:val="32"/>
          <w:szCs w:val="32"/>
          <w:lang w:eastAsia="zh-CN"/>
        </w:rPr>
        <w:t>医师定期考核</w:t>
      </w:r>
      <w:r>
        <w:rPr>
          <w:rFonts w:hint="eastAsia" w:ascii="仿宋_GB2312" w:hAnsi="宋体" w:eastAsia="仿宋_GB2312" w:cs="宋体"/>
          <w:color w:val="000000"/>
          <w:kern w:val="0"/>
          <w:sz w:val="32"/>
          <w:szCs w:val="32"/>
        </w:rPr>
        <w:t>管理系统</w:t>
      </w:r>
    </w:p>
    <w:p w14:paraId="6474CA68">
      <w:pPr>
        <w:keepNext w:val="0"/>
        <w:keepLines w:val="0"/>
        <w:pageBreakBefore w:val="0"/>
        <w:widowControl/>
        <w:shd w:val="clear" w:color="auto" w:fill="FFFFFF"/>
        <w:kinsoku/>
        <w:wordWrap/>
        <w:overflowPunct/>
        <w:topLinePunct w:val="0"/>
        <w:autoSpaceDE/>
        <w:autoSpaceDN/>
        <w:bidi w:val="0"/>
        <w:spacing w:line="560" w:lineRule="exact"/>
        <w:ind w:right="0" w:rightChars="0" w:firstLine="640" w:firstLineChars="200"/>
        <w:jc w:val="both"/>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eastAsia="zh-CN"/>
        </w:rPr>
        <w:t>机构账号</w:t>
      </w:r>
      <w:r>
        <w:rPr>
          <w:rFonts w:hint="eastAsia" w:ascii="仿宋_GB2312" w:hAnsi="仿宋_GB2312" w:eastAsia="仿宋_GB2312" w:cs="仿宋_GB2312"/>
          <w:color w:val="000000"/>
          <w:kern w:val="0"/>
          <w:sz w:val="32"/>
          <w:szCs w:val="32"/>
          <w:lang w:val="en-US" w:eastAsia="zh-CN"/>
        </w:rPr>
        <w:t>:</w:t>
      </w:r>
      <w:r>
        <w:rPr>
          <w:rFonts w:hint="eastAsia" w:ascii="仿宋_GB2312" w:hAnsi="仿宋_GB2312" w:eastAsia="仿宋_GB2312" w:cs="仿宋_GB2312"/>
          <w:color w:val="000000"/>
          <w:kern w:val="0"/>
          <w:sz w:val="32"/>
          <w:szCs w:val="32"/>
          <w:lang w:eastAsia="zh-CN"/>
        </w:rPr>
        <w:t>《医疗机构许可证号》或《诊所备案证号》</w:t>
      </w:r>
    </w:p>
    <w:p w14:paraId="14C66592">
      <w:pPr>
        <w:keepNext w:val="0"/>
        <w:keepLines w:val="0"/>
        <w:pageBreakBefore w:val="0"/>
        <w:widowControl/>
        <w:shd w:val="clear" w:color="auto" w:fill="FFFFFF"/>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eastAsia="zh-CN"/>
        </w:rPr>
        <w:t>医师账号：个人</w:t>
      </w:r>
      <w:r>
        <w:rPr>
          <w:rFonts w:hint="eastAsia" w:ascii="仿宋_GB2312" w:hAnsi="仿宋_GB2312" w:eastAsia="仿宋_GB2312" w:cs="仿宋_GB2312"/>
          <w:color w:val="000000"/>
          <w:kern w:val="0"/>
          <w:sz w:val="32"/>
          <w:szCs w:val="32"/>
          <w:lang w:val="en-US" w:eastAsia="zh-CN"/>
        </w:rPr>
        <w:t>18位</w:t>
      </w:r>
      <w:r>
        <w:rPr>
          <w:rFonts w:hint="eastAsia" w:ascii="仿宋_GB2312" w:hAnsi="仿宋_GB2312" w:eastAsia="仿宋_GB2312" w:cs="仿宋_GB2312"/>
          <w:color w:val="000000"/>
          <w:kern w:val="0"/>
          <w:sz w:val="32"/>
          <w:szCs w:val="32"/>
          <w:lang w:eastAsia="zh-CN"/>
        </w:rPr>
        <w:t>身份证号码</w:t>
      </w:r>
    </w:p>
    <w:p w14:paraId="1CD50D1B">
      <w:pPr>
        <w:keepNext w:val="0"/>
        <w:keepLines w:val="0"/>
        <w:pageBreakBefore w:val="0"/>
        <w:widowControl/>
        <w:shd w:val="clear" w:color="auto" w:fill="FFFFFF"/>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default" w:ascii="仿宋_GB2312" w:hAnsi="Calibri" w:eastAsia="仿宋_GB2312" w:cs="Times New Roman"/>
          <w:b w:val="0"/>
          <w:bCs w:val="0"/>
          <w:sz w:val="32"/>
          <w:szCs w:val="32"/>
          <w:lang w:val="en-US" w:eastAsia="zh-CN"/>
        </w:rPr>
      </w:pPr>
      <w:r>
        <w:rPr>
          <w:rFonts w:hint="eastAsia" w:ascii="仿宋_GB2312" w:hAnsi="仿宋_GB2312" w:eastAsia="仿宋_GB2312" w:cs="仿宋_GB2312"/>
          <w:color w:val="000000"/>
          <w:kern w:val="0"/>
          <w:sz w:val="32"/>
          <w:szCs w:val="32"/>
          <w:lang w:eastAsia="zh-CN"/>
        </w:rPr>
        <w:t>默认</w:t>
      </w:r>
      <w:r>
        <w:rPr>
          <w:rFonts w:hint="eastAsia" w:ascii="仿宋_GB2312" w:hAnsi="仿宋_GB2312" w:eastAsia="仿宋_GB2312" w:cs="仿宋_GB2312"/>
          <w:color w:val="000000"/>
          <w:kern w:val="0"/>
          <w:sz w:val="32"/>
          <w:szCs w:val="32"/>
        </w:rPr>
        <w:t>初始密码：</w:t>
      </w:r>
      <w:r>
        <w:rPr>
          <w:rFonts w:hint="eastAsia" w:ascii="仿宋_GB2312" w:hAnsi="仿宋_GB2312" w:eastAsia="仿宋_GB2312" w:cs="仿宋_GB2312"/>
          <w:color w:val="000000"/>
          <w:kern w:val="0"/>
          <w:sz w:val="32"/>
          <w:szCs w:val="32"/>
          <w:lang w:eastAsia="zh-CN"/>
        </w:rPr>
        <w:t>账号后六位</w:t>
      </w:r>
      <w:r>
        <w:rPr>
          <w:rFonts w:hint="eastAsia" w:ascii="仿宋_GB2312" w:hAnsi="仿宋_GB2312" w:eastAsia="仿宋_GB2312" w:cs="仿宋_GB2312"/>
          <w:color w:val="000000"/>
          <w:kern w:val="0"/>
          <w:sz w:val="32"/>
          <w:szCs w:val="32"/>
          <w:lang w:val="en-US" w:eastAsia="zh-CN"/>
        </w:rPr>
        <w:t>*Dk（请及时修改默认密码）</w:t>
      </w:r>
    </w:p>
    <w:p w14:paraId="4C3FF9AE">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医师定期考核工作应严格按照考核要求，依程序完成。</w:t>
      </w:r>
    </w:p>
    <w:p w14:paraId="0716A550">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（一）2026年度的医师定期考核事宜，由医师所在的医疗</w:t>
      </w:r>
    </w:p>
    <w:p w14:paraId="610CEDFB">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卫生机构最迟于定期考核前30日内通知需要接受定期考核的医师参加考核。</w:t>
      </w:r>
    </w:p>
    <w:p w14:paraId="345978D9">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（二）注册在北京市的医疗卫生机构且在医疗卫生机构相应</w:t>
      </w:r>
    </w:p>
    <w:p w14:paraId="7C6C55CB">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岗位执业的医师均需参加2026年度医师定期考核。</w:t>
      </w:r>
    </w:p>
    <w:p w14:paraId="2298F16A">
      <w:pPr>
        <w:keepNext w:val="0"/>
        <w:keepLines w:val="0"/>
        <w:pageBreakBefore w:val="0"/>
        <w:widowControl w:val="0"/>
        <w:kinsoku/>
        <w:wordWrap w:val="0"/>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Courier New" w:eastAsia="仿宋_GB2312" w:cs="Courier New"/>
          <w:b w:val="0"/>
          <w:bCs w:val="0"/>
          <w:spacing w:val="-11"/>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（三）医疗卫生机构应按要求对注册在本机构的医师（含多点执业、多机构备案医师）进行职业道德评定和工作成绩考核，</w:t>
      </w:r>
      <w:r>
        <w:rPr>
          <w:rFonts w:hint="eastAsia" w:ascii="仿宋_GB2312" w:hAnsi="Courier New" w:eastAsia="仿宋_GB2312" w:cs="Courier New"/>
          <w:b w:val="0"/>
          <w:bCs w:val="0"/>
          <w:spacing w:val="-11"/>
          <w:kern w:val="2"/>
          <w:sz w:val="32"/>
          <w:szCs w:val="32"/>
          <w:lang w:val="en-US" w:eastAsia="zh-CN" w:bidi="ar-SA"/>
        </w:rPr>
        <w:t>并将职业道德和工作成绩评定意见上报“医师定期考核管理系统”。</w:t>
      </w:r>
    </w:p>
    <w:p w14:paraId="1175967C">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（四）在京多机构执业的医师（含持有外省市医师执业证的</w:t>
      </w:r>
    </w:p>
    <w:p w14:paraId="05B28FB9">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医师）需在在京所有执业机构（医疗卫生机构）参加医师定期考</w:t>
      </w:r>
    </w:p>
    <w:p w14:paraId="12675C2D">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核的职业道德和工作成绩考核，同时需在在京主要执业机构参加</w:t>
      </w:r>
    </w:p>
    <w:p w14:paraId="71177477">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业务水平测评。</w:t>
      </w:r>
    </w:p>
    <w:p w14:paraId="0F7B9E5C">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（五）注册多个执业范围的医师在选择考核专业时，可在其</w:t>
      </w:r>
    </w:p>
    <w:p w14:paraId="129789E8">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注册的多个执业范围内任选一个专业。</w:t>
      </w:r>
    </w:p>
    <w:p w14:paraId="34C89933">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（六）在2026年度定期考核期间办理变更执业机构及首次</w:t>
      </w:r>
    </w:p>
    <w:p w14:paraId="1DC45F68">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注册医师，完成网上申请报名手续的医师，在已完成申请报名手</w:t>
      </w:r>
    </w:p>
    <w:p w14:paraId="4BAF6941">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续的执业机构（医疗卫生机构）参加定期考核；未完成网上申请</w:t>
      </w:r>
    </w:p>
    <w:p w14:paraId="602F838B">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b w:val="0"/>
          <w:bCs/>
          <w:kern w:val="2"/>
          <w:sz w:val="32"/>
          <w:szCs w:val="21"/>
          <w:lang w:val="en-US" w:eastAsia="zh-CN" w:bidi="ar-SA"/>
        </w:rPr>
      </w:pPr>
      <w:r>
        <w:rPr>
          <w:rFonts w:hint="eastAsia" w:ascii="仿宋_GB2312" w:hAnsi="Courier New" w:eastAsia="仿宋_GB2312" w:cs="Courier New"/>
          <w:b w:val="0"/>
          <w:bCs w:val="0"/>
          <w:kern w:val="2"/>
          <w:sz w:val="32"/>
          <w:szCs w:val="32"/>
          <w:lang w:val="en-US" w:eastAsia="zh-CN" w:bidi="ar-SA"/>
        </w:rPr>
        <w:t>报名手续的医师，应参加2027年上半年的再次考核。</w:t>
      </w:r>
    </w:p>
    <w:p w14:paraId="1BBB5EC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黑体" w:hAnsi="黑体" w:eastAsia="黑体" w:cs="黑体"/>
          <w:b w:val="0"/>
          <w:bCs/>
          <w:kern w:val="2"/>
          <w:sz w:val="32"/>
          <w:szCs w:val="21"/>
          <w:lang w:val="en-US" w:eastAsia="zh-CN" w:bidi="ar-SA"/>
        </w:rPr>
      </w:pPr>
      <w:r>
        <w:rPr>
          <w:rFonts w:hint="eastAsia" w:ascii="黑体" w:hAnsi="黑体" w:eastAsia="黑体" w:cs="黑体"/>
          <w:b w:val="0"/>
          <w:bCs/>
          <w:kern w:val="2"/>
          <w:sz w:val="32"/>
          <w:szCs w:val="21"/>
          <w:lang w:val="en-US" w:eastAsia="zh-CN" w:bidi="ar-SA"/>
        </w:rPr>
        <w:t>三、考核内容与时间安排</w:t>
      </w:r>
    </w:p>
    <w:p w14:paraId="6B5DF6B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医师定期考核内容包括职业道德、工作成绩和业务水平测评</w:t>
      </w:r>
    </w:p>
    <w:p w14:paraId="56422D5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三部分内容，且需在规定的时间内完成考核工作。具体安排见附</w:t>
      </w:r>
    </w:p>
    <w:p w14:paraId="63C8AD8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件1、附件2。</w:t>
      </w:r>
    </w:p>
    <w:p w14:paraId="74B6141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黑体" w:hAnsi="黑体" w:eastAsia="黑体" w:cs="黑体"/>
          <w:b w:val="0"/>
          <w:bCs/>
          <w:kern w:val="2"/>
          <w:sz w:val="32"/>
          <w:szCs w:val="21"/>
          <w:lang w:val="en-US" w:eastAsia="zh-CN" w:bidi="ar-SA"/>
        </w:rPr>
      </w:pPr>
      <w:r>
        <w:rPr>
          <w:rFonts w:hint="eastAsia" w:ascii="黑体" w:hAnsi="黑体" w:eastAsia="黑体" w:cs="黑体"/>
          <w:b w:val="0"/>
          <w:bCs/>
          <w:kern w:val="2"/>
          <w:sz w:val="32"/>
          <w:szCs w:val="21"/>
          <w:lang w:val="en-US" w:eastAsia="zh-CN" w:bidi="ar-SA"/>
        </w:rPr>
        <w:t>四、考核标准</w:t>
      </w:r>
    </w:p>
    <w:p w14:paraId="36FC8C3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（一）合格：职业道德、工作成绩及业务水平三项考核内容</w:t>
      </w:r>
    </w:p>
    <w:p w14:paraId="1676E75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均达到合格线。</w:t>
      </w:r>
    </w:p>
    <w:p w14:paraId="12A7556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（二）不合格：职业道德、工作成绩及业务水平三项考核中</w:t>
      </w:r>
    </w:p>
    <w:p w14:paraId="62E6DD3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有一项及以上未达到合格线。</w:t>
      </w:r>
    </w:p>
    <w:p w14:paraId="012FBCF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2026年度业务水平考核除藏医、蒙医专业外，其它各专业</w:t>
      </w:r>
    </w:p>
    <w:p w14:paraId="3B087C2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均为网上考核。网上考核次数最多3次，3次考核未能通过即视为2026年度业务水平考核不合格。</w:t>
      </w:r>
    </w:p>
    <w:p w14:paraId="19EF6C5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（三）未参加医师定期考核：</w:t>
      </w:r>
    </w:p>
    <w:p w14:paraId="0BC3FE6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1.医师个人报名后，职业道德、工作成绩及业务水平三项中</w:t>
      </w:r>
    </w:p>
    <w:p w14:paraId="056F04D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其中一项未参加考核。</w:t>
      </w:r>
    </w:p>
    <w:p w14:paraId="1B72E50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2.医师个人未报名参加医师定期考核。</w:t>
      </w:r>
    </w:p>
    <w:p w14:paraId="372185D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黑体" w:hAnsi="黑体" w:eastAsia="黑体" w:cs="黑体"/>
          <w:b w:val="0"/>
          <w:bCs/>
          <w:kern w:val="2"/>
          <w:sz w:val="32"/>
          <w:szCs w:val="21"/>
          <w:lang w:val="en-US" w:eastAsia="zh-CN" w:bidi="ar-SA"/>
        </w:rPr>
      </w:pPr>
      <w:r>
        <w:rPr>
          <w:rFonts w:hint="eastAsia" w:ascii="黑体" w:hAnsi="黑体" w:eastAsia="黑体" w:cs="黑体"/>
          <w:b w:val="0"/>
          <w:bCs/>
          <w:kern w:val="2"/>
          <w:sz w:val="32"/>
          <w:szCs w:val="21"/>
          <w:lang w:val="en-US" w:eastAsia="zh-CN" w:bidi="ar-SA"/>
        </w:rPr>
        <w:t>五、简易程序条件</w:t>
      </w:r>
    </w:p>
    <w:p w14:paraId="52A3939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对于符合以下条件之一的医师，在本年度可以采用简易程序</w:t>
      </w:r>
    </w:p>
    <w:p w14:paraId="0B5FB47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的方式进行业务水平测评：</w:t>
      </w:r>
    </w:p>
    <w:p w14:paraId="1642FD5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（一）院士及享受国务院政府特殊津贴的医师；</w:t>
      </w:r>
    </w:p>
    <w:p w14:paraId="0613C92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（二）截至2026年12月31日，满60岁仍从事医师执业工作的注册医师；</w:t>
      </w:r>
    </w:p>
    <w:p w14:paraId="624BDCF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（三）2024年-2026年内获得省部级以上科技奖励的医师；</w:t>
      </w:r>
    </w:p>
    <w:p w14:paraId="2603A6F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（四）国医大师、首都国医名师、国家级和市级老中医学术</w:t>
      </w:r>
    </w:p>
    <w:p w14:paraId="799102A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经验继承工作指导老师及承担市级基层老中医传承工作室建设任务的老中医专家；</w:t>
      </w:r>
    </w:p>
    <w:p w14:paraId="1A02A0D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（五）2024年-2026年内参加援外、援藏、援疆、援蒙等政府选派支援外省市工作满三个月的医师；</w:t>
      </w:r>
    </w:p>
    <w:p w14:paraId="0D4A7C6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（六）2026年12月31日前专业技术职务任职资格为主任医师的医师；</w:t>
      </w:r>
    </w:p>
    <w:p w14:paraId="153146B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（七）2024年-2026年按相关规定通过住院医师/专科医师</w:t>
      </w:r>
    </w:p>
    <w:p w14:paraId="3C754E2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培训考试考核或通过上一级专业技术职务任职资格考试或评审的医师（上传合格证书）。</w:t>
      </w:r>
    </w:p>
    <w:p w14:paraId="428F727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黑体" w:hAnsi="黑体" w:eastAsia="黑体" w:cs="黑体"/>
          <w:b w:val="0"/>
          <w:bCs/>
          <w:kern w:val="2"/>
          <w:sz w:val="32"/>
          <w:szCs w:val="21"/>
          <w:lang w:val="en-US" w:eastAsia="zh-CN" w:bidi="ar-SA"/>
        </w:rPr>
      </w:pPr>
      <w:r>
        <w:rPr>
          <w:rFonts w:hint="eastAsia" w:ascii="黑体" w:hAnsi="黑体" w:eastAsia="黑体" w:cs="黑体"/>
          <w:b w:val="0"/>
          <w:bCs/>
          <w:kern w:val="2"/>
          <w:sz w:val="32"/>
          <w:szCs w:val="21"/>
          <w:lang w:val="en-US" w:eastAsia="zh-CN" w:bidi="ar-SA"/>
        </w:rPr>
        <w:t>六、其他相关事项</w:t>
      </w:r>
    </w:p>
    <w:p w14:paraId="1D8E6EC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楷体_GB2312" w:hAnsi="楷体_GB2312" w:eastAsia="楷体_GB2312" w:cs="楷体_GB2312"/>
          <w:b w:val="0"/>
          <w:bCs/>
          <w:kern w:val="2"/>
          <w:sz w:val="32"/>
          <w:szCs w:val="21"/>
          <w:lang w:val="en-US" w:eastAsia="zh-CN" w:bidi="ar-SA"/>
        </w:rPr>
      </w:pPr>
      <w:r>
        <w:rPr>
          <w:rFonts w:hint="eastAsia" w:ascii="楷体_GB2312" w:hAnsi="楷体_GB2312" w:eastAsia="楷体_GB2312" w:cs="楷体_GB2312"/>
          <w:b w:val="0"/>
          <w:bCs/>
          <w:kern w:val="2"/>
          <w:sz w:val="32"/>
          <w:szCs w:val="21"/>
          <w:lang w:val="en-US" w:eastAsia="zh-CN" w:bidi="ar-SA"/>
        </w:rPr>
        <w:t>（一）考核结果处理</w:t>
      </w:r>
    </w:p>
    <w:p w14:paraId="68D32A9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2026年考核结果统计工作于2026年9月15日前完成，并于2026年10月15日前将考核结果数据导入医师电子化注册信息系统；2027年再次考核结果统计工作于2027年7月22日前完成，并于2027年8月1日前将考核结果数据导入医师电子化注册信息系统，作为医师电子注册管理的内容之一。</w:t>
      </w:r>
    </w:p>
    <w:p w14:paraId="30EE72E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楷体_GB2312" w:hAnsi="楷体_GB2312" w:eastAsia="楷体_GB2312" w:cs="楷体_GB2312"/>
          <w:b w:val="0"/>
          <w:bCs/>
          <w:kern w:val="2"/>
          <w:sz w:val="32"/>
          <w:szCs w:val="21"/>
          <w:lang w:val="en-US" w:eastAsia="zh-CN" w:bidi="ar-SA"/>
        </w:rPr>
      </w:pPr>
      <w:r>
        <w:rPr>
          <w:rFonts w:hint="eastAsia" w:ascii="楷体_GB2312" w:hAnsi="楷体_GB2312" w:eastAsia="楷体_GB2312" w:cs="楷体_GB2312"/>
          <w:b w:val="0"/>
          <w:bCs/>
          <w:kern w:val="2"/>
          <w:sz w:val="32"/>
          <w:szCs w:val="21"/>
          <w:lang w:val="en-US" w:eastAsia="zh-CN" w:bidi="ar-SA"/>
        </w:rPr>
        <w:t>（二）再次考核工作</w:t>
      </w:r>
    </w:p>
    <w:p w14:paraId="0B2C3A8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根据《中华人民共和国医师法》第四十二条和《北京市医师</w:t>
      </w:r>
    </w:p>
    <w:p w14:paraId="7AAC2EC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定期考核管理暂行办法》第二十七条规定,对2026年度考核不合格的医师，卫生健康行政部门应当责令其暂停执业活动3个月至6个月，并在卫生健康行政部门指定的机构接受相关专业培训；暂停执业活动期满，由考核机构再次进行考核。</w:t>
      </w:r>
    </w:p>
    <w:p w14:paraId="7B0D6C4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楷体_GB2312" w:hAnsi="楷体_GB2312" w:eastAsia="楷体_GB2312" w:cs="楷体_GB2312"/>
          <w:b w:val="0"/>
          <w:bCs/>
          <w:kern w:val="2"/>
          <w:sz w:val="32"/>
          <w:szCs w:val="21"/>
          <w:lang w:val="en-US" w:eastAsia="zh-CN" w:bidi="ar-SA"/>
        </w:rPr>
      </w:pPr>
      <w:r>
        <w:rPr>
          <w:rFonts w:hint="eastAsia" w:ascii="楷体_GB2312" w:hAnsi="楷体_GB2312" w:eastAsia="楷体_GB2312" w:cs="楷体_GB2312"/>
          <w:b w:val="0"/>
          <w:bCs/>
          <w:kern w:val="2"/>
          <w:sz w:val="32"/>
          <w:szCs w:val="21"/>
          <w:lang w:val="en-US" w:eastAsia="zh-CN" w:bidi="ar-SA"/>
        </w:rPr>
        <w:t>（三）结果应用</w:t>
      </w:r>
    </w:p>
    <w:p w14:paraId="39CB998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 w:eastAsia="仿宋_GB2312" w:cs="Courier New"/>
          <w:color w:val="auto"/>
          <w:kern w:val="2"/>
          <w:sz w:val="32"/>
          <w:szCs w:val="32"/>
          <w:lang w:val="en-US" w:eastAsia="zh-CN" w:bidi="ar-SA"/>
        </w:rPr>
      </w:pPr>
      <w:r>
        <w:rPr>
          <w:rFonts w:hint="eastAsia" w:ascii="仿宋_GB2312" w:hAnsi="仿宋" w:eastAsia="仿宋_GB2312" w:cs="Courier New"/>
          <w:color w:val="auto"/>
          <w:kern w:val="2"/>
          <w:sz w:val="32"/>
          <w:szCs w:val="32"/>
          <w:lang w:val="en-US" w:eastAsia="zh-CN" w:bidi="ar-SA"/>
        </w:rPr>
        <w:t>在《关于印发〈北京市深化卫生专业技术人员职称制度改革实施办法〉的通知》（京人社事业发[2023]5号）相关专业职称基本标准条件中均明确规定，需按要求参加定期考核且合格。</w:t>
      </w:r>
    </w:p>
    <w:p w14:paraId="330BC45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七、工作要求</w:t>
      </w:r>
    </w:p>
    <w:p w14:paraId="3699FDD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楷体_GB2312" w:hAnsi="楷体_GB2312" w:eastAsia="楷体_GB2312" w:cs="楷体_GB2312"/>
          <w:b w:val="0"/>
          <w:bCs/>
          <w:kern w:val="2"/>
          <w:sz w:val="32"/>
          <w:szCs w:val="21"/>
          <w:lang w:val="en-US" w:eastAsia="zh-CN" w:bidi="ar-SA"/>
        </w:rPr>
      </w:pPr>
      <w:r>
        <w:rPr>
          <w:rFonts w:hint="eastAsia" w:ascii="楷体_GB2312" w:hAnsi="楷体_GB2312" w:eastAsia="楷体_GB2312" w:cs="楷体_GB2312"/>
          <w:b w:val="0"/>
          <w:bCs/>
          <w:kern w:val="2"/>
          <w:sz w:val="32"/>
          <w:szCs w:val="21"/>
          <w:lang w:val="en-US" w:eastAsia="zh-CN" w:bidi="ar-SA"/>
        </w:rPr>
        <w:t>（一）统一思想，加强领导</w:t>
      </w:r>
    </w:p>
    <w:p w14:paraId="23F34BF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 w:eastAsia="仿宋_GB2312" w:cs="Courier New"/>
          <w:kern w:val="2"/>
          <w:sz w:val="32"/>
          <w:szCs w:val="32"/>
          <w:lang w:val="en-US" w:eastAsia="zh-CN" w:bidi="ar-SA"/>
        </w:rPr>
      </w:pPr>
      <w:r>
        <w:rPr>
          <w:rFonts w:hint="eastAsia" w:ascii="仿宋_GB2312" w:hAnsi="仿宋" w:eastAsia="仿宋_GB2312" w:cs="Courier New"/>
          <w:kern w:val="2"/>
          <w:sz w:val="32"/>
          <w:szCs w:val="32"/>
          <w:lang w:val="en-US" w:eastAsia="zh-CN" w:bidi="ar-SA"/>
        </w:rPr>
        <w:t>医师定期考核是一项法定任务，是提高医师队伍整体素质、保障医疗质量和医疗安全的重要手段，对促进医师执业技能持续提升，保持职业道德具有重要意义。各医疗机构要切实提高思想认识，加强组织领导，健全组织机构，完善工作制度，提供支持保障，严格按照要求推进落实定期考核各项工作。</w:t>
      </w:r>
    </w:p>
    <w:p w14:paraId="16DB5F3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楷体_GB2312" w:hAnsi="楷体_GB2312" w:eastAsia="楷体_GB2312" w:cs="楷体_GB2312"/>
          <w:b w:val="0"/>
          <w:bCs/>
          <w:kern w:val="2"/>
          <w:sz w:val="32"/>
          <w:szCs w:val="21"/>
          <w:lang w:val="en-US" w:eastAsia="zh-CN" w:bidi="ar-SA"/>
        </w:rPr>
      </w:pPr>
      <w:r>
        <w:rPr>
          <w:rFonts w:hint="eastAsia" w:ascii="楷体_GB2312" w:hAnsi="楷体_GB2312" w:eastAsia="楷体_GB2312" w:cs="楷体_GB2312"/>
          <w:b w:val="0"/>
          <w:bCs/>
          <w:kern w:val="2"/>
          <w:sz w:val="32"/>
          <w:szCs w:val="21"/>
          <w:lang w:val="en-US" w:eastAsia="zh-CN" w:bidi="ar-SA"/>
        </w:rPr>
        <w:t>（二）规范程序，严格审核</w:t>
      </w:r>
    </w:p>
    <w:p w14:paraId="5DB52C9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 w:eastAsia="仿宋_GB2312" w:cs="Courier New"/>
          <w:kern w:val="2"/>
          <w:sz w:val="32"/>
          <w:szCs w:val="32"/>
          <w:lang w:val="en-US" w:eastAsia="zh-CN" w:bidi="ar-SA"/>
        </w:rPr>
      </w:pPr>
      <w:r>
        <w:rPr>
          <w:rFonts w:hint="eastAsia" w:ascii="仿宋_GB2312" w:hAnsi="仿宋" w:eastAsia="仿宋_GB2312" w:cs="Courier New"/>
          <w:kern w:val="2"/>
          <w:sz w:val="32"/>
          <w:szCs w:val="32"/>
          <w:lang w:val="en-US" w:eastAsia="zh-CN" w:bidi="ar-SA"/>
        </w:rPr>
        <w:t>各医疗机构要按照市区文件要求，指定本机构医师定期考核工作主管领导及具体负责人，严格按照全区规定的程序、时间、内容开展医师定期考核，严禁不符合条件的医师按照简易程序进行考核，确保考核工作公平公正。</w:t>
      </w:r>
    </w:p>
    <w:p w14:paraId="4795BAE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楷体_GB2312" w:hAnsi="楷体_GB2312" w:eastAsia="楷体_GB2312" w:cs="楷体_GB2312"/>
          <w:b w:val="0"/>
          <w:bCs/>
          <w:kern w:val="2"/>
          <w:sz w:val="32"/>
          <w:szCs w:val="21"/>
          <w:lang w:val="en-US" w:eastAsia="zh-CN" w:bidi="ar-SA"/>
        </w:rPr>
      </w:pPr>
      <w:r>
        <w:rPr>
          <w:rFonts w:hint="eastAsia" w:ascii="楷体_GB2312" w:hAnsi="楷体_GB2312" w:eastAsia="楷体_GB2312" w:cs="楷体_GB2312"/>
          <w:b w:val="0"/>
          <w:bCs/>
          <w:kern w:val="2"/>
          <w:sz w:val="32"/>
          <w:szCs w:val="21"/>
          <w:lang w:val="en-US" w:eastAsia="zh-CN" w:bidi="ar-SA"/>
        </w:rPr>
        <w:t>（三）广泛宣传，浓厚氛围</w:t>
      </w:r>
    </w:p>
    <w:p w14:paraId="7A23418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 w:eastAsia="仿宋_GB2312" w:cs="Courier New"/>
          <w:kern w:val="2"/>
          <w:sz w:val="32"/>
          <w:szCs w:val="32"/>
          <w:lang w:val="en-US" w:eastAsia="zh-CN" w:bidi="ar-SA"/>
        </w:rPr>
      </w:pPr>
      <w:r>
        <w:rPr>
          <w:rFonts w:hint="eastAsia" w:ascii="仿宋_GB2312" w:hAnsi="仿宋" w:eastAsia="仿宋_GB2312" w:cs="Courier New"/>
          <w:kern w:val="2"/>
          <w:sz w:val="32"/>
          <w:szCs w:val="32"/>
          <w:lang w:val="en-US" w:eastAsia="zh-CN" w:bidi="ar-SA"/>
        </w:rPr>
        <w:t>各医疗机构要加大宣传力度，多渠道告知单位内的每一名医师定期考核工作时限、要求及对医师个人执业、职称评审等工作的重要意义，引导医师积极主动参与。对涉及医师切身利益的定考政策做好咨询解答，营造良好氛围。</w:t>
      </w:r>
    </w:p>
    <w:p w14:paraId="6472E6ED">
      <w:pPr>
        <w:rPr>
          <w:rFonts w:hint="eastAsia" w:ascii="黑体" w:hAnsi="黑体" w:eastAsia="黑体" w:cs="黑体"/>
          <w:b w:val="0"/>
          <w:bCs/>
          <w:color w:val="000000"/>
          <w:kern w:val="2"/>
          <w:sz w:val="32"/>
          <w:szCs w:val="32"/>
          <w:lang w:val="en-US" w:eastAsia="zh-CN" w:bidi="ar-SA"/>
        </w:rPr>
      </w:pPr>
      <w:r>
        <w:rPr>
          <w:rFonts w:hint="eastAsia" w:ascii="黑体" w:hAnsi="黑体" w:eastAsia="黑体" w:cs="黑体"/>
          <w:b w:val="0"/>
          <w:bCs/>
          <w:color w:val="000000"/>
          <w:kern w:val="2"/>
          <w:sz w:val="32"/>
          <w:szCs w:val="32"/>
          <w:lang w:val="en-US" w:eastAsia="zh-CN" w:bidi="ar-SA"/>
        </w:rPr>
        <w:t>八、填报机构负责人信息</w:t>
      </w:r>
    </w:p>
    <w:p w14:paraId="7843EA88">
      <w:pPr>
        <w:keepNext w:val="0"/>
        <w:keepLines w:val="0"/>
        <w:pageBreakBefore w:val="0"/>
        <w:kinsoku/>
        <w:wordWrap/>
        <w:overflowPunct/>
        <w:topLinePunct w:val="0"/>
        <w:autoSpaceDE/>
        <w:autoSpaceDN/>
        <w:bidi w:val="0"/>
        <w:spacing w:line="560" w:lineRule="exact"/>
        <w:ind w:firstLine="640" w:firstLineChars="200"/>
        <w:jc w:val="both"/>
        <w:rPr>
          <w:rFonts w:hint="default" w:ascii="仿宋_GB2312" w:hAnsi="Calibri" w:eastAsia="仿宋_GB2312" w:cs="Times New Roman"/>
          <w:sz w:val="32"/>
          <w:szCs w:val="32"/>
          <w:lang w:val="en-US" w:eastAsia="zh-CN"/>
        </w:rPr>
      </w:pPr>
      <w:r>
        <w:rPr>
          <w:rFonts w:hint="eastAsia" w:ascii="仿宋_GB2312" w:hAnsi="Calibri" w:eastAsia="仿宋_GB2312" w:cs="Times New Roman"/>
          <w:sz w:val="32"/>
          <w:szCs w:val="32"/>
          <w:lang w:eastAsia="zh-CN"/>
        </w:rPr>
        <w:t>为顺利做好定考工作，方便与各医疗机构沟通，请扫描下方二维码填报机构负责人信息，如有问题请拨打大兴区定期考核办公室电话</w:t>
      </w:r>
      <w:r>
        <w:rPr>
          <w:rFonts w:hint="eastAsia" w:ascii="仿宋_GB2312" w:hAnsi="Calibri" w:eastAsia="仿宋_GB2312" w:cs="Times New Roman"/>
          <w:sz w:val="32"/>
          <w:szCs w:val="32"/>
          <w:lang w:val="en-US" w:eastAsia="zh-CN"/>
        </w:rPr>
        <w:t>61211687（工作日9:00-11:00；13:00-17:00）。</w:t>
      </w:r>
    </w:p>
    <w:p w14:paraId="63361E01">
      <w:pPr>
        <w:keepNext w:val="0"/>
        <w:keepLines w:val="0"/>
        <w:pageBreakBefore w:val="0"/>
        <w:kinsoku/>
        <w:wordWrap/>
        <w:overflowPunct/>
        <w:topLinePunct w:val="0"/>
        <w:autoSpaceDE/>
        <w:autoSpaceDN/>
        <w:bidi w:val="0"/>
        <w:spacing w:line="560" w:lineRule="exact"/>
        <w:ind w:firstLine="640" w:firstLineChars="200"/>
        <w:jc w:val="right"/>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drawing>
          <wp:anchor distT="0" distB="0" distL="114300" distR="114300" simplePos="0" relativeHeight="251663360" behindDoc="0" locked="0" layoutInCell="1" allowOverlap="1">
            <wp:simplePos x="0" y="0"/>
            <wp:positionH relativeFrom="column">
              <wp:posOffset>1649095</wp:posOffset>
            </wp:positionH>
            <wp:positionV relativeFrom="paragraph">
              <wp:posOffset>167005</wp:posOffset>
            </wp:positionV>
            <wp:extent cx="2221865" cy="2532380"/>
            <wp:effectExtent l="0" t="0" r="6985" b="1270"/>
            <wp:wrapTopAndBottom/>
            <wp:docPr id="2" name="图片 2" descr="大兴区医师定期考核_医疗机构负责人信息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大兴区医师定期考核_医疗机构负责人信息登记"/>
                    <pic:cNvPicPr>
                      <a:picLocks noChangeAspect="1"/>
                    </pic:cNvPicPr>
                  </pic:nvPicPr>
                  <pic:blipFill>
                    <a:blip r:embed="rId12"/>
                    <a:stretch>
                      <a:fillRect/>
                    </a:stretch>
                  </pic:blipFill>
                  <pic:spPr>
                    <a:xfrm>
                      <a:off x="0" y="0"/>
                      <a:ext cx="2221865" cy="2532380"/>
                    </a:xfrm>
                    <a:prstGeom prst="rect">
                      <a:avLst/>
                    </a:prstGeom>
                  </pic:spPr>
                </pic:pic>
              </a:graphicData>
            </a:graphic>
          </wp:anchor>
        </w:drawing>
      </w:r>
    </w:p>
    <w:p w14:paraId="64B4E2AA">
      <w:pPr>
        <w:keepNext w:val="0"/>
        <w:keepLines w:val="0"/>
        <w:pageBreakBefore w:val="0"/>
        <w:kinsoku/>
        <w:wordWrap/>
        <w:overflowPunct/>
        <w:topLinePunct w:val="0"/>
        <w:autoSpaceDE/>
        <w:autoSpaceDN/>
        <w:bidi w:val="0"/>
        <w:spacing w:line="560" w:lineRule="exact"/>
        <w:ind w:firstLine="640" w:firstLineChars="200"/>
        <w:jc w:val="both"/>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附件：1.2026年度北京市医师定期考核时间安排</w:t>
      </w:r>
    </w:p>
    <w:p w14:paraId="526BA138">
      <w:pPr>
        <w:keepNext w:val="0"/>
        <w:keepLines w:val="0"/>
        <w:pageBreakBefore w:val="0"/>
        <w:kinsoku/>
        <w:wordWrap/>
        <w:overflowPunct/>
        <w:topLinePunct w:val="0"/>
        <w:autoSpaceDE/>
        <w:autoSpaceDN/>
        <w:bidi w:val="0"/>
        <w:spacing w:line="560" w:lineRule="exact"/>
        <w:ind w:firstLine="1600" w:firstLineChars="500"/>
        <w:jc w:val="both"/>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2.2026年度北京市医师定期考核报考专业</w:t>
      </w:r>
    </w:p>
    <w:p w14:paraId="3F14E16B">
      <w:pPr>
        <w:keepNext w:val="0"/>
        <w:keepLines w:val="0"/>
        <w:pageBreakBefore w:val="0"/>
        <w:kinsoku/>
        <w:wordWrap/>
        <w:overflowPunct/>
        <w:topLinePunct w:val="0"/>
        <w:autoSpaceDE/>
        <w:autoSpaceDN/>
        <w:bidi w:val="0"/>
        <w:spacing w:line="560" w:lineRule="exact"/>
        <w:ind w:left="1916" w:leftChars="760" w:hanging="320" w:hangingChars="100"/>
        <w:jc w:val="both"/>
        <w:rPr>
          <w:rFonts w:hint="default"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3.北京市医师定期考核管理系统用户操作手册-医疗机构&amp;考核机构</w:t>
      </w:r>
    </w:p>
    <w:p w14:paraId="319206E2">
      <w:pPr>
        <w:keepNext w:val="0"/>
        <w:keepLines w:val="0"/>
        <w:pageBreakBefore w:val="0"/>
        <w:kinsoku/>
        <w:wordWrap/>
        <w:overflowPunct/>
        <w:topLinePunct w:val="0"/>
        <w:autoSpaceDE/>
        <w:autoSpaceDN/>
        <w:bidi w:val="0"/>
        <w:spacing w:line="560" w:lineRule="exact"/>
        <w:ind w:firstLine="640" w:firstLineChars="200"/>
        <w:jc w:val="both"/>
        <w:rPr>
          <w:rFonts w:hint="default"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 xml:space="preserve">      4.北京市医师定期考核管理系统用户操作手册-医师</w:t>
      </w:r>
    </w:p>
    <w:p w14:paraId="403C7DFD">
      <w:pPr>
        <w:keepNext w:val="0"/>
        <w:keepLines w:val="0"/>
        <w:pageBreakBefore w:val="0"/>
        <w:kinsoku/>
        <w:wordWrap/>
        <w:overflowPunct/>
        <w:topLinePunct w:val="0"/>
        <w:autoSpaceDE/>
        <w:autoSpaceDN/>
        <w:bidi w:val="0"/>
        <w:spacing w:line="560" w:lineRule="exact"/>
        <w:ind w:firstLine="640" w:firstLineChars="200"/>
        <w:jc w:val="right"/>
        <w:rPr>
          <w:rFonts w:hint="eastAsia" w:ascii="仿宋_GB2312" w:hAnsi="Calibri" w:eastAsia="仿宋_GB2312" w:cs="Times New Roman"/>
          <w:sz w:val="32"/>
          <w:szCs w:val="32"/>
          <w:lang w:val="en-US" w:eastAsia="zh-CN"/>
        </w:rPr>
      </w:pPr>
    </w:p>
    <w:p w14:paraId="59A547FB">
      <w:pPr>
        <w:rPr>
          <w:rFonts w:hint="eastAsia" w:ascii="黑体" w:hAnsi="黑体" w:eastAsia="黑体" w:cs="黑体"/>
          <w:sz w:val="32"/>
          <w:szCs w:val="32"/>
        </w:rPr>
      </w:pPr>
      <w:r>
        <w:rPr>
          <w:rFonts w:hint="eastAsia" w:ascii="仿宋_GB2312" w:hAnsi="Calibri" w:eastAsia="仿宋_GB2312" w:cs="Times New Roman"/>
          <w:sz w:val="32"/>
          <w:szCs w:val="32"/>
          <w:lang w:val="en-US" w:eastAsia="zh-CN"/>
        </w:rPr>
        <w:br w:type="page"/>
      </w:r>
    </w:p>
    <w:p w14:paraId="2DB83E50">
      <w:pPr>
        <w:widowControl/>
        <w:spacing w:line="560" w:lineRule="exact"/>
        <w:ind w:firstLine="0" w:firstLineChars="0"/>
        <w:jc w:val="left"/>
        <w:textAlignment w:val="center"/>
        <w:rPr>
          <w:rFonts w:hint="eastAsia" w:ascii="方正小标宋简体" w:hAnsi="方正小标宋简体" w:eastAsia="方正小标宋简体" w:cs="方正小标宋简体"/>
          <w:sz w:val="32"/>
          <w:szCs w:val="32"/>
        </w:rPr>
      </w:pPr>
      <w:r>
        <w:rPr>
          <w:rFonts w:hint="eastAsia" w:ascii="黑体" w:hAnsi="黑体" w:eastAsia="黑体" w:cs="黑体"/>
          <w:sz w:val="32"/>
          <w:szCs w:val="32"/>
        </w:rPr>
        <w:t>附件1</w:t>
      </w:r>
      <w:r>
        <w:rPr>
          <w:rFonts w:hint="eastAsia" w:ascii="黑体" w:hAnsi="黑体" w:eastAsia="黑体" w:cs="黑体"/>
          <w:sz w:val="32"/>
          <w:szCs w:val="32"/>
          <w:lang w:val="en-US" w:eastAsia="zh-CN"/>
        </w:rPr>
        <w:t xml:space="preserve"> </w:t>
      </w:r>
    </w:p>
    <w:p w14:paraId="0FB51516">
      <w:pPr>
        <w:widowControl/>
        <w:spacing w:line="240" w:lineRule="auto"/>
        <w:ind w:firstLine="0" w:firstLineChars="0"/>
        <w:jc w:val="center"/>
        <w:textAlignment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6</w:t>
      </w:r>
      <w:r>
        <w:rPr>
          <w:rFonts w:hint="eastAsia" w:ascii="方正小标宋简体" w:hAnsi="方正小标宋简体" w:eastAsia="方正小标宋简体" w:cs="方正小标宋简体"/>
          <w:sz w:val="44"/>
          <w:szCs w:val="44"/>
        </w:rPr>
        <w:t>年度北京市医师定期考核时间安排</w:t>
      </w:r>
    </w:p>
    <w:p w14:paraId="32BD70F9">
      <w:pPr>
        <w:widowControl/>
        <w:spacing w:line="400" w:lineRule="exact"/>
        <w:ind w:firstLine="0" w:firstLineChars="0"/>
        <w:jc w:val="center"/>
        <w:textAlignment w:val="center"/>
        <w:rPr>
          <w:rFonts w:hint="eastAsia" w:ascii="方正小标宋简体" w:hAnsi="方正小标宋简体" w:eastAsia="方正小标宋简体" w:cs="方正小标宋简体"/>
          <w:sz w:val="44"/>
          <w:szCs w:val="44"/>
        </w:rPr>
      </w:pPr>
    </w:p>
    <w:tbl>
      <w:tblPr>
        <w:tblStyle w:val="10"/>
        <w:tblW w:w="87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35"/>
        <w:gridCol w:w="6213"/>
      </w:tblGrid>
      <w:tr w14:paraId="0FCC0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2535" w:type="dxa"/>
            <w:noWrap w:val="0"/>
            <w:vAlign w:val="top"/>
          </w:tcPr>
          <w:p w14:paraId="3C7BB6BF">
            <w:pPr>
              <w:keepNext w:val="0"/>
              <w:keepLines w:val="0"/>
              <w:widowControl/>
              <w:suppressLineNumbers w:val="0"/>
              <w:spacing w:line="240" w:lineRule="auto"/>
              <w:ind w:firstLine="0" w:firstLineChars="0"/>
              <w:jc w:val="center"/>
              <w:textAlignment w:val="top"/>
              <w:rPr>
                <w:rFonts w:hint="eastAsia" w:ascii="黑体" w:hAnsi="黑体" w:eastAsia="黑体" w:cs="黑体"/>
                <w:b w:val="0"/>
                <w:color w:val="000000"/>
                <w:sz w:val="32"/>
                <w:szCs w:val="32"/>
              </w:rPr>
            </w:pPr>
            <w:r>
              <w:rPr>
                <w:rFonts w:hint="eastAsia" w:ascii="黑体" w:hAnsi="黑体" w:eastAsia="黑体" w:cs="黑体"/>
                <w:b w:val="0"/>
                <w:bCs w:val="0"/>
                <w:i w:val="0"/>
                <w:iCs w:val="0"/>
                <w:color w:val="000000"/>
                <w:kern w:val="0"/>
                <w:sz w:val="32"/>
                <w:szCs w:val="32"/>
                <w:u w:val="none"/>
                <w:lang w:val="en-US" w:eastAsia="zh-CN" w:bidi="ar"/>
              </w:rPr>
              <w:t>时 间</w:t>
            </w:r>
          </w:p>
        </w:tc>
        <w:tc>
          <w:tcPr>
            <w:tcW w:w="6213" w:type="dxa"/>
            <w:noWrap w:val="0"/>
            <w:vAlign w:val="top"/>
          </w:tcPr>
          <w:p w14:paraId="7F454DF1">
            <w:pPr>
              <w:keepNext w:val="0"/>
              <w:keepLines w:val="0"/>
              <w:widowControl/>
              <w:suppressLineNumbers w:val="0"/>
              <w:spacing w:line="240" w:lineRule="auto"/>
              <w:ind w:firstLine="0" w:firstLineChars="0"/>
              <w:jc w:val="center"/>
              <w:textAlignment w:val="top"/>
              <w:rPr>
                <w:rFonts w:hint="eastAsia" w:ascii="黑体" w:hAnsi="黑体" w:eastAsia="黑体" w:cs="黑体"/>
                <w:b w:val="0"/>
                <w:color w:val="000000"/>
                <w:sz w:val="32"/>
                <w:szCs w:val="32"/>
              </w:rPr>
            </w:pPr>
            <w:r>
              <w:rPr>
                <w:rFonts w:hint="eastAsia" w:ascii="黑体" w:hAnsi="黑体" w:eastAsia="黑体" w:cs="黑体"/>
                <w:b w:val="0"/>
                <w:bCs w:val="0"/>
                <w:i w:val="0"/>
                <w:iCs w:val="0"/>
                <w:color w:val="000000"/>
                <w:kern w:val="0"/>
                <w:sz w:val="32"/>
                <w:szCs w:val="32"/>
                <w:u w:val="none"/>
                <w:lang w:val="en-US" w:eastAsia="zh-CN" w:bidi="ar"/>
              </w:rPr>
              <w:t>工 作 内 容</w:t>
            </w:r>
          </w:p>
        </w:tc>
      </w:tr>
      <w:tr w14:paraId="4CA9F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35" w:type="dxa"/>
            <w:noWrap w:val="0"/>
            <w:vAlign w:val="center"/>
          </w:tcPr>
          <w:p w14:paraId="7AB99C87">
            <w:pPr>
              <w:keepNext w:val="0"/>
              <w:keepLines w:val="0"/>
              <w:widowControl/>
              <w:suppressLineNumbers w:val="0"/>
              <w:spacing w:line="240" w:lineRule="auto"/>
              <w:ind w:firstLine="0" w:firstLineChars="0"/>
              <w:jc w:val="center"/>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2026.4.1-4.30</w:t>
            </w:r>
          </w:p>
        </w:tc>
        <w:tc>
          <w:tcPr>
            <w:tcW w:w="6213" w:type="dxa"/>
            <w:noWrap w:val="0"/>
            <w:vAlign w:val="top"/>
          </w:tcPr>
          <w:p w14:paraId="272DD4B0">
            <w:pPr>
              <w:keepNext w:val="0"/>
              <w:keepLines w:val="0"/>
              <w:widowControl/>
              <w:suppressLineNumbers w:val="0"/>
              <w:spacing w:line="240" w:lineRule="auto"/>
              <w:ind w:firstLine="0" w:firstLineChars="0"/>
              <w:jc w:val="left"/>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医师个人网上报名</w:t>
            </w:r>
          </w:p>
        </w:tc>
      </w:tr>
      <w:tr w14:paraId="510C6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2535" w:type="dxa"/>
            <w:noWrap w:val="0"/>
            <w:vAlign w:val="center"/>
          </w:tcPr>
          <w:p w14:paraId="321F98AD">
            <w:pPr>
              <w:keepNext w:val="0"/>
              <w:keepLines w:val="0"/>
              <w:widowControl w:val="0"/>
              <w:suppressLineNumbers w:val="0"/>
              <w:spacing w:line="240" w:lineRule="auto"/>
              <w:ind w:firstLine="0" w:firstLineChars="0"/>
              <w:jc w:val="center"/>
              <w:textAlignment w:val="top"/>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i w:val="0"/>
                <w:iCs w:val="0"/>
                <w:color w:val="000000"/>
                <w:kern w:val="0"/>
                <w:sz w:val="32"/>
                <w:szCs w:val="32"/>
                <w:u w:val="none"/>
                <w:lang w:val="en-US" w:eastAsia="zh-CN" w:bidi="ar"/>
              </w:rPr>
              <w:t>2026.5.1-5.24</w:t>
            </w:r>
          </w:p>
        </w:tc>
        <w:tc>
          <w:tcPr>
            <w:tcW w:w="6213" w:type="dxa"/>
            <w:noWrap w:val="0"/>
            <w:vAlign w:val="center"/>
          </w:tcPr>
          <w:p w14:paraId="7205C4A5">
            <w:pPr>
              <w:keepNext w:val="0"/>
              <w:keepLines w:val="0"/>
              <w:widowControl w:val="0"/>
              <w:suppressLineNumbers w:val="0"/>
              <w:spacing w:line="240" w:lineRule="auto"/>
              <w:ind w:firstLine="0" w:firstLineChars="0"/>
              <w:jc w:val="both"/>
              <w:textAlignment w:val="top"/>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i w:val="0"/>
                <w:iCs w:val="0"/>
                <w:color w:val="000000"/>
                <w:kern w:val="0"/>
                <w:sz w:val="32"/>
                <w:szCs w:val="32"/>
                <w:u w:val="none"/>
                <w:lang w:val="en-US" w:eastAsia="zh-CN" w:bidi="ar"/>
              </w:rPr>
              <w:t>执业机构对医师个人报名情况进行审核</w:t>
            </w:r>
          </w:p>
        </w:tc>
      </w:tr>
      <w:tr w14:paraId="369B5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35" w:type="dxa"/>
            <w:noWrap w:val="0"/>
            <w:vAlign w:val="center"/>
          </w:tcPr>
          <w:p w14:paraId="48182010">
            <w:pPr>
              <w:keepNext w:val="0"/>
              <w:keepLines w:val="0"/>
              <w:widowControl/>
              <w:suppressLineNumbers w:val="0"/>
              <w:spacing w:line="240" w:lineRule="auto"/>
              <w:ind w:firstLine="0" w:firstLineChars="0"/>
              <w:jc w:val="center"/>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2026.5.25-6.26</w:t>
            </w:r>
          </w:p>
        </w:tc>
        <w:tc>
          <w:tcPr>
            <w:tcW w:w="6213" w:type="dxa"/>
            <w:noWrap w:val="0"/>
            <w:vAlign w:val="top"/>
          </w:tcPr>
          <w:p w14:paraId="317181CB">
            <w:pPr>
              <w:keepNext w:val="0"/>
              <w:keepLines w:val="0"/>
              <w:widowControl/>
              <w:suppressLineNumbers w:val="0"/>
              <w:spacing w:line="240" w:lineRule="auto"/>
              <w:ind w:firstLine="0" w:firstLineChars="0"/>
              <w:jc w:val="both"/>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spacing w:val="-11"/>
                <w:kern w:val="0"/>
                <w:sz w:val="32"/>
                <w:szCs w:val="32"/>
                <w:u w:val="none"/>
                <w:lang w:val="en-US" w:eastAsia="zh-CN" w:bidi="ar"/>
              </w:rPr>
              <w:t>执业机构对医师进行职业道德和工作成绩考核</w:t>
            </w:r>
          </w:p>
        </w:tc>
      </w:tr>
      <w:tr w14:paraId="3E2B2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35" w:type="dxa"/>
            <w:noWrap w:val="0"/>
            <w:vAlign w:val="center"/>
          </w:tcPr>
          <w:p w14:paraId="716B3002">
            <w:pPr>
              <w:keepNext w:val="0"/>
              <w:keepLines w:val="0"/>
              <w:widowControl/>
              <w:suppressLineNumbers w:val="0"/>
              <w:spacing w:line="240" w:lineRule="auto"/>
              <w:ind w:firstLine="0" w:firstLineChars="0"/>
              <w:jc w:val="center"/>
              <w:textAlignment w:val="top"/>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2026.6.27-6.30</w:t>
            </w:r>
          </w:p>
        </w:tc>
        <w:tc>
          <w:tcPr>
            <w:tcW w:w="6213" w:type="dxa"/>
            <w:noWrap w:val="0"/>
            <w:vAlign w:val="top"/>
          </w:tcPr>
          <w:p w14:paraId="4112B2E7">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both"/>
              <w:textAlignment w:val="top"/>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执业机构对医师职业道德和工作成绩考核结果进行确认</w:t>
            </w:r>
          </w:p>
        </w:tc>
      </w:tr>
      <w:tr w14:paraId="59BC5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2535" w:type="dxa"/>
            <w:noWrap w:val="0"/>
            <w:vAlign w:val="center"/>
          </w:tcPr>
          <w:p w14:paraId="71F46FB7">
            <w:pPr>
              <w:keepNext w:val="0"/>
              <w:keepLines w:val="0"/>
              <w:widowControl/>
              <w:suppressLineNumbers w:val="0"/>
              <w:spacing w:line="240" w:lineRule="auto"/>
              <w:ind w:firstLine="0" w:firstLineChars="0"/>
              <w:jc w:val="center"/>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2026.7.1-7.31</w:t>
            </w:r>
          </w:p>
        </w:tc>
        <w:tc>
          <w:tcPr>
            <w:tcW w:w="6213" w:type="dxa"/>
            <w:noWrap w:val="0"/>
            <w:vAlign w:val="top"/>
          </w:tcPr>
          <w:p w14:paraId="2E6230EE">
            <w:pPr>
              <w:keepNext w:val="0"/>
              <w:keepLines w:val="0"/>
              <w:widowControl/>
              <w:suppressLineNumbers w:val="0"/>
              <w:spacing w:line="240" w:lineRule="auto"/>
              <w:ind w:firstLine="0" w:firstLineChars="0"/>
              <w:jc w:val="both"/>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业务水平测评</w:t>
            </w:r>
          </w:p>
        </w:tc>
      </w:tr>
      <w:tr w14:paraId="2D9DF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35" w:type="dxa"/>
            <w:noWrap w:val="0"/>
            <w:vAlign w:val="center"/>
          </w:tcPr>
          <w:p w14:paraId="6401D8D4">
            <w:pPr>
              <w:keepNext w:val="0"/>
              <w:keepLines w:val="0"/>
              <w:widowControl/>
              <w:suppressLineNumbers w:val="0"/>
              <w:spacing w:line="240" w:lineRule="auto"/>
              <w:ind w:firstLine="0" w:firstLineChars="0"/>
              <w:jc w:val="center"/>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2026.8.1-8.9</w:t>
            </w:r>
          </w:p>
        </w:tc>
        <w:tc>
          <w:tcPr>
            <w:tcW w:w="6213" w:type="dxa"/>
            <w:noWrap w:val="0"/>
            <w:vAlign w:val="top"/>
          </w:tcPr>
          <w:p w14:paraId="4B69D905">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各区医师定期考核办公室及各考核机构对考核数据进行核对确认</w:t>
            </w:r>
          </w:p>
        </w:tc>
      </w:tr>
      <w:tr w14:paraId="4DC72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2535" w:type="dxa"/>
            <w:noWrap w:val="0"/>
            <w:vAlign w:val="center"/>
          </w:tcPr>
          <w:p w14:paraId="4AFAD7D7">
            <w:pPr>
              <w:keepNext w:val="0"/>
              <w:keepLines w:val="0"/>
              <w:widowControl/>
              <w:suppressLineNumbers w:val="0"/>
              <w:spacing w:line="240" w:lineRule="auto"/>
              <w:ind w:firstLine="0" w:firstLineChars="0"/>
              <w:jc w:val="center"/>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2026.8.10</w:t>
            </w:r>
          </w:p>
        </w:tc>
        <w:tc>
          <w:tcPr>
            <w:tcW w:w="6213" w:type="dxa"/>
            <w:noWrap w:val="0"/>
            <w:vAlign w:val="top"/>
          </w:tcPr>
          <w:p w14:paraId="6F5456F8">
            <w:pPr>
              <w:keepNext w:val="0"/>
              <w:keepLines w:val="0"/>
              <w:widowControl/>
              <w:suppressLineNumbers w:val="0"/>
              <w:spacing w:line="240" w:lineRule="auto"/>
              <w:ind w:firstLine="0" w:firstLineChars="0"/>
              <w:jc w:val="both"/>
              <w:textAlignment w:val="top"/>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考核通道关闭</w:t>
            </w:r>
          </w:p>
        </w:tc>
      </w:tr>
      <w:tr w14:paraId="7895B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2535" w:type="dxa"/>
            <w:noWrap w:val="0"/>
            <w:vAlign w:val="center"/>
          </w:tcPr>
          <w:p w14:paraId="402BE331">
            <w:pPr>
              <w:keepNext w:val="0"/>
              <w:keepLines w:val="0"/>
              <w:widowControl/>
              <w:suppressLineNumbers w:val="0"/>
              <w:spacing w:line="240" w:lineRule="auto"/>
              <w:ind w:firstLine="0" w:firstLineChars="0"/>
              <w:jc w:val="center"/>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2026.8.31前</w:t>
            </w:r>
          </w:p>
        </w:tc>
        <w:tc>
          <w:tcPr>
            <w:tcW w:w="6213" w:type="dxa"/>
            <w:noWrap w:val="0"/>
            <w:vAlign w:val="top"/>
          </w:tcPr>
          <w:p w14:paraId="1E9F92C4">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both"/>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市医师定期考核办公室将医师定期考核数据植入医师电子化注册信息系统</w:t>
            </w:r>
          </w:p>
        </w:tc>
      </w:tr>
    </w:tbl>
    <w:p w14:paraId="79E30EC7">
      <w:pPr>
        <w:spacing w:line="240" w:lineRule="auto"/>
        <w:ind w:firstLine="0" w:firstLineChars="0"/>
        <w:rPr>
          <w:rFonts w:ascii="Calibri" w:hAnsi="Calibri" w:cs="Times New Roman"/>
        </w:rPr>
      </w:pPr>
    </w:p>
    <w:p w14:paraId="0636E966">
      <w:pPr>
        <w:spacing w:line="240" w:lineRule="auto"/>
        <w:ind w:firstLine="0" w:firstLineChars="0"/>
        <w:rPr>
          <w:rFonts w:ascii="Calibri" w:hAnsi="Calibri" w:cs="Times New Roman"/>
        </w:rPr>
      </w:pPr>
    </w:p>
    <w:p w14:paraId="4BEF968C">
      <w:pPr>
        <w:spacing w:line="240" w:lineRule="auto"/>
        <w:ind w:firstLine="0" w:firstLineChars="0"/>
        <w:rPr>
          <w:rFonts w:ascii="Calibri" w:hAnsi="Calibri" w:cs="Times New Roman"/>
        </w:rPr>
      </w:pPr>
    </w:p>
    <w:p w14:paraId="476A1B1C">
      <w:pPr>
        <w:spacing w:line="240" w:lineRule="auto"/>
        <w:ind w:firstLine="0" w:firstLineChars="0"/>
        <w:rPr>
          <w:rFonts w:ascii="Calibri" w:hAnsi="Calibri" w:cs="Times New Roman"/>
        </w:rPr>
      </w:pPr>
    </w:p>
    <w:p w14:paraId="4479F4B7">
      <w:pPr>
        <w:spacing w:line="240" w:lineRule="auto"/>
        <w:ind w:firstLine="0" w:firstLineChars="0"/>
        <w:rPr>
          <w:rFonts w:ascii="Calibri" w:hAnsi="Calibri" w:cs="Times New Roman"/>
        </w:rPr>
      </w:pPr>
    </w:p>
    <w:p w14:paraId="15C4CC4F">
      <w:pPr>
        <w:spacing w:line="240" w:lineRule="auto"/>
        <w:ind w:firstLine="0" w:firstLineChars="0"/>
        <w:rPr>
          <w:rFonts w:ascii="Calibri" w:hAnsi="Calibri" w:cs="Times New Roman"/>
        </w:rPr>
      </w:pPr>
    </w:p>
    <w:p w14:paraId="3EE5351A">
      <w:pPr>
        <w:widowControl/>
        <w:spacing w:line="240" w:lineRule="auto"/>
        <w:ind w:firstLine="0" w:firstLineChars="0"/>
        <w:jc w:val="left"/>
        <w:textAlignment w:val="center"/>
        <w:rPr>
          <w:rFonts w:hint="eastAsia" w:ascii="黑体" w:hAnsi="黑体" w:eastAsia="黑体" w:cs="黑体"/>
          <w:sz w:val="32"/>
          <w:szCs w:val="32"/>
        </w:rPr>
      </w:pPr>
    </w:p>
    <w:p w14:paraId="27ECE853">
      <w:pPr>
        <w:rPr>
          <w:rFonts w:hint="eastAsia" w:ascii="黑体" w:hAnsi="黑体" w:eastAsia="黑体" w:cs="黑体"/>
          <w:sz w:val="32"/>
          <w:szCs w:val="32"/>
        </w:rPr>
      </w:pPr>
      <w:r>
        <w:rPr>
          <w:rFonts w:hint="eastAsia" w:ascii="黑体" w:hAnsi="黑体" w:eastAsia="黑体" w:cs="黑体"/>
          <w:sz w:val="32"/>
          <w:szCs w:val="32"/>
        </w:rPr>
        <w:br w:type="page"/>
      </w:r>
    </w:p>
    <w:p w14:paraId="76DA626D">
      <w:pPr>
        <w:widowControl/>
        <w:spacing w:line="240" w:lineRule="auto"/>
        <w:ind w:firstLine="0" w:firstLineChars="0"/>
        <w:jc w:val="left"/>
        <w:textAlignment w:val="center"/>
        <w:rPr>
          <w:rFonts w:hint="eastAsia" w:ascii="黑体" w:hAnsi="黑体" w:eastAsia="黑体" w:cs="黑体"/>
          <w:sz w:val="32"/>
          <w:szCs w:val="32"/>
        </w:rPr>
      </w:pPr>
      <w:r>
        <w:rPr>
          <w:rFonts w:hint="eastAsia" w:ascii="黑体" w:hAnsi="黑体" w:eastAsia="黑体" w:cs="黑体"/>
          <w:sz w:val="32"/>
          <w:szCs w:val="32"/>
        </w:rPr>
        <w:t>附件2</w:t>
      </w:r>
    </w:p>
    <w:p w14:paraId="23B2742C">
      <w:pPr>
        <w:widowControl/>
        <w:spacing w:line="240" w:lineRule="auto"/>
        <w:ind w:firstLine="0" w:firstLineChars="0"/>
        <w:jc w:val="center"/>
        <w:textAlignment w:val="center"/>
        <w:rPr>
          <w:rFonts w:hint="eastAsia" w:ascii="黑体" w:hAnsi="黑体" w:eastAsia="黑体" w:cs="黑体"/>
          <w:sz w:val="32"/>
          <w:szCs w:val="32"/>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6</w:t>
      </w:r>
      <w:r>
        <w:rPr>
          <w:rFonts w:hint="eastAsia" w:ascii="方正小标宋简体" w:hAnsi="方正小标宋简体" w:eastAsia="方正小标宋简体" w:cs="方正小标宋简体"/>
          <w:sz w:val="44"/>
          <w:szCs w:val="44"/>
        </w:rPr>
        <w:t>年度北京市医师定期考核报考专业</w:t>
      </w:r>
    </w:p>
    <w:p w14:paraId="31ACC582">
      <w:pPr>
        <w:spacing w:line="240" w:lineRule="auto"/>
        <w:ind w:firstLine="0" w:firstLineChars="0"/>
        <w:rPr>
          <w:rFonts w:ascii="Calibri" w:hAnsi="Calibri" w:cs="Times New Roman"/>
        </w:rPr>
      </w:pPr>
    </w:p>
    <w:tbl>
      <w:tblPr>
        <w:tblStyle w:val="10"/>
        <w:tblW w:w="897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55"/>
        <w:gridCol w:w="1738"/>
        <w:gridCol w:w="2933"/>
        <w:gridCol w:w="2847"/>
      </w:tblGrid>
      <w:tr w14:paraId="12B02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tcBorders>
              <w:top w:val="single" w:color="000000" w:sz="8" w:space="0"/>
              <w:left w:val="single" w:color="000000" w:sz="8" w:space="0"/>
              <w:bottom w:val="single" w:color="000000" w:sz="4" w:space="0"/>
              <w:right w:val="single" w:color="000000" w:sz="4" w:space="0"/>
            </w:tcBorders>
            <w:noWrap/>
            <w:vAlign w:val="center"/>
          </w:tcPr>
          <w:p w14:paraId="0C004099">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执业类别</w:t>
            </w:r>
          </w:p>
        </w:tc>
        <w:tc>
          <w:tcPr>
            <w:tcW w:w="1738" w:type="dxa"/>
            <w:tcBorders>
              <w:top w:val="single" w:color="000000" w:sz="8" w:space="0"/>
              <w:left w:val="single" w:color="000000" w:sz="4" w:space="0"/>
              <w:bottom w:val="single" w:color="000000" w:sz="4" w:space="0"/>
              <w:right w:val="single" w:color="000000" w:sz="4" w:space="0"/>
            </w:tcBorders>
            <w:noWrap/>
            <w:vAlign w:val="center"/>
          </w:tcPr>
          <w:p w14:paraId="642102D4">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诊疗科目</w:t>
            </w:r>
          </w:p>
        </w:tc>
        <w:tc>
          <w:tcPr>
            <w:tcW w:w="2933" w:type="dxa"/>
            <w:tcBorders>
              <w:top w:val="single" w:color="000000" w:sz="8" w:space="0"/>
              <w:left w:val="single" w:color="000000" w:sz="4" w:space="0"/>
              <w:bottom w:val="single" w:color="000000" w:sz="4" w:space="0"/>
              <w:right w:val="single" w:color="000000" w:sz="4" w:space="0"/>
            </w:tcBorders>
            <w:noWrap/>
            <w:vAlign w:val="center"/>
          </w:tcPr>
          <w:p w14:paraId="4105FDF6">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执业范围</w:t>
            </w:r>
          </w:p>
        </w:tc>
        <w:tc>
          <w:tcPr>
            <w:tcW w:w="2847" w:type="dxa"/>
            <w:tcBorders>
              <w:top w:val="single" w:color="000000" w:sz="8" w:space="0"/>
              <w:left w:val="single" w:color="000000" w:sz="4" w:space="0"/>
              <w:bottom w:val="single" w:color="000000" w:sz="4" w:space="0"/>
              <w:right w:val="single" w:color="000000" w:sz="8" w:space="0"/>
            </w:tcBorders>
            <w:noWrap/>
            <w:vAlign w:val="center"/>
          </w:tcPr>
          <w:p w14:paraId="24B5FD5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报考专业</w:t>
            </w:r>
          </w:p>
        </w:tc>
      </w:tr>
      <w:tr w14:paraId="29E3A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jc w:val="center"/>
        </w:trPr>
        <w:tc>
          <w:tcPr>
            <w:tcW w:w="1455" w:type="dxa"/>
            <w:vMerge w:val="restart"/>
            <w:tcBorders>
              <w:top w:val="single" w:color="000000" w:sz="4" w:space="0"/>
              <w:left w:val="single" w:color="000000" w:sz="8" w:space="0"/>
              <w:bottom w:val="single" w:color="000000" w:sz="4" w:space="0"/>
              <w:right w:val="single" w:color="000000" w:sz="4" w:space="0"/>
            </w:tcBorders>
            <w:noWrap/>
            <w:vAlign w:val="center"/>
          </w:tcPr>
          <w:p w14:paraId="59AFF434">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restart"/>
            <w:tcBorders>
              <w:top w:val="single" w:color="000000" w:sz="4" w:space="0"/>
              <w:left w:val="single" w:color="000000" w:sz="4" w:space="0"/>
              <w:bottom w:val="single" w:color="000000" w:sz="4" w:space="0"/>
              <w:right w:val="single" w:color="000000" w:sz="4" w:space="0"/>
            </w:tcBorders>
            <w:noWrap/>
            <w:vAlign w:val="center"/>
          </w:tcPr>
          <w:p w14:paraId="4A7591BD">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内科</w:t>
            </w: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14:paraId="1E11910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内科专业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691A8020">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内科专业</w:t>
            </w:r>
          </w:p>
        </w:tc>
      </w:tr>
      <w:tr w14:paraId="55F69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09976896">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48F82693">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35BE9EE1">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5A5F7389">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呼吸内科专业</w:t>
            </w:r>
          </w:p>
        </w:tc>
      </w:tr>
      <w:tr w14:paraId="40855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30111112">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194BE454">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1A93152D">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5BBDD18F">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消化内科专业</w:t>
            </w:r>
          </w:p>
        </w:tc>
      </w:tr>
      <w:tr w14:paraId="7E28B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7B93EC8F">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0DA0A308">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72B2BF28">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64328EFB">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神经内科专业</w:t>
            </w:r>
          </w:p>
        </w:tc>
      </w:tr>
      <w:tr w14:paraId="72548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7C9D5B2D">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2B56B99D">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1DD1A0F7">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043BD515">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心血管内科专业</w:t>
            </w:r>
          </w:p>
        </w:tc>
      </w:tr>
      <w:tr w14:paraId="0A5AC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7F819227">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1AC3476F">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6003C407">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5FB275F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血液内科专业</w:t>
            </w:r>
          </w:p>
        </w:tc>
      </w:tr>
      <w:tr w14:paraId="50765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14645122">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46E63623">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658216D3">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6402A473">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肾病学专业</w:t>
            </w:r>
          </w:p>
        </w:tc>
      </w:tr>
      <w:tr w14:paraId="6DBA2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4C25A817">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78788505">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6583C057">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672BCFBD">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内分泌专业</w:t>
            </w:r>
          </w:p>
        </w:tc>
      </w:tr>
      <w:tr w14:paraId="0A677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47DEC097">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2D55778E">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22CCD6A5">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7E96E804">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免疫学专业</w:t>
            </w:r>
          </w:p>
        </w:tc>
      </w:tr>
      <w:tr w14:paraId="0E973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7E8D3B0A">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0EA45D7A">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3AABD4ED">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42921654">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老年病专业</w:t>
            </w:r>
          </w:p>
        </w:tc>
      </w:tr>
      <w:tr w14:paraId="4951B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31A33FA0">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32B14EA0">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7227695D">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6EEB9FCE">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感染专业</w:t>
            </w:r>
          </w:p>
        </w:tc>
      </w:tr>
      <w:tr w14:paraId="77821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3796BDEA">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restart"/>
            <w:tcBorders>
              <w:top w:val="single" w:color="000000" w:sz="4" w:space="0"/>
              <w:left w:val="single" w:color="000000" w:sz="4" w:space="0"/>
              <w:bottom w:val="single" w:color="000000" w:sz="4" w:space="0"/>
              <w:right w:val="single" w:color="000000" w:sz="4" w:space="0"/>
            </w:tcBorders>
            <w:noWrap/>
            <w:vAlign w:val="center"/>
          </w:tcPr>
          <w:p w14:paraId="30A12A06">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外科</w:t>
            </w: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14:paraId="1B7C2AE9">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外科专业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49E1761D">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外科专业</w:t>
            </w:r>
          </w:p>
        </w:tc>
      </w:tr>
      <w:tr w14:paraId="486BF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00B50DC2">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6FEA24E8">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1D309B04">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33444021">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普通外科专业</w:t>
            </w:r>
          </w:p>
        </w:tc>
      </w:tr>
      <w:tr w14:paraId="00946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1514F199">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4CCCE6CA">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6E756FDC">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397311BB">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神经外科专业</w:t>
            </w:r>
          </w:p>
        </w:tc>
      </w:tr>
      <w:tr w14:paraId="50B71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793CA3C7">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2FCC6F76">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245B98F6">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23C2AE3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骨科专业</w:t>
            </w:r>
          </w:p>
        </w:tc>
      </w:tr>
      <w:tr w14:paraId="3DB32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6DB7EC40">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07A34C6C">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18EDDA50">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32BDFA49">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泌尿外科专业</w:t>
            </w:r>
          </w:p>
        </w:tc>
      </w:tr>
      <w:tr w14:paraId="123C4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64B68F9D">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7ABCCF0E">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20650073">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6FBEB6CE">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胸外科专业</w:t>
            </w:r>
          </w:p>
        </w:tc>
      </w:tr>
      <w:tr w14:paraId="61C70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2661A149">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06253145">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506A01CC">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34425DA9">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spacing w:val="-23"/>
                <w:kern w:val="0"/>
                <w:sz w:val="30"/>
                <w:szCs w:val="30"/>
                <w:u w:val="none"/>
                <w:lang w:val="en-US" w:eastAsia="zh-CN" w:bidi="ar"/>
              </w:rPr>
              <w:t>心脏大血管外科专业</w:t>
            </w:r>
          </w:p>
        </w:tc>
      </w:tr>
      <w:tr w14:paraId="7A58B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787ED9AC">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7C9F249D">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67F798A7">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745DF490">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血管外科专业</w:t>
            </w:r>
          </w:p>
        </w:tc>
      </w:tr>
      <w:tr w14:paraId="1DB21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04B3B33B">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383B0A78">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5503DEC1">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55B2B5E0">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烧伤科专业</w:t>
            </w:r>
          </w:p>
        </w:tc>
      </w:tr>
      <w:tr w14:paraId="619A9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0EAB1A00">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38C6DBEA">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27A69834">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45B5E998">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整形外科专业</w:t>
            </w:r>
          </w:p>
        </w:tc>
      </w:tr>
      <w:tr w14:paraId="768C2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2458BC5B">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0BB1132A">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3B8E8ED6">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35A28A70">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麻醉专业</w:t>
            </w:r>
          </w:p>
        </w:tc>
      </w:tr>
      <w:tr w14:paraId="4F725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1DA7AA1B">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14:paraId="57FFEB32">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妇产科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6FD0BD42">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妇产科专业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1E989371">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妇产科专业</w:t>
            </w:r>
          </w:p>
        </w:tc>
      </w:tr>
      <w:tr w14:paraId="4F0CB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5132B34E">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restart"/>
            <w:tcBorders>
              <w:top w:val="single" w:color="000000" w:sz="4" w:space="0"/>
              <w:left w:val="single" w:color="000000" w:sz="4" w:space="0"/>
              <w:bottom w:val="single" w:color="000000" w:sz="4" w:space="0"/>
              <w:right w:val="single" w:color="000000" w:sz="4" w:space="0"/>
            </w:tcBorders>
            <w:noWrap/>
            <w:vAlign w:val="center"/>
          </w:tcPr>
          <w:p w14:paraId="08B9B638">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儿科</w:t>
            </w: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14:paraId="18FBAA2E">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儿科专业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14EC625B">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儿内科专业</w:t>
            </w:r>
          </w:p>
        </w:tc>
      </w:tr>
      <w:tr w14:paraId="6D9A9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2E92C4C9">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27AE93D3">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32C376F5">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6A1EBFBC">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儿外科专业</w:t>
            </w:r>
          </w:p>
        </w:tc>
      </w:tr>
      <w:tr w14:paraId="3A416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3DE79F6F">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14:paraId="0920FA3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眼科</w:t>
            </w: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14:paraId="4E49EF02">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眼耳鼻咽喉科专业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7257DB1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眼科专业</w:t>
            </w:r>
          </w:p>
        </w:tc>
      </w:tr>
      <w:tr w14:paraId="5553E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2870E578">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14:paraId="1062AE14">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耳鼻咽喉科</w:t>
            </w: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4AAEA6A5">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43A8E3AB">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耳鼻咽喉科专业</w:t>
            </w:r>
          </w:p>
        </w:tc>
      </w:tr>
      <w:tr w14:paraId="2E245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77098733">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14:paraId="3EC0373E">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皮肤科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79AB8461">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kern w:val="0"/>
                <w:sz w:val="30"/>
                <w:szCs w:val="30"/>
                <w:u w:val="none"/>
                <w:lang w:bidi="ar"/>
              </w:rPr>
            </w:pPr>
            <w:r>
              <w:rPr>
                <w:rFonts w:hint="eastAsia" w:ascii="仿宋_GB2312" w:hAnsi="仿宋_GB2312" w:eastAsia="仿宋_GB2312" w:cs="仿宋_GB2312"/>
                <w:i w:val="0"/>
                <w:iCs w:val="0"/>
                <w:color w:val="000000"/>
                <w:kern w:val="0"/>
                <w:sz w:val="30"/>
                <w:szCs w:val="30"/>
                <w:u w:val="none"/>
                <w:lang w:val="en-US" w:eastAsia="zh-CN" w:bidi="ar"/>
              </w:rPr>
              <w:t>皮肤病与性病专业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4B17B73D">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kern w:val="0"/>
                <w:sz w:val="30"/>
                <w:szCs w:val="30"/>
                <w:u w:val="none"/>
                <w:lang w:bidi="ar"/>
              </w:rPr>
            </w:pPr>
            <w:r>
              <w:rPr>
                <w:rFonts w:hint="eastAsia" w:ascii="仿宋_GB2312" w:hAnsi="仿宋_GB2312" w:eastAsia="仿宋_GB2312" w:cs="仿宋_GB2312"/>
                <w:i w:val="0"/>
                <w:iCs w:val="0"/>
                <w:color w:val="000000"/>
                <w:kern w:val="0"/>
                <w:sz w:val="30"/>
                <w:szCs w:val="30"/>
                <w:u w:val="none"/>
                <w:lang w:val="en-US" w:eastAsia="zh-CN" w:bidi="ar"/>
              </w:rPr>
              <w:t>皮肤病与性病专业</w:t>
            </w:r>
          </w:p>
        </w:tc>
      </w:tr>
      <w:tr w14:paraId="3F741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7C77B0A2">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14:paraId="3FC75436">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精神科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0196D5CF">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精神卫生专业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5B23D9DF">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精神卫生专业</w:t>
            </w:r>
          </w:p>
        </w:tc>
      </w:tr>
      <w:tr w14:paraId="3A67B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6428BE2A">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14:paraId="0C5FBF7E">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急诊医学科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1F6DDF05">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急救医学专业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1CABCD69">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急救医学专业</w:t>
            </w:r>
          </w:p>
        </w:tc>
      </w:tr>
      <w:tr w14:paraId="1B38F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210052C8">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14:paraId="2A734FA5">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康复医学科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5A87C9AD">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康复医学专业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36B37D6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康复医学专业</w:t>
            </w:r>
          </w:p>
        </w:tc>
      </w:tr>
      <w:tr w14:paraId="17C24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35760122">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14:paraId="72597330">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重症医学科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49D3DC8D">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重症医学专业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4520422D">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重症医学专业</w:t>
            </w:r>
          </w:p>
        </w:tc>
      </w:tr>
      <w:tr w14:paraId="39928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1C6FB573">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14:paraId="6313A37A">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医学检验科</w:t>
            </w: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14:paraId="47F0FA4D">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医学检验、病理专业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34F920D6">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医学检验专业</w:t>
            </w:r>
          </w:p>
        </w:tc>
      </w:tr>
      <w:tr w14:paraId="7B3C7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1DAF9FFD">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14:paraId="5C3301B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病理科</w:t>
            </w: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522E1E11">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3575C4A0">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医学病理专业</w:t>
            </w:r>
          </w:p>
        </w:tc>
      </w:tr>
      <w:tr w14:paraId="21AD7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7660B81C">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restart"/>
            <w:tcBorders>
              <w:top w:val="single" w:color="000000" w:sz="4" w:space="0"/>
              <w:left w:val="single" w:color="000000" w:sz="4" w:space="0"/>
              <w:bottom w:val="single" w:color="000000" w:sz="4" w:space="0"/>
              <w:right w:val="single" w:color="000000" w:sz="4" w:space="0"/>
            </w:tcBorders>
            <w:noWrap/>
            <w:vAlign w:val="center"/>
          </w:tcPr>
          <w:p w14:paraId="541AE60C">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医学影像科</w:t>
            </w: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14:paraId="7E72485C">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医学影像和放射治疗专业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514AA12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放射诊断专业</w:t>
            </w:r>
          </w:p>
        </w:tc>
      </w:tr>
      <w:tr w14:paraId="68C3C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008404F5">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50AAD5D2">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1ECE0D2F">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333333"/>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5A9C4A7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核医学专业</w:t>
            </w:r>
          </w:p>
        </w:tc>
      </w:tr>
      <w:tr w14:paraId="3382E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14E8FDB2">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07844286">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1F190951">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333333"/>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22D5DFE3">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放射治疗专业</w:t>
            </w:r>
          </w:p>
        </w:tc>
      </w:tr>
      <w:tr w14:paraId="6140C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77446540">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572A9E27">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11410CD0">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333333"/>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05FC2009">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超声诊断专业</w:t>
            </w:r>
          </w:p>
        </w:tc>
      </w:tr>
      <w:tr w14:paraId="116ED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289FF8B7">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3249AAEB">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32D1B313">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333333"/>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62AB8BF9">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介入放射学专业</w:t>
            </w:r>
          </w:p>
        </w:tc>
      </w:tr>
      <w:tr w14:paraId="35BC5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jc w:val="center"/>
        </w:trPr>
        <w:tc>
          <w:tcPr>
            <w:tcW w:w="1455" w:type="dxa"/>
            <w:vMerge w:val="restart"/>
            <w:tcBorders>
              <w:top w:val="single" w:color="000000" w:sz="4" w:space="0"/>
              <w:left w:val="single" w:color="000000" w:sz="8" w:space="0"/>
              <w:bottom w:val="single" w:color="000000" w:sz="4" w:space="0"/>
              <w:right w:val="single" w:color="000000" w:sz="4" w:space="0"/>
            </w:tcBorders>
            <w:noWrap/>
            <w:vAlign w:val="center"/>
          </w:tcPr>
          <w:p w14:paraId="19397DD3">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公共卫生</w:t>
            </w:r>
          </w:p>
        </w:tc>
        <w:tc>
          <w:tcPr>
            <w:tcW w:w="1738" w:type="dxa"/>
            <w:vMerge w:val="restart"/>
            <w:tcBorders>
              <w:top w:val="single" w:color="000000" w:sz="4" w:space="0"/>
              <w:left w:val="single" w:color="000000" w:sz="4" w:space="0"/>
              <w:bottom w:val="single" w:color="000000" w:sz="4" w:space="0"/>
              <w:right w:val="single" w:color="000000" w:sz="4" w:space="0"/>
            </w:tcBorders>
            <w:noWrap/>
            <w:vAlign w:val="center"/>
          </w:tcPr>
          <w:p w14:paraId="6BADC0C5">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公共卫生</w:t>
            </w:r>
          </w:p>
          <w:p w14:paraId="45FD9BDD">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lang w:val="en-US"/>
              </w:rPr>
            </w:pPr>
            <w:r>
              <w:rPr>
                <w:rFonts w:hint="eastAsia" w:ascii="仿宋_GB2312" w:hAnsi="仿宋_GB2312" w:eastAsia="仿宋_GB2312" w:cs="仿宋_GB2312"/>
                <w:i w:val="0"/>
                <w:iCs w:val="0"/>
                <w:color w:val="000000"/>
                <w:kern w:val="0"/>
                <w:sz w:val="30"/>
                <w:szCs w:val="30"/>
                <w:u w:val="none"/>
                <w:lang w:val="en-US" w:eastAsia="zh-CN" w:bidi="ar"/>
              </w:rPr>
              <w:t>预防保健</w:t>
            </w: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14:paraId="161D69F1">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公共卫生类别专业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10F3F080">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防病专业</w:t>
            </w:r>
          </w:p>
        </w:tc>
      </w:tr>
      <w:tr w14:paraId="78C57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296DAA1C">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6CDD2711">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0806C5A7">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167EF09F">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卫生专业</w:t>
            </w:r>
          </w:p>
        </w:tc>
      </w:tr>
      <w:tr w14:paraId="73B3F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jc w:val="center"/>
        </w:trPr>
        <w:tc>
          <w:tcPr>
            <w:tcW w:w="1455" w:type="dxa"/>
            <w:tcBorders>
              <w:top w:val="single" w:color="000000" w:sz="4" w:space="0"/>
              <w:left w:val="single" w:color="000000" w:sz="8" w:space="0"/>
              <w:bottom w:val="single" w:color="000000" w:sz="4" w:space="0"/>
              <w:right w:val="single" w:color="000000" w:sz="4" w:space="0"/>
            </w:tcBorders>
            <w:noWrap/>
            <w:vAlign w:val="center"/>
          </w:tcPr>
          <w:p w14:paraId="749F71DC">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w:t>
            </w:r>
          </w:p>
        </w:tc>
        <w:tc>
          <w:tcPr>
            <w:tcW w:w="1738" w:type="dxa"/>
            <w:tcBorders>
              <w:top w:val="single" w:color="000000" w:sz="4" w:space="0"/>
              <w:left w:val="single" w:color="000000" w:sz="4" w:space="0"/>
              <w:bottom w:val="single" w:color="000000" w:sz="4" w:space="0"/>
              <w:right w:val="single" w:color="000000" w:sz="4" w:space="0"/>
            </w:tcBorders>
            <w:noWrap/>
            <w:vAlign w:val="center"/>
          </w:tcPr>
          <w:p w14:paraId="0C5B1123">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2AC510C2">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08B0EC7B">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口腔专业</w:t>
            </w:r>
          </w:p>
        </w:tc>
      </w:tr>
      <w:tr w14:paraId="77E42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1455" w:type="dxa"/>
            <w:vMerge w:val="restart"/>
            <w:tcBorders>
              <w:top w:val="single" w:color="000000" w:sz="4" w:space="0"/>
              <w:left w:val="single" w:color="000000" w:sz="8" w:space="0"/>
              <w:bottom w:val="single" w:color="000000" w:sz="4" w:space="0"/>
              <w:right w:val="single" w:color="000000" w:sz="4" w:space="0"/>
            </w:tcBorders>
            <w:noWrap/>
            <w:vAlign w:val="center"/>
          </w:tcPr>
          <w:p w14:paraId="5240957F">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中医</w:t>
            </w:r>
          </w:p>
        </w:tc>
        <w:tc>
          <w:tcPr>
            <w:tcW w:w="1738" w:type="dxa"/>
            <w:vMerge w:val="restart"/>
            <w:tcBorders>
              <w:top w:val="single" w:color="000000" w:sz="4" w:space="0"/>
              <w:left w:val="single" w:color="000000" w:sz="4" w:space="0"/>
              <w:bottom w:val="single" w:color="000000" w:sz="4" w:space="0"/>
              <w:right w:val="single" w:color="000000" w:sz="4" w:space="0"/>
            </w:tcBorders>
            <w:noWrap/>
            <w:vAlign w:val="center"/>
          </w:tcPr>
          <w:p w14:paraId="50E59F43">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中医科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0B64EF22">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中医专业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0FF4D2FA">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中医专业</w:t>
            </w:r>
          </w:p>
        </w:tc>
      </w:tr>
      <w:tr w14:paraId="60B8A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0438708A">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56EA4A76">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14:paraId="34216179">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中医（专长）</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757F07FE">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内服方药</w:t>
            </w:r>
          </w:p>
        </w:tc>
      </w:tr>
      <w:tr w14:paraId="6D085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4222BB04">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25045ED8">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2FB65E14">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5D081C00">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外治技术</w:t>
            </w:r>
          </w:p>
        </w:tc>
      </w:tr>
      <w:tr w14:paraId="6ACBC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5E4995ED">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47A5CC3D">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503FD015">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7A6B432F">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其他</w:t>
            </w:r>
          </w:p>
        </w:tc>
      </w:tr>
      <w:tr w14:paraId="1E062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2D17021C">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68C63BE3">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21CE96AA">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藏医专业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0A3BC82B">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藏医专业</w:t>
            </w:r>
          </w:p>
        </w:tc>
      </w:tr>
      <w:tr w14:paraId="376FC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2759D3D6">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0B66C851">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3D524756">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蒙医专业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1064DD45">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蒙医专业</w:t>
            </w:r>
          </w:p>
        </w:tc>
      </w:tr>
      <w:tr w14:paraId="51CB7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1455" w:type="dxa"/>
            <w:vMerge w:val="restart"/>
            <w:tcBorders>
              <w:top w:val="single" w:color="000000" w:sz="4" w:space="0"/>
              <w:left w:val="single" w:color="000000" w:sz="8" w:space="0"/>
              <w:bottom w:val="single" w:color="000000" w:sz="4" w:space="0"/>
              <w:right w:val="single" w:color="000000" w:sz="4" w:space="0"/>
            </w:tcBorders>
            <w:noWrap/>
            <w:vAlign w:val="center"/>
          </w:tcPr>
          <w:p w14:paraId="4D16BF1F">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临床、中医</w:t>
            </w:r>
          </w:p>
        </w:tc>
        <w:tc>
          <w:tcPr>
            <w:tcW w:w="1738" w:type="dxa"/>
            <w:tcBorders>
              <w:top w:val="single" w:color="000000" w:sz="4" w:space="0"/>
              <w:left w:val="single" w:color="000000" w:sz="4" w:space="0"/>
              <w:bottom w:val="single" w:color="000000" w:sz="4" w:space="0"/>
              <w:right w:val="single" w:color="000000" w:sz="4" w:space="0"/>
            </w:tcBorders>
            <w:noWrap/>
            <w:vAlign w:val="center"/>
          </w:tcPr>
          <w:p w14:paraId="4E5BF8C3">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spacing w:val="-23"/>
                <w:kern w:val="0"/>
                <w:sz w:val="30"/>
                <w:szCs w:val="30"/>
                <w:u w:val="none"/>
                <w:lang w:val="en-US" w:eastAsia="zh-CN" w:bidi="ar"/>
              </w:rPr>
              <w:t>全科医学科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25AB626A">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全科医学科专业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611A895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全科医学专业</w:t>
            </w:r>
          </w:p>
        </w:tc>
      </w:tr>
      <w:tr w14:paraId="4FCE8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7750F5D3">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restart"/>
            <w:tcBorders>
              <w:top w:val="single" w:color="000000" w:sz="4" w:space="0"/>
              <w:left w:val="single" w:color="000000" w:sz="4" w:space="0"/>
              <w:bottom w:val="single" w:color="000000" w:sz="4" w:space="0"/>
              <w:right w:val="single" w:color="000000" w:sz="4" w:space="0"/>
            </w:tcBorders>
            <w:noWrap/>
            <w:vAlign w:val="center"/>
          </w:tcPr>
          <w:p w14:paraId="7593A31F">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西学中</w:t>
            </w: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14:paraId="0B3DA13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中医专业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7EC0E37F">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内科</w:t>
            </w:r>
          </w:p>
        </w:tc>
      </w:tr>
      <w:tr w14:paraId="10F11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011469B2">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27B9BDE4">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2091FFAF">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612B8BC3">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外科</w:t>
            </w:r>
          </w:p>
        </w:tc>
      </w:tr>
      <w:tr w14:paraId="6B358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40984256">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7D352B51">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1B00450C">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144AB9F5">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妇产科专业</w:t>
            </w:r>
          </w:p>
        </w:tc>
      </w:tr>
      <w:tr w14:paraId="22984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0277B3E9">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3477DD80">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44B0A4D1">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8" w:space="0"/>
              <w:right w:val="single" w:color="000000" w:sz="8" w:space="0"/>
            </w:tcBorders>
            <w:noWrap/>
            <w:vAlign w:val="center"/>
          </w:tcPr>
          <w:p w14:paraId="788C1A70">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儿科专业</w:t>
            </w:r>
          </w:p>
        </w:tc>
      </w:tr>
      <w:tr w14:paraId="6CCD0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455" w:type="dxa"/>
            <w:tcBorders>
              <w:top w:val="nil"/>
              <w:left w:val="nil"/>
              <w:bottom w:val="nil"/>
              <w:right w:val="nil"/>
            </w:tcBorders>
            <w:noWrap/>
            <w:vAlign w:val="center"/>
          </w:tcPr>
          <w:p w14:paraId="5FBD42B6">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1738" w:type="dxa"/>
            <w:tcBorders>
              <w:top w:val="nil"/>
              <w:left w:val="nil"/>
              <w:bottom w:val="nil"/>
              <w:right w:val="nil"/>
            </w:tcBorders>
            <w:noWrap/>
            <w:vAlign w:val="center"/>
          </w:tcPr>
          <w:p w14:paraId="6A5CCCEC">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2933" w:type="dxa"/>
            <w:tcBorders>
              <w:top w:val="nil"/>
              <w:left w:val="nil"/>
              <w:bottom w:val="nil"/>
              <w:right w:val="nil"/>
            </w:tcBorders>
            <w:noWrap/>
            <w:vAlign w:val="center"/>
          </w:tcPr>
          <w:p w14:paraId="25C91E0C">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2847" w:type="dxa"/>
            <w:tcBorders>
              <w:top w:val="nil"/>
              <w:left w:val="nil"/>
              <w:bottom w:val="nil"/>
              <w:right w:val="nil"/>
            </w:tcBorders>
            <w:noWrap/>
            <w:vAlign w:val="center"/>
          </w:tcPr>
          <w:p w14:paraId="6AE4A5BA">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r>
      <w:tr w14:paraId="7E570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8973" w:type="dxa"/>
            <w:gridSpan w:val="4"/>
            <w:tcBorders>
              <w:top w:val="nil"/>
              <w:left w:val="nil"/>
              <w:bottom w:val="nil"/>
              <w:right w:val="nil"/>
            </w:tcBorders>
            <w:noWrap/>
            <w:vAlign w:val="center"/>
          </w:tcPr>
          <w:p w14:paraId="1104104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b/>
                <w:bCs/>
                <w:i w:val="0"/>
                <w:iCs w:val="0"/>
                <w:color w:val="000000"/>
                <w:kern w:val="0"/>
                <w:sz w:val="30"/>
                <w:szCs w:val="30"/>
                <w:u w:val="none"/>
                <w:lang w:val="en-US" w:eastAsia="zh-CN" w:bidi="ar"/>
              </w:rPr>
              <w:t>北京医疗整形美容业协会</w:t>
            </w:r>
          </w:p>
        </w:tc>
      </w:tr>
      <w:tr w14:paraId="286AF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tcBorders>
              <w:top w:val="single" w:color="000000" w:sz="8" w:space="0"/>
              <w:left w:val="single" w:color="000000" w:sz="8" w:space="0"/>
              <w:bottom w:val="single" w:color="000000" w:sz="4" w:space="0"/>
              <w:right w:val="single" w:color="000000" w:sz="4" w:space="0"/>
            </w:tcBorders>
            <w:noWrap/>
            <w:vAlign w:val="center"/>
          </w:tcPr>
          <w:p w14:paraId="7066198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执业类别</w:t>
            </w:r>
          </w:p>
        </w:tc>
        <w:tc>
          <w:tcPr>
            <w:tcW w:w="1738" w:type="dxa"/>
            <w:tcBorders>
              <w:top w:val="single" w:color="000000" w:sz="8" w:space="0"/>
              <w:left w:val="single" w:color="000000" w:sz="4" w:space="0"/>
              <w:bottom w:val="single" w:color="000000" w:sz="4" w:space="0"/>
              <w:right w:val="single" w:color="000000" w:sz="4" w:space="0"/>
            </w:tcBorders>
            <w:noWrap/>
            <w:vAlign w:val="center"/>
          </w:tcPr>
          <w:p w14:paraId="5547EECE">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诊疗科目</w:t>
            </w:r>
          </w:p>
        </w:tc>
        <w:tc>
          <w:tcPr>
            <w:tcW w:w="2933" w:type="dxa"/>
            <w:tcBorders>
              <w:top w:val="single" w:color="000000" w:sz="8" w:space="0"/>
              <w:left w:val="single" w:color="000000" w:sz="4" w:space="0"/>
              <w:bottom w:val="single" w:color="000000" w:sz="4" w:space="0"/>
              <w:right w:val="single" w:color="000000" w:sz="4" w:space="0"/>
            </w:tcBorders>
            <w:noWrap/>
            <w:vAlign w:val="center"/>
          </w:tcPr>
          <w:p w14:paraId="1AC29DD0">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执业范围</w:t>
            </w:r>
          </w:p>
        </w:tc>
        <w:tc>
          <w:tcPr>
            <w:tcW w:w="2847" w:type="dxa"/>
            <w:tcBorders>
              <w:top w:val="single" w:color="000000" w:sz="8" w:space="0"/>
              <w:left w:val="single" w:color="000000" w:sz="4" w:space="0"/>
              <w:bottom w:val="single" w:color="000000" w:sz="4" w:space="0"/>
              <w:right w:val="single" w:color="000000" w:sz="8" w:space="0"/>
            </w:tcBorders>
            <w:noWrap/>
            <w:vAlign w:val="center"/>
          </w:tcPr>
          <w:p w14:paraId="6B58E15B">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报考专业</w:t>
            </w:r>
          </w:p>
        </w:tc>
      </w:tr>
      <w:tr w14:paraId="40EA4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1455" w:type="dxa"/>
            <w:vMerge w:val="restart"/>
            <w:tcBorders>
              <w:top w:val="single" w:color="000000" w:sz="4" w:space="0"/>
              <w:left w:val="single" w:color="000000" w:sz="8" w:space="0"/>
              <w:bottom w:val="single" w:color="000000" w:sz="4" w:space="0"/>
              <w:right w:val="single" w:color="000000" w:sz="4" w:space="0"/>
            </w:tcBorders>
            <w:noWrap/>
            <w:vAlign w:val="center"/>
          </w:tcPr>
          <w:p w14:paraId="3560458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临床</w:t>
            </w:r>
          </w:p>
        </w:tc>
        <w:tc>
          <w:tcPr>
            <w:tcW w:w="1738" w:type="dxa"/>
            <w:vMerge w:val="restart"/>
            <w:tcBorders>
              <w:top w:val="single" w:color="000000" w:sz="4" w:space="0"/>
              <w:left w:val="single" w:color="000000" w:sz="4" w:space="0"/>
              <w:bottom w:val="single" w:color="000000" w:sz="8" w:space="0"/>
              <w:right w:val="single" w:color="000000" w:sz="4" w:space="0"/>
            </w:tcBorders>
            <w:noWrap/>
            <w:vAlign w:val="center"/>
          </w:tcPr>
          <w:p w14:paraId="040A4A3B">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医疗美容科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656DEEC5">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外科专业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4F9C250A">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美容外科专业</w:t>
            </w:r>
          </w:p>
        </w:tc>
      </w:tr>
      <w:tr w14:paraId="7DA3E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5CEBC593">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8" w:space="0"/>
              <w:right w:val="single" w:color="000000" w:sz="4" w:space="0"/>
            </w:tcBorders>
            <w:noWrap/>
            <w:vAlign w:val="center"/>
          </w:tcPr>
          <w:p w14:paraId="26C4B689">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01941A6E">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皮肤病与性病专业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326C634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美容皮肤科专业</w:t>
            </w:r>
          </w:p>
        </w:tc>
      </w:tr>
      <w:tr w14:paraId="5B5AC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455" w:type="dxa"/>
            <w:tcBorders>
              <w:top w:val="single" w:color="000000" w:sz="4" w:space="0"/>
              <w:left w:val="single" w:color="000000" w:sz="8" w:space="0"/>
              <w:bottom w:val="single" w:color="000000" w:sz="4" w:space="0"/>
              <w:right w:val="single" w:color="000000" w:sz="4" w:space="0"/>
            </w:tcBorders>
            <w:noWrap/>
            <w:vAlign w:val="center"/>
          </w:tcPr>
          <w:p w14:paraId="7008F54F">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w:t>
            </w:r>
          </w:p>
        </w:tc>
        <w:tc>
          <w:tcPr>
            <w:tcW w:w="1738" w:type="dxa"/>
            <w:vMerge w:val="continue"/>
            <w:tcBorders>
              <w:top w:val="single" w:color="000000" w:sz="4" w:space="0"/>
              <w:left w:val="single" w:color="000000" w:sz="4" w:space="0"/>
              <w:bottom w:val="single" w:color="000000" w:sz="8" w:space="0"/>
              <w:right w:val="single" w:color="000000" w:sz="4" w:space="0"/>
            </w:tcBorders>
            <w:noWrap/>
            <w:vAlign w:val="center"/>
          </w:tcPr>
          <w:p w14:paraId="334329F4">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2A3EF09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63E1376A">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美容牙科专业</w:t>
            </w:r>
          </w:p>
        </w:tc>
      </w:tr>
      <w:tr w14:paraId="2CE9C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1455" w:type="dxa"/>
            <w:tcBorders>
              <w:top w:val="single" w:color="000000" w:sz="4" w:space="0"/>
              <w:left w:val="single" w:color="000000" w:sz="8" w:space="0"/>
              <w:bottom w:val="single" w:color="000000" w:sz="8" w:space="0"/>
              <w:right w:val="single" w:color="000000" w:sz="4" w:space="0"/>
            </w:tcBorders>
            <w:noWrap/>
            <w:vAlign w:val="center"/>
          </w:tcPr>
          <w:p w14:paraId="02B3FF1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中医</w:t>
            </w:r>
          </w:p>
        </w:tc>
        <w:tc>
          <w:tcPr>
            <w:tcW w:w="1738" w:type="dxa"/>
            <w:vMerge w:val="continue"/>
            <w:tcBorders>
              <w:top w:val="single" w:color="000000" w:sz="4" w:space="0"/>
              <w:left w:val="single" w:color="000000" w:sz="4" w:space="0"/>
              <w:bottom w:val="single" w:color="000000" w:sz="8" w:space="0"/>
              <w:right w:val="single" w:color="000000" w:sz="4" w:space="0"/>
            </w:tcBorders>
            <w:noWrap/>
            <w:vAlign w:val="center"/>
          </w:tcPr>
          <w:p w14:paraId="6DDC461E">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tcBorders>
              <w:top w:val="single" w:color="000000" w:sz="4" w:space="0"/>
              <w:left w:val="single" w:color="000000" w:sz="4" w:space="0"/>
              <w:bottom w:val="single" w:color="000000" w:sz="8" w:space="0"/>
              <w:right w:val="single" w:color="000000" w:sz="4" w:space="0"/>
            </w:tcBorders>
            <w:noWrap/>
            <w:vAlign w:val="center"/>
          </w:tcPr>
          <w:p w14:paraId="30DD4A51">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中医专业</w:t>
            </w:r>
          </w:p>
        </w:tc>
        <w:tc>
          <w:tcPr>
            <w:tcW w:w="2847" w:type="dxa"/>
            <w:tcBorders>
              <w:top w:val="single" w:color="000000" w:sz="4" w:space="0"/>
              <w:left w:val="single" w:color="000000" w:sz="4" w:space="0"/>
              <w:bottom w:val="single" w:color="000000" w:sz="8" w:space="0"/>
              <w:right w:val="single" w:color="000000" w:sz="8" w:space="0"/>
            </w:tcBorders>
            <w:noWrap/>
            <w:vAlign w:val="center"/>
          </w:tcPr>
          <w:p w14:paraId="4FC298AD">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美容中医科</w:t>
            </w:r>
          </w:p>
        </w:tc>
      </w:tr>
      <w:tr w14:paraId="04482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455" w:type="dxa"/>
            <w:tcBorders>
              <w:top w:val="nil"/>
              <w:left w:val="nil"/>
              <w:bottom w:val="nil"/>
              <w:right w:val="nil"/>
            </w:tcBorders>
            <w:noWrap/>
            <w:vAlign w:val="center"/>
          </w:tcPr>
          <w:p w14:paraId="0262BBFE">
            <w:pPr>
              <w:keepNext w:val="0"/>
              <w:keepLines w:val="0"/>
              <w:pageBreakBefore w:val="0"/>
              <w:kinsoku/>
              <w:wordWrap/>
              <w:overflowPunct/>
              <w:topLinePunct w:val="0"/>
              <w:autoSpaceDE/>
              <w:autoSpaceDN/>
              <w:bidi w:val="0"/>
              <w:adjustRightInd/>
              <w:snapToGrid/>
              <w:spacing w:line="440" w:lineRule="exact"/>
              <w:ind w:firstLine="0" w:firstLineChars="0"/>
              <w:jc w:val="both"/>
              <w:rPr>
                <w:rFonts w:hint="eastAsia" w:ascii="仿宋_GB2312" w:hAnsi="仿宋_GB2312" w:eastAsia="仿宋_GB2312" w:cs="仿宋_GB2312"/>
                <w:i w:val="0"/>
                <w:iCs w:val="0"/>
                <w:color w:val="000000"/>
                <w:sz w:val="30"/>
                <w:szCs w:val="30"/>
                <w:u w:val="none"/>
              </w:rPr>
            </w:pPr>
          </w:p>
        </w:tc>
        <w:tc>
          <w:tcPr>
            <w:tcW w:w="1738" w:type="dxa"/>
            <w:tcBorders>
              <w:top w:val="nil"/>
              <w:left w:val="nil"/>
              <w:bottom w:val="nil"/>
              <w:right w:val="nil"/>
            </w:tcBorders>
            <w:noWrap/>
            <w:vAlign w:val="center"/>
          </w:tcPr>
          <w:p w14:paraId="77200B58">
            <w:pPr>
              <w:keepNext w:val="0"/>
              <w:keepLines w:val="0"/>
              <w:pageBreakBefore w:val="0"/>
              <w:kinsoku/>
              <w:wordWrap/>
              <w:overflowPunct/>
              <w:topLinePunct w:val="0"/>
              <w:autoSpaceDE/>
              <w:autoSpaceDN/>
              <w:bidi w:val="0"/>
              <w:adjustRightInd/>
              <w:snapToGrid/>
              <w:spacing w:line="440" w:lineRule="exact"/>
              <w:ind w:firstLine="0" w:firstLineChars="0"/>
              <w:jc w:val="both"/>
              <w:rPr>
                <w:rFonts w:hint="eastAsia" w:ascii="仿宋_GB2312" w:hAnsi="仿宋_GB2312" w:eastAsia="仿宋_GB2312" w:cs="仿宋_GB2312"/>
                <w:i w:val="0"/>
                <w:iCs w:val="0"/>
                <w:color w:val="000000"/>
                <w:sz w:val="30"/>
                <w:szCs w:val="30"/>
                <w:u w:val="none"/>
              </w:rPr>
            </w:pPr>
          </w:p>
        </w:tc>
        <w:tc>
          <w:tcPr>
            <w:tcW w:w="2933" w:type="dxa"/>
            <w:tcBorders>
              <w:top w:val="nil"/>
              <w:left w:val="nil"/>
              <w:bottom w:val="nil"/>
              <w:right w:val="nil"/>
            </w:tcBorders>
            <w:noWrap/>
            <w:vAlign w:val="center"/>
          </w:tcPr>
          <w:p w14:paraId="68D46BA1">
            <w:pPr>
              <w:keepNext w:val="0"/>
              <w:keepLines w:val="0"/>
              <w:pageBreakBefore w:val="0"/>
              <w:kinsoku/>
              <w:wordWrap/>
              <w:overflowPunct/>
              <w:topLinePunct w:val="0"/>
              <w:autoSpaceDE/>
              <w:autoSpaceDN/>
              <w:bidi w:val="0"/>
              <w:adjustRightInd/>
              <w:snapToGrid/>
              <w:spacing w:line="440" w:lineRule="exact"/>
              <w:ind w:firstLine="0" w:firstLineChars="0"/>
              <w:jc w:val="both"/>
              <w:rPr>
                <w:rFonts w:hint="eastAsia" w:ascii="仿宋_GB2312" w:hAnsi="仿宋_GB2312" w:eastAsia="仿宋_GB2312" w:cs="仿宋_GB2312"/>
                <w:i w:val="0"/>
                <w:iCs w:val="0"/>
                <w:color w:val="000000"/>
                <w:sz w:val="30"/>
                <w:szCs w:val="30"/>
                <w:u w:val="none"/>
              </w:rPr>
            </w:pPr>
          </w:p>
        </w:tc>
        <w:tc>
          <w:tcPr>
            <w:tcW w:w="2847" w:type="dxa"/>
            <w:tcBorders>
              <w:top w:val="nil"/>
              <w:left w:val="nil"/>
              <w:bottom w:val="nil"/>
              <w:right w:val="nil"/>
            </w:tcBorders>
            <w:noWrap/>
            <w:vAlign w:val="center"/>
          </w:tcPr>
          <w:p w14:paraId="5899C65D">
            <w:pPr>
              <w:keepNext w:val="0"/>
              <w:keepLines w:val="0"/>
              <w:pageBreakBefore w:val="0"/>
              <w:kinsoku/>
              <w:wordWrap/>
              <w:overflowPunct/>
              <w:topLinePunct w:val="0"/>
              <w:autoSpaceDE/>
              <w:autoSpaceDN/>
              <w:bidi w:val="0"/>
              <w:adjustRightInd/>
              <w:snapToGrid/>
              <w:spacing w:line="440" w:lineRule="exact"/>
              <w:ind w:firstLine="0" w:firstLineChars="0"/>
              <w:jc w:val="both"/>
              <w:rPr>
                <w:rFonts w:hint="eastAsia" w:ascii="仿宋_GB2312" w:hAnsi="仿宋_GB2312" w:eastAsia="仿宋_GB2312" w:cs="仿宋_GB2312"/>
                <w:i w:val="0"/>
                <w:iCs w:val="0"/>
                <w:color w:val="000000"/>
                <w:sz w:val="30"/>
                <w:szCs w:val="30"/>
                <w:u w:val="none"/>
              </w:rPr>
            </w:pPr>
          </w:p>
        </w:tc>
      </w:tr>
      <w:tr w14:paraId="554D4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8973" w:type="dxa"/>
            <w:gridSpan w:val="4"/>
            <w:tcBorders>
              <w:top w:val="nil"/>
              <w:left w:val="nil"/>
              <w:bottom w:val="nil"/>
              <w:right w:val="nil"/>
            </w:tcBorders>
            <w:noWrap/>
            <w:vAlign w:val="center"/>
          </w:tcPr>
          <w:p w14:paraId="6419499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b/>
                <w:bCs/>
                <w:i w:val="0"/>
                <w:iCs w:val="0"/>
                <w:color w:val="000000"/>
                <w:kern w:val="0"/>
                <w:sz w:val="30"/>
                <w:szCs w:val="30"/>
                <w:u w:val="none"/>
                <w:lang w:val="en-US" w:eastAsia="zh-CN" w:bidi="ar"/>
              </w:rPr>
              <w:t>北京健康管理协会</w:t>
            </w:r>
          </w:p>
        </w:tc>
      </w:tr>
      <w:tr w14:paraId="6B2B1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455" w:type="dxa"/>
            <w:tcBorders>
              <w:top w:val="single" w:color="000000" w:sz="8" w:space="0"/>
              <w:left w:val="single" w:color="000000" w:sz="8" w:space="0"/>
              <w:bottom w:val="single" w:color="000000" w:sz="4" w:space="0"/>
              <w:right w:val="single" w:color="000000" w:sz="4" w:space="0"/>
            </w:tcBorders>
            <w:noWrap/>
            <w:vAlign w:val="center"/>
          </w:tcPr>
          <w:p w14:paraId="284B499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执业类别</w:t>
            </w:r>
          </w:p>
        </w:tc>
        <w:tc>
          <w:tcPr>
            <w:tcW w:w="1738" w:type="dxa"/>
            <w:tcBorders>
              <w:top w:val="single" w:color="000000" w:sz="8" w:space="0"/>
              <w:left w:val="single" w:color="000000" w:sz="8" w:space="0"/>
              <w:bottom w:val="single" w:color="000000" w:sz="4" w:space="0"/>
              <w:right w:val="single" w:color="000000" w:sz="4" w:space="0"/>
            </w:tcBorders>
            <w:noWrap/>
            <w:vAlign w:val="center"/>
          </w:tcPr>
          <w:p w14:paraId="482CE386">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诊疗科目</w:t>
            </w:r>
          </w:p>
        </w:tc>
        <w:tc>
          <w:tcPr>
            <w:tcW w:w="2933" w:type="dxa"/>
            <w:tcBorders>
              <w:top w:val="single" w:color="000000" w:sz="8" w:space="0"/>
              <w:left w:val="single" w:color="000000" w:sz="8" w:space="0"/>
              <w:bottom w:val="single" w:color="000000" w:sz="4" w:space="0"/>
              <w:right w:val="single" w:color="000000" w:sz="4" w:space="0"/>
            </w:tcBorders>
            <w:noWrap/>
            <w:vAlign w:val="center"/>
          </w:tcPr>
          <w:p w14:paraId="491A6015">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执业范围</w:t>
            </w:r>
          </w:p>
        </w:tc>
        <w:tc>
          <w:tcPr>
            <w:tcW w:w="2847" w:type="dxa"/>
            <w:tcBorders>
              <w:top w:val="single" w:color="000000" w:sz="8" w:space="0"/>
              <w:left w:val="single" w:color="000000" w:sz="8" w:space="0"/>
              <w:bottom w:val="single" w:color="000000" w:sz="4" w:space="0"/>
              <w:right w:val="single" w:color="000000" w:sz="8" w:space="0"/>
            </w:tcBorders>
            <w:noWrap/>
            <w:vAlign w:val="center"/>
          </w:tcPr>
          <w:p w14:paraId="359B860B">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报考专业</w:t>
            </w:r>
          </w:p>
        </w:tc>
      </w:tr>
      <w:tr w14:paraId="6E867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1455" w:type="dxa"/>
            <w:vMerge w:val="restart"/>
            <w:tcBorders>
              <w:top w:val="single" w:color="000000" w:sz="4" w:space="0"/>
              <w:left w:val="single" w:color="000000" w:sz="8" w:space="0"/>
              <w:bottom w:val="single" w:color="000000" w:sz="4" w:space="0"/>
              <w:right w:val="single" w:color="000000" w:sz="4" w:space="0"/>
            </w:tcBorders>
            <w:noWrap/>
            <w:vAlign w:val="center"/>
          </w:tcPr>
          <w:p w14:paraId="65C69D64">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临床</w:t>
            </w:r>
          </w:p>
        </w:tc>
        <w:tc>
          <w:tcPr>
            <w:tcW w:w="1738" w:type="dxa"/>
            <w:vMerge w:val="restart"/>
            <w:tcBorders>
              <w:top w:val="single" w:color="000000" w:sz="4" w:space="0"/>
              <w:left w:val="single" w:color="000000" w:sz="4" w:space="0"/>
              <w:bottom w:val="single" w:color="000000" w:sz="4" w:space="0"/>
              <w:right w:val="single" w:color="000000" w:sz="4" w:space="0"/>
            </w:tcBorders>
            <w:noWrap/>
            <w:vAlign w:val="center"/>
          </w:tcPr>
          <w:p w14:paraId="778246EC">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健康体检</w:t>
            </w: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41304F5B">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内科专业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5FE52DE9">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内科专业</w:t>
            </w:r>
          </w:p>
        </w:tc>
      </w:tr>
      <w:tr w14:paraId="4318A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33A6D3CF">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06DFDC36">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5FD89F31">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外科专业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43C42173">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外科专业</w:t>
            </w:r>
          </w:p>
        </w:tc>
      </w:tr>
      <w:tr w14:paraId="10120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4B50A1BB">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3DDC01DA">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tcBorders>
              <w:top w:val="single" w:color="000000" w:sz="4" w:space="0"/>
              <w:left w:val="single" w:color="000000" w:sz="4" w:space="0"/>
              <w:bottom w:val="single" w:color="000000" w:sz="4" w:space="0"/>
              <w:right w:val="single" w:color="000000" w:sz="4" w:space="0"/>
            </w:tcBorders>
            <w:noWrap/>
            <w:vAlign w:val="center"/>
          </w:tcPr>
          <w:p w14:paraId="57142329">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妇产科专业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4BBF263E">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妇产科专业</w:t>
            </w:r>
          </w:p>
        </w:tc>
      </w:tr>
      <w:tr w14:paraId="0997F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11272D0E">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29C2C6E5">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14:paraId="1B504865">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眼耳鼻咽喉科专业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4D6EFD62">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眼科专业</w:t>
            </w:r>
          </w:p>
        </w:tc>
      </w:tr>
      <w:tr w14:paraId="465D7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7D461BF9">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7DA9BB5A">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54426001">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6F19F5E6">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耳鼻咽喉科专业</w:t>
            </w:r>
          </w:p>
        </w:tc>
      </w:tr>
      <w:tr w14:paraId="5DFCD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7F1AC152">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4DD5E361">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14:paraId="74956E51">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医学影像和放射治疗专业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378D115E">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放射诊断专业</w:t>
            </w:r>
          </w:p>
        </w:tc>
      </w:tr>
      <w:tr w14:paraId="6F956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14:paraId="0775875A">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5B7C9322">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14:paraId="1851C2AD">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14:paraId="4087D573">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超声诊断专业</w:t>
            </w:r>
          </w:p>
        </w:tc>
      </w:tr>
      <w:tr w14:paraId="7DD05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1455" w:type="dxa"/>
            <w:tcBorders>
              <w:top w:val="single" w:color="000000" w:sz="4" w:space="0"/>
              <w:left w:val="single" w:color="000000" w:sz="8" w:space="0"/>
              <w:bottom w:val="single" w:color="000000" w:sz="8" w:space="0"/>
              <w:right w:val="single" w:color="000000" w:sz="4" w:space="0"/>
            </w:tcBorders>
            <w:noWrap/>
            <w:vAlign w:val="center"/>
          </w:tcPr>
          <w:p w14:paraId="365DA279">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w:t>
            </w: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14:paraId="67795191">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tcBorders>
              <w:top w:val="single" w:color="000000" w:sz="4" w:space="0"/>
              <w:left w:val="single" w:color="000000" w:sz="4" w:space="0"/>
              <w:bottom w:val="single" w:color="000000" w:sz="8" w:space="0"/>
              <w:right w:val="single" w:color="000000" w:sz="4" w:space="0"/>
            </w:tcBorders>
            <w:noWrap/>
            <w:vAlign w:val="center"/>
          </w:tcPr>
          <w:p w14:paraId="1E3D676B">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口腔专业</w:t>
            </w:r>
          </w:p>
        </w:tc>
        <w:tc>
          <w:tcPr>
            <w:tcW w:w="2847" w:type="dxa"/>
            <w:tcBorders>
              <w:top w:val="single" w:color="000000" w:sz="4" w:space="0"/>
              <w:left w:val="single" w:color="000000" w:sz="4" w:space="0"/>
              <w:bottom w:val="single" w:color="000000" w:sz="8" w:space="0"/>
              <w:right w:val="single" w:color="000000" w:sz="8" w:space="0"/>
            </w:tcBorders>
            <w:noWrap/>
            <w:vAlign w:val="center"/>
          </w:tcPr>
          <w:p w14:paraId="6F075F53">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口腔专业</w:t>
            </w:r>
          </w:p>
        </w:tc>
      </w:tr>
    </w:tbl>
    <w:p w14:paraId="14671433">
      <w:pPr>
        <w:widowControl/>
        <w:spacing w:line="200" w:lineRule="exact"/>
        <w:ind w:firstLine="0" w:firstLineChars="0"/>
        <w:jc w:val="left"/>
        <w:rPr>
          <w:rFonts w:hint="eastAsia" w:ascii="Calibri" w:hAnsi="Calibri" w:cs="Times New Roman"/>
        </w:rPr>
      </w:pPr>
    </w:p>
    <w:p w14:paraId="6641C8D6">
      <w:pPr>
        <w:keepNext w:val="0"/>
        <w:keepLines w:val="0"/>
        <w:pageBreakBefore w:val="0"/>
        <w:widowControl w:val="0"/>
        <w:suppressLineNumbers w:val="0"/>
        <w:kinsoku/>
        <w:wordWrap/>
        <w:overflowPunct/>
        <w:topLinePunct w:val="0"/>
        <w:autoSpaceDE/>
        <w:autoSpaceDN/>
        <w:bidi w:val="0"/>
        <w:adjustRightInd/>
        <w:snapToGrid/>
        <w:spacing w:line="400" w:lineRule="exact"/>
        <w:ind w:firstLine="600" w:firstLineChars="200"/>
        <w:jc w:val="left"/>
        <w:textAlignment w:val="center"/>
        <w:rPr>
          <w:rFonts w:hint="eastAsia"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注：</w:t>
      </w:r>
    </w:p>
    <w:p w14:paraId="1CF0C3AB">
      <w:pPr>
        <w:keepNext w:val="0"/>
        <w:keepLines w:val="0"/>
        <w:pageBreakBefore w:val="0"/>
        <w:widowControl w:val="0"/>
        <w:suppressLineNumbers w:val="0"/>
        <w:kinsoku/>
        <w:wordWrap/>
        <w:overflowPunct/>
        <w:topLinePunct w:val="0"/>
        <w:autoSpaceDE/>
        <w:autoSpaceDN/>
        <w:bidi w:val="0"/>
        <w:adjustRightInd/>
        <w:snapToGrid/>
        <w:spacing w:line="400" w:lineRule="exact"/>
        <w:ind w:firstLine="600" w:firstLineChars="200"/>
        <w:jc w:val="both"/>
        <w:textAlignment w:val="center"/>
        <w:rPr>
          <w:rFonts w:hint="eastAsia"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1.持有多执业范围的医师在其执业范围中任选一个专业报考（西学中医师除外）。</w:t>
      </w:r>
    </w:p>
    <w:p w14:paraId="2B3DEC27">
      <w:pPr>
        <w:keepNext w:val="0"/>
        <w:keepLines w:val="0"/>
        <w:pageBreakBefore w:val="0"/>
        <w:widowControl w:val="0"/>
        <w:suppressLineNumbers w:val="0"/>
        <w:kinsoku/>
        <w:wordWrap/>
        <w:overflowPunct/>
        <w:topLinePunct w:val="0"/>
        <w:autoSpaceDE/>
        <w:autoSpaceDN/>
        <w:bidi w:val="0"/>
        <w:adjustRightInd/>
        <w:snapToGrid/>
        <w:spacing w:line="400" w:lineRule="exact"/>
        <w:ind w:firstLine="600" w:firstLineChars="200"/>
        <w:jc w:val="both"/>
        <w:textAlignment w:val="center"/>
        <w:rPr>
          <w:rFonts w:hint="eastAsia"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2.须在北京医疗整形美容业协会和北京健康管理协会考核的医师，须由各区定期考核办公室办理委托手续。</w:t>
      </w:r>
    </w:p>
    <w:p w14:paraId="3E62B761">
      <w:pPr>
        <w:keepNext w:val="0"/>
        <w:keepLines w:val="0"/>
        <w:pageBreakBefore w:val="0"/>
        <w:widowControl w:val="0"/>
        <w:suppressLineNumbers w:val="0"/>
        <w:kinsoku/>
        <w:wordWrap/>
        <w:overflowPunct/>
        <w:topLinePunct w:val="0"/>
        <w:autoSpaceDE/>
        <w:autoSpaceDN/>
        <w:bidi w:val="0"/>
        <w:adjustRightInd/>
        <w:snapToGrid/>
        <w:spacing w:line="400" w:lineRule="exact"/>
        <w:ind w:firstLine="600" w:firstLineChars="200"/>
        <w:jc w:val="both"/>
        <w:textAlignment w:val="center"/>
        <w:rPr>
          <w:rFonts w:hint="default"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3.其他（指除以上专业外与其执业范围一致的专业）。</w:t>
      </w:r>
    </w:p>
    <w:p w14:paraId="36703B03">
      <w:pPr>
        <w:spacing w:line="240" w:lineRule="auto"/>
        <w:ind w:firstLine="0" w:firstLineChars="0"/>
        <w:rPr>
          <w:rFonts w:ascii="Calibri" w:hAnsi="Calibri" w:cs="Times New Roman"/>
        </w:rPr>
      </w:pPr>
    </w:p>
    <w:p w14:paraId="4C59EDC1">
      <w:pPr>
        <w:spacing w:line="240" w:lineRule="auto"/>
        <w:ind w:firstLine="0" w:firstLineChars="0"/>
        <w:rPr>
          <w:rFonts w:ascii="Calibri" w:hAnsi="Calibri" w:cs="Times New Roman"/>
        </w:rPr>
      </w:pPr>
    </w:p>
    <w:p w14:paraId="6F39565B">
      <w:pPr>
        <w:sectPr>
          <w:headerReference r:id="rId6" w:type="first"/>
          <w:footerReference r:id="rId9" w:type="first"/>
          <w:footerReference r:id="rId7" w:type="default"/>
          <w:headerReference r:id="rId5" w:type="even"/>
          <w:footerReference r:id="rId8" w:type="even"/>
          <w:pgSz w:w="11906" w:h="16838"/>
          <w:pgMar w:top="2098" w:right="1474" w:bottom="1985" w:left="1588" w:header="851" w:footer="992" w:gutter="0"/>
          <w:pgNumType w:fmt="numberInDash"/>
          <w:cols w:space="425" w:num="1"/>
          <w:docGrid w:type="lines" w:linePitch="312" w:charSpace="0"/>
        </w:sectPr>
      </w:pPr>
    </w:p>
    <w:p w14:paraId="1ADBE18E">
      <w:pPr>
        <w:widowControl/>
        <w:spacing w:line="240" w:lineRule="auto"/>
        <w:ind w:firstLine="0" w:firstLineChars="0"/>
        <w:jc w:val="left"/>
        <w:textAlignment w:val="center"/>
        <w:rPr>
          <w:rFonts w:hint="eastAsia" w:ascii="方正小标宋简体" w:hAnsi="方正小标宋简体" w:eastAsia="黑体" w:cs="方正小标宋简体"/>
          <w:sz w:val="44"/>
          <w:szCs w:val="44"/>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14:paraId="49147389">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北京市医师定期考核管理系统</w:t>
      </w:r>
    </w:p>
    <w:p w14:paraId="4D9E0170">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用户操作手册</w:t>
      </w:r>
      <w:r>
        <w:rPr>
          <w:rFonts w:hint="eastAsia" w:ascii="方正小标宋简体" w:hAnsi="方正小标宋简体" w:eastAsia="方正小标宋简体" w:cs="方正小标宋简体"/>
          <w:sz w:val="44"/>
          <w:szCs w:val="44"/>
          <w:lang w:val="en-US" w:eastAsia="zh-CN"/>
        </w:rPr>
        <w:t>-医疗机构&amp;考核机构</w:t>
      </w:r>
    </w:p>
    <w:p w14:paraId="098226FD">
      <w:pPr>
        <w:keepNext/>
        <w:numPr>
          <w:ilvl w:val="0"/>
          <w:numId w:val="0"/>
        </w:numPr>
        <w:spacing w:before="267" w:beforeLines="50" w:after="267" w:afterLines="50" w:line="360" w:lineRule="auto"/>
        <w:ind w:leftChars="0"/>
        <w:outlineLvl w:val="0"/>
        <w:rPr>
          <w:rFonts w:hint="eastAsia" w:ascii="黑体" w:hAnsi="黑体" w:eastAsia="黑体" w:cs="黑体"/>
          <w:b w:val="0"/>
          <w:bCs w:val="0"/>
          <w:iCs/>
          <w:spacing w:val="-20"/>
          <w:kern w:val="32"/>
          <w:sz w:val="32"/>
          <w:szCs w:val="32"/>
          <w:lang w:val="en-US" w:eastAsia="zh-CN" w:bidi="ar-SA"/>
        </w:rPr>
      </w:pPr>
      <w:bookmarkStart w:id="0" w:name="_Toc223105005"/>
      <w:bookmarkStart w:id="1" w:name="_Toc221491557"/>
      <w:bookmarkStart w:id="2" w:name="_Toc223104218"/>
      <w:r>
        <w:rPr>
          <w:rFonts w:hint="eastAsia" w:ascii="黑体" w:hAnsi="黑体" w:eastAsia="黑体" w:cs="黑体"/>
          <w:b w:val="0"/>
          <w:bCs w:val="0"/>
          <w:iCs/>
          <w:spacing w:val="-20"/>
          <w:kern w:val="32"/>
          <w:sz w:val="32"/>
          <w:szCs w:val="32"/>
          <w:lang w:val="en-US" w:eastAsia="zh-CN" w:bidi="ar-SA"/>
        </w:rPr>
        <w:t>1 系统运行需求</w:t>
      </w:r>
      <w:bookmarkEnd w:id="0"/>
      <w:bookmarkEnd w:id="1"/>
      <w:bookmarkEnd w:id="2"/>
    </w:p>
    <w:p w14:paraId="731B8195">
      <w:pPr>
        <w:keepNext w:val="0"/>
        <w:keepLines w:val="0"/>
        <w:pageBreakBefore w:val="0"/>
        <w:widowControl/>
        <w:kinsoku/>
        <w:wordWrap/>
        <w:overflowPunct/>
        <w:topLinePunct w:val="0"/>
        <w:autoSpaceDE/>
        <w:autoSpaceDN/>
        <w:bidi w:val="0"/>
        <w:adjustRightInd/>
        <w:snapToGrid/>
        <w:spacing w:after="120"/>
        <w:ind w:firstLine="560" w:firstLineChars="200"/>
        <w:jc w:val="left"/>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建议浏览器使用 Chrome，360，InternetExplorer9.0及以上；</w:t>
      </w:r>
    </w:p>
    <w:p w14:paraId="2B78DB0A">
      <w:pPr>
        <w:keepNext w:val="0"/>
        <w:keepLines w:val="0"/>
        <w:pageBreakBefore w:val="0"/>
        <w:widowControl/>
        <w:kinsoku/>
        <w:wordWrap/>
        <w:overflowPunct/>
        <w:topLinePunct w:val="0"/>
        <w:autoSpaceDE/>
        <w:autoSpaceDN/>
        <w:bidi w:val="0"/>
        <w:adjustRightInd/>
        <w:snapToGrid/>
        <w:spacing w:after="120"/>
        <w:ind w:firstLine="560" w:firstLineChars="200"/>
        <w:jc w:val="left"/>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系统分辨率为 1024*768及以上</w:t>
      </w:r>
    </w:p>
    <w:p w14:paraId="2414E738">
      <w:pPr>
        <w:keepNext/>
        <w:numPr>
          <w:ilvl w:val="0"/>
          <w:numId w:val="0"/>
        </w:numPr>
        <w:spacing w:before="267" w:beforeLines="50" w:after="267" w:afterLines="50" w:line="360" w:lineRule="auto"/>
        <w:ind w:leftChars="0"/>
        <w:outlineLvl w:val="0"/>
        <w:rPr>
          <w:rFonts w:hint="eastAsia" w:ascii="黑体" w:hAnsi="黑体" w:eastAsia="黑体" w:cs="黑体"/>
          <w:b w:val="0"/>
          <w:bCs w:val="0"/>
          <w:iCs/>
          <w:spacing w:val="-20"/>
          <w:kern w:val="32"/>
          <w:sz w:val="32"/>
          <w:szCs w:val="32"/>
          <w:lang w:val="en-US" w:eastAsia="zh-CN" w:bidi="ar-SA"/>
        </w:rPr>
      </w:pPr>
      <w:bookmarkStart w:id="3" w:name="_Toc223105006"/>
      <w:bookmarkStart w:id="4" w:name="_Toc221491558"/>
      <w:bookmarkStart w:id="5" w:name="_Toc223104219"/>
      <w:r>
        <w:rPr>
          <w:rFonts w:hint="eastAsia" w:ascii="黑体" w:hAnsi="黑体" w:eastAsia="黑体" w:cs="黑体"/>
          <w:b w:val="0"/>
          <w:bCs w:val="0"/>
          <w:iCs/>
          <w:spacing w:val="-20"/>
          <w:kern w:val="32"/>
          <w:sz w:val="32"/>
          <w:szCs w:val="32"/>
          <w:lang w:val="en-US" w:eastAsia="zh-CN" w:bidi="ar-SA"/>
        </w:rPr>
        <w:t>2 医疗机构&amp;考核机构主要业务功能</w:t>
      </w:r>
      <w:bookmarkEnd w:id="3"/>
      <w:bookmarkEnd w:id="4"/>
      <w:bookmarkEnd w:id="5"/>
    </w:p>
    <w:p w14:paraId="1BCADC88">
      <w:pPr>
        <w:keepNext w:val="0"/>
        <w:keepLines w:val="0"/>
        <w:pageBreakBefore w:val="0"/>
        <w:widowControl/>
        <w:numPr>
          <w:ilvl w:val="0"/>
          <w:numId w:val="0"/>
        </w:numPr>
        <w:kinsoku/>
        <w:wordWrap/>
        <w:overflowPunct/>
        <w:topLinePunct w:val="0"/>
        <w:autoSpaceDE/>
        <w:autoSpaceDN/>
        <w:bidi w:val="0"/>
        <w:adjustRightInd/>
        <w:snapToGrid/>
        <w:spacing w:before="240" w:after="60" w:line="312" w:lineRule="auto"/>
        <w:ind w:firstLine="563" w:firstLineChars="200"/>
        <w:contextualSpacing/>
        <w:textAlignment w:val="auto"/>
        <w:outlineLvl w:val="1"/>
        <w:rPr>
          <w:rFonts w:hint="default" w:ascii="仿宋_GB2312" w:hAnsi="仿宋_GB2312" w:eastAsia="仿宋_GB2312" w:cs="仿宋_GB2312"/>
          <w:b/>
          <w:bCs/>
          <w:vanish/>
          <w:color w:val="auto"/>
          <w:spacing w:val="-20"/>
          <w:kern w:val="28"/>
          <w:sz w:val="32"/>
          <w:szCs w:val="32"/>
          <w:lang w:val="en-US" w:eastAsia="zh-CN" w:bidi="ar-SA"/>
        </w:rPr>
      </w:pPr>
      <w:bookmarkStart w:id="6" w:name="_Toc221702229"/>
      <w:bookmarkEnd w:id="6"/>
      <w:bookmarkStart w:id="7" w:name="_Toc221567170"/>
      <w:bookmarkEnd w:id="7"/>
      <w:bookmarkStart w:id="8" w:name="_Toc221491040"/>
      <w:bookmarkEnd w:id="8"/>
      <w:bookmarkStart w:id="9" w:name="_Toc221491117"/>
      <w:bookmarkEnd w:id="9"/>
      <w:bookmarkStart w:id="10" w:name="_Toc221489456"/>
      <w:bookmarkEnd w:id="10"/>
      <w:bookmarkStart w:id="11" w:name="_Toc221569659"/>
      <w:bookmarkEnd w:id="11"/>
      <w:bookmarkStart w:id="12" w:name="_Toc221789727"/>
      <w:bookmarkEnd w:id="12"/>
      <w:bookmarkStart w:id="13" w:name="_Toc221491096"/>
      <w:bookmarkEnd w:id="13"/>
      <w:bookmarkStart w:id="14" w:name="_Toc221491792"/>
      <w:bookmarkEnd w:id="14"/>
      <w:bookmarkStart w:id="15" w:name="_Toc221492450"/>
      <w:bookmarkEnd w:id="15"/>
      <w:bookmarkStart w:id="16" w:name="_Toc221491470"/>
      <w:bookmarkEnd w:id="16"/>
      <w:bookmarkStart w:id="17" w:name="_Toc221490996"/>
      <w:bookmarkEnd w:id="17"/>
      <w:bookmarkStart w:id="18" w:name="_Toc221491775"/>
      <w:bookmarkEnd w:id="18"/>
      <w:bookmarkStart w:id="19" w:name="_Toc223104220"/>
      <w:bookmarkEnd w:id="19"/>
      <w:bookmarkStart w:id="20" w:name="_Toc221491451"/>
      <w:bookmarkEnd w:id="20"/>
      <w:bookmarkStart w:id="21" w:name="_Toc221491015"/>
      <w:bookmarkEnd w:id="21"/>
      <w:bookmarkStart w:id="22" w:name="_Toc221492506"/>
      <w:bookmarkEnd w:id="22"/>
      <w:bookmarkStart w:id="23" w:name="_Toc221491385"/>
      <w:bookmarkEnd w:id="23"/>
      <w:bookmarkStart w:id="24" w:name="_Toc221489478"/>
      <w:bookmarkEnd w:id="24"/>
      <w:bookmarkStart w:id="25" w:name="_Toc223105007"/>
      <w:bookmarkEnd w:id="25"/>
      <w:bookmarkStart w:id="26" w:name="_Toc221567466"/>
      <w:bookmarkEnd w:id="26"/>
      <w:bookmarkStart w:id="27" w:name="_Toc221491065"/>
      <w:bookmarkEnd w:id="27"/>
      <w:bookmarkStart w:id="28" w:name="_Toc221492366"/>
      <w:bookmarkEnd w:id="28"/>
      <w:bookmarkStart w:id="29" w:name="_Toc221491680"/>
      <w:bookmarkEnd w:id="29"/>
      <w:bookmarkStart w:id="30" w:name="_Toc221491559"/>
      <w:bookmarkEnd w:id="30"/>
      <w:bookmarkStart w:id="31" w:name="_Toc221566729"/>
      <w:bookmarkEnd w:id="31"/>
      <w:bookmarkStart w:id="32" w:name="_Toc221566717"/>
      <w:bookmarkEnd w:id="32"/>
      <w:bookmarkStart w:id="33" w:name="_Toc221491518"/>
      <w:bookmarkEnd w:id="33"/>
      <w:bookmarkStart w:id="34" w:name="_Toc221569583"/>
      <w:bookmarkEnd w:id="34"/>
      <w:bookmarkStart w:id="35" w:name="_Toc221569065"/>
      <w:bookmarkEnd w:id="35"/>
      <w:bookmarkStart w:id="36" w:name="_Toc221491292"/>
      <w:bookmarkEnd w:id="36"/>
      <w:bookmarkStart w:id="37" w:name="_Toc221789701"/>
      <w:bookmarkEnd w:id="37"/>
      <w:bookmarkStart w:id="38" w:name="_Toc221567189"/>
      <w:bookmarkEnd w:id="38"/>
      <w:bookmarkStart w:id="39" w:name="_Toc221569221"/>
      <w:bookmarkEnd w:id="39"/>
      <w:r>
        <w:rPr>
          <w:rFonts w:hint="eastAsia" w:ascii="仿宋_GB2312" w:hAnsi="仿宋_GB2312" w:eastAsia="仿宋_GB2312" w:cs="仿宋_GB2312"/>
          <w:b/>
          <w:bCs/>
          <w:vanish/>
          <w:color w:val="auto"/>
          <w:spacing w:val="-20"/>
          <w:kern w:val="28"/>
          <w:sz w:val="32"/>
          <w:szCs w:val="32"/>
          <w:lang w:val="en-US" w:eastAsia="zh-CN" w:bidi="ar-SA"/>
        </w:rPr>
        <w:t>11.1.</w:t>
      </w:r>
    </w:p>
    <w:p w14:paraId="0F5DF191">
      <w:pPr>
        <w:keepNext w:val="0"/>
        <w:keepLines w:val="0"/>
        <w:pageBreakBefore w:val="0"/>
        <w:widowControl/>
        <w:numPr>
          <w:ilvl w:val="0"/>
          <w:numId w:val="1"/>
        </w:numPr>
        <w:kinsoku/>
        <w:wordWrap/>
        <w:overflowPunct/>
        <w:topLinePunct w:val="0"/>
        <w:autoSpaceDE/>
        <w:autoSpaceDN/>
        <w:bidi w:val="0"/>
        <w:adjustRightInd/>
        <w:snapToGrid/>
        <w:spacing w:before="240" w:after="60" w:line="312" w:lineRule="auto"/>
        <w:ind w:left="720" w:firstLine="563" w:firstLineChars="200"/>
        <w:contextualSpacing/>
        <w:textAlignment w:val="auto"/>
        <w:outlineLvl w:val="1"/>
        <w:rPr>
          <w:rFonts w:hint="eastAsia" w:ascii="仿宋_GB2312" w:hAnsi="仿宋_GB2312" w:eastAsia="仿宋_GB2312" w:cs="仿宋_GB2312"/>
          <w:b/>
          <w:bCs/>
          <w:vanish/>
          <w:color w:val="auto"/>
          <w:spacing w:val="-20"/>
          <w:kern w:val="28"/>
          <w:sz w:val="32"/>
          <w:szCs w:val="32"/>
          <w:lang w:val="en-US" w:eastAsia="zh-CN" w:bidi="ar-SA"/>
        </w:rPr>
      </w:pPr>
      <w:bookmarkStart w:id="40" w:name="_Toc221492507"/>
      <w:bookmarkEnd w:id="40"/>
      <w:bookmarkStart w:id="41" w:name="_Toc221566718"/>
      <w:bookmarkEnd w:id="41"/>
      <w:bookmarkStart w:id="42" w:name="_Toc221490997"/>
      <w:bookmarkEnd w:id="42"/>
      <w:bookmarkStart w:id="43" w:name="_Toc221489479"/>
      <w:bookmarkEnd w:id="43"/>
      <w:bookmarkStart w:id="44" w:name="_Toc221492367"/>
      <w:bookmarkEnd w:id="44"/>
      <w:bookmarkStart w:id="45" w:name="_Toc221491452"/>
      <w:bookmarkEnd w:id="45"/>
      <w:bookmarkStart w:id="46" w:name="_Toc221567467"/>
      <w:bookmarkEnd w:id="46"/>
      <w:bookmarkStart w:id="47" w:name="_Toc223105008"/>
      <w:bookmarkEnd w:id="47"/>
      <w:bookmarkStart w:id="48" w:name="_Toc221567171"/>
      <w:bookmarkEnd w:id="48"/>
      <w:bookmarkStart w:id="49" w:name="_Toc221491519"/>
      <w:bookmarkEnd w:id="49"/>
      <w:bookmarkStart w:id="50" w:name="_Toc223104221"/>
      <w:bookmarkEnd w:id="50"/>
      <w:bookmarkStart w:id="51" w:name="_Toc221489457"/>
      <w:bookmarkEnd w:id="51"/>
      <w:bookmarkStart w:id="52" w:name="_Toc221491097"/>
      <w:bookmarkEnd w:id="52"/>
      <w:bookmarkStart w:id="53" w:name="_Toc221491041"/>
      <w:bookmarkEnd w:id="53"/>
      <w:bookmarkStart w:id="54" w:name="_Toc221492451"/>
      <w:bookmarkEnd w:id="54"/>
      <w:bookmarkStart w:id="55" w:name="_Toc221789728"/>
      <w:bookmarkEnd w:id="55"/>
      <w:bookmarkStart w:id="56" w:name="_Toc221569222"/>
      <w:bookmarkEnd w:id="56"/>
      <w:bookmarkStart w:id="57" w:name="_Toc221491386"/>
      <w:bookmarkEnd w:id="57"/>
      <w:bookmarkStart w:id="58" w:name="_Toc221491471"/>
      <w:bookmarkEnd w:id="58"/>
      <w:bookmarkStart w:id="59" w:name="_Toc221491776"/>
      <w:bookmarkEnd w:id="59"/>
      <w:bookmarkStart w:id="60" w:name="_Toc221566730"/>
      <w:bookmarkEnd w:id="60"/>
      <w:bookmarkStart w:id="61" w:name="_Toc221702230"/>
      <w:bookmarkEnd w:id="61"/>
      <w:bookmarkStart w:id="62" w:name="_Toc221569584"/>
      <w:bookmarkEnd w:id="62"/>
      <w:bookmarkStart w:id="63" w:name="_Toc221491118"/>
      <w:bookmarkEnd w:id="63"/>
      <w:bookmarkStart w:id="64" w:name="_Toc221569660"/>
      <w:bookmarkEnd w:id="64"/>
      <w:bookmarkStart w:id="65" w:name="_Toc221569066"/>
      <w:bookmarkEnd w:id="65"/>
      <w:bookmarkStart w:id="66" w:name="_Toc221491793"/>
      <w:bookmarkEnd w:id="66"/>
      <w:bookmarkStart w:id="67" w:name="_Toc221491066"/>
      <w:bookmarkEnd w:id="67"/>
      <w:bookmarkStart w:id="68" w:name="_Toc221491681"/>
      <w:bookmarkEnd w:id="68"/>
      <w:bookmarkStart w:id="69" w:name="_Toc221789702"/>
      <w:bookmarkEnd w:id="69"/>
      <w:bookmarkStart w:id="70" w:name="_Toc221491293"/>
      <w:bookmarkEnd w:id="70"/>
      <w:bookmarkStart w:id="71" w:name="_Toc221491016"/>
      <w:bookmarkEnd w:id="71"/>
      <w:bookmarkStart w:id="72" w:name="_Toc221567190"/>
      <w:bookmarkEnd w:id="72"/>
      <w:bookmarkStart w:id="73" w:name="_Toc221491560"/>
      <w:bookmarkEnd w:id="73"/>
    </w:p>
    <w:p w14:paraId="0EE3C2BF">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auto"/>
          <w:spacing w:val="-20"/>
          <w:kern w:val="0"/>
          <w:sz w:val="32"/>
          <w:szCs w:val="32"/>
        </w:rPr>
      </w:pPr>
      <w:r>
        <w:rPr>
          <w:rFonts w:hint="eastAsia" w:ascii="仿宋_GB2312" w:hAnsi="仿宋_GB2312" w:eastAsia="仿宋_GB2312" w:cs="仿宋_GB2312"/>
          <w:color w:val="auto"/>
          <w:spacing w:val="-20"/>
          <w:kern w:val="0"/>
          <w:sz w:val="32"/>
          <w:szCs w:val="32"/>
        </w:rPr>
        <w:fldChar w:fldCharType="begin"/>
      </w:r>
      <w:r>
        <w:rPr>
          <w:rFonts w:hint="eastAsia" w:ascii="仿宋_GB2312" w:hAnsi="仿宋_GB2312" w:eastAsia="仿宋_GB2312" w:cs="仿宋_GB2312"/>
          <w:color w:val="auto"/>
          <w:spacing w:val="-20"/>
          <w:kern w:val="0"/>
          <w:sz w:val="32"/>
          <w:szCs w:val="32"/>
        </w:rPr>
        <w:instrText xml:space="preserve"> HYPERLINK \l "_基础信息确认" </w:instrText>
      </w:r>
      <w:r>
        <w:rPr>
          <w:rFonts w:hint="eastAsia" w:ascii="仿宋_GB2312" w:hAnsi="仿宋_GB2312" w:eastAsia="仿宋_GB2312" w:cs="仿宋_GB2312"/>
          <w:color w:val="auto"/>
          <w:spacing w:val="-20"/>
          <w:kern w:val="0"/>
          <w:sz w:val="32"/>
          <w:szCs w:val="32"/>
        </w:rPr>
        <w:fldChar w:fldCharType="separate"/>
      </w:r>
      <w:r>
        <w:rPr>
          <w:rFonts w:hint="eastAsia" w:ascii="仿宋_GB2312" w:hAnsi="仿宋_GB2312" w:eastAsia="仿宋_GB2312" w:cs="仿宋_GB2312"/>
          <w:color w:val="auto"/>
          <w:spacing w:val="-20"/>
          <w:kern w:val="0"/>
          <w:sz w:val="32"/>
          <w:szCs w:val="32"/>
          <w:u w:val="single"/>
        </w:rPr>
        <w:t>考核机构申请</w:t>
      </w:r>
      <w:r>
        <w:rPr>
          <w:rFonts w:hint="eastAsia" w:ascii="仿宋_GB2312" w:hAnsi="仿宋_GB2312" w:eastAsia="仿宋_GB2312" w:cs="仿宋_GB2312"/>
          <w:color w:val="auto"/>
          <w:spacing w:val="-20"/>
          <w:kern w:val="0"/>
          <w:sz w:val="32"/>
          <w:szCs w:val="32"/>
          <w:u w:val="single"/>
        </w:rPr>
        <w:fldChar w:fldCharType="end"/>
      </w:r>
    </w:p>
    <w:p w14:paraId="5479EB4C">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auto"/>
          <w:spacing w:val="-20"/>
          <w:kern w:val="0"/>
          <w:sz w:val="32"/>
          <w:szCs w:val="32"/>
        </w:rPr>
      </w:pPr>
      <w:r>
        <w:rPr>
          <w:rFonts w:hint="eastAsia" w:ascii="仿宋_GB2312" w:hAnsi="仿宋_GB2312" w:eastAsia="仿宋_GB2312" w:cs="仿宋_GB2312"/>
          <w:color w:val="auto"/>
          <w:spacing w:val="-20"/>
          <w:kern w:val="0"/>
          <w:sz w:val="32"/>
          <w:szCs w:val="32"/>
        </w:rPr>
        <w:fldChar w:fldCharType="begin"/>
      </w:r>
      <w:r>
        <w:rPr>
          <w:rFonts w:hint="eastAsia" w:ascii="仿宋_GB2312" w:hAnsi="仿宋_GB2312" w:eastAsia="仿宋_GB2312" w:cs="仿宋_GB2312"/>
          <w:color w:val="auto"/>
          <w:spacing w:val="-20"/>
          <w:kern w:val="0"/>
          <w:sz w:val="32"/>
          <w:szCs w:val="32"/>
        </w:rPr>
        <w:instrText xml:space="preserve"> HYPERLINK  \l "_医师信息管理" </w:instrText>
      </w:r>
      <w:r>
        <w:rPr>
          <w:rFonts w:hint="eastAsia" w:ascii="仿宋_GB2312" w:hAnsi="仿宋_GB2312" w:eastAsia="仿宋_GB2312" w:cs="仿宋_GB2312"/>
          <w:color w:val="auto"/>
          <w:spacing w:val="-20"/>
          <w:kern w:val="0"/>
          <w:sz w:val="32"/>
          <w:szCs w:val="32"/>
        </w:rPr>
        <w:fldChar w:fldCharType="separate"/>
      </w:r>
      <w:r>
        <w:rPr>
          <w:rFonts w:hint="eastAsia" w:ascii="仿宋_GB2312" w:hAnsi="仿宋_GB2312" w:eastAsia="仿宋_GB2312" w:cs="仿宋_GB2312"/>
          <w:color w:val="auto"/>
          <w:spacing w:val="-20"/>
          <w:kern w:val="0"/>
          <w:sz w:val="32"/>
          <w:szCs w:val="32"/>
          <w:u w:val="single"/>
        </w:rPr>
        <w:t>确认考核医师范围，督促医师报名</w:t>
      </w:r>
    </w:p>
    <w:p w14:paraId="37A166E7">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auto"/>
          <w:spacing w:val="-20"/>
          <w:kern w:val="0"/>
          <w:sz w:val="32"/>
          <w:szCs w:val="32"/>
        </w:rPr>
      </w:pPr>
      <w:r>
        <w:rPr>
          <w:rFonts w:hint="eastAsia" w:ascii="仿宋_GB2312" w:hAnsi="仿宋_GB2312" w:eastAsia="仿宋_GB2312" w:cs="仿宋_GB2312"/>
          <w:color w:val="auto"/>
          <w:spacing w:val="-20"/>
          <w:kern w:val="0"/>
          <w:sz w:val="32"/>
          <w:szCs w:val="32"/>
        </w:rPr>
        <w:fldChar w:fldCharType="end"/>
      </w:r>
      <w:r>
        <w:rPr>
          <w:rFonts w:hint="eastAsia" w:ascii="仿宋_GB2312" w:hAnsi="仿宋_GB2312" w:eastAsia="仿宋_GB2312" w:cs="仿宋_GB2312"/>
          <w:color w:val="auto"/>
          <w:spacing w:val="-20"/>
          <w:kern w:val="0"/>
          <w:sz w:val="32"/>
          <w:szCs w:val="32"/>
        </w:rPr>
        <w:fldChar w:fldCharType="begin"/>
      </w:r>
      <w:r>
        <w:rPr>
          <w:rFonts w:hint="eastAsia" w:ascii="仿宋_GB2312" w:hAnsi="仿宋_GB2312" w:eastAsia="仿宋_GB2312" w:cs="仿宋_GB2312"/>
          <w:color w:val="auto"/>
          <w:spacing w:val="-20"/>
          <w:kern w:val="0"/>
          <w:sz w:val="32"/>
          <w:szCs w:val="32"/>
        </w:rPr>
        <w:instrText xml:space="preserve"> HYPERLINK \l "_考核机构管理" </w:instrText>
      </w:r>
      <w:r>
        <w:rPr>
          <w:rFonts w:hint="eastAsia" w:ascii="仿宋_GB2312" w:hAnsi="仿宋_GB2312" w:eastAsia="仿宋_GB2312" w:cs="仿宋_GB2312"/>
          <w:color w:val="auto"/>
          <w:spacing w:val="-20"/>
          <w:kern w:val="0"/>
          <w:sz w:val="32"/>
          <w:szCs w:val="32"/>
        </w:rPr>
        <w:fldChar w:fldCharType="separate"/>
      </w:r>
      <w:r>
        <w:rPr>
          <w:rFonts w:hint="eastAsia" w:ascii="仿宋_GB2312" w:hAnsi="仿宋_GB2312" w:eastAsia="仿宋_GB2312" w:cs="仿宋_GB2312"/>
          <w:color w:val="auto"/>
          <w:spacing w:val="-20"/>
          <w:kern w:val="0"/>
          <w:sz w:val="32"/>
          <w:szCs w:val="32"/>
          <w:u w:val="single"/>
        </w:rPr>
        <w:t>医师考核申请审核</w:t>
      </w:r>
      <w:r>
        <w:rPr>
          <w:rFonts w:hint="eastAsia" w:ascii="仿宋_GB2312" w:hAnsi="仿宋_GB2312" w:eastAsia="仿宋_GB2312" w:cs="仿宋_GB2312"/>
          <w:color w:val="auto"/>
          <w:spacing w:val="-20"/>
          <w:kern w:val="0"/>
          <w:sz w:val="32"/>
          <w:szCs w:val="32"/>
          <w:u w:val="single"/>
        </w:rPr>
        <w:fldChar w:fldCharType="end"/>
      </w:r>
    </w:p>
    <w:p w14:paraId="0643AB58">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auto"/>
          <w:spacing w:val="-20"/>
          <w:kern w:val="0"/>
          <w:sz w:val="32"/>
          <w:szCs w:val="32"/>
        </w:rPr>
      </w:pPr>
      <w:r>
        <w:rPr>
          <w:rFonts w:hint="eastAsia" w:ascii="仿宋_GB2312" w:hAnsi="仿宋_GB2312" w:eastAsia="仿宋_GB2312" w:cs="仿宋_GB2312"/>
          <w:color w:val="auto"/>
          <w:spacing w:val="-20"/>
          <w:kern w:val="0"/>
          <w:sz w:val="32"/>
          <w:szCs w:val="32"/>
        </w:rPr>
        <w:fldChar w:fldCharType="begin"/>
      </w:r>
      <w:r>
        <w:rPr>
          <w:rFonts w:hint="eastAsia" w:ascii="仿宋_GB2312" w:hAnsi="仿宋_GB2312" w:eastAsia="仿宋_GB2312" w:cs="仿宋_GB2312"/>
          <w:color w:val="auto"/>
          <w:spacing w:val="-20"/>
          <w:kern w:val="0"/>
          <w:sz w:val="32"/>
          <w:szCs w:val="32"/>
        </w:rPr>
        <w:instrText xml:space="preserve"> HYPERLINK \l "_委托机构考核" </w:instrText>
      </w:r>
      <w:r>
        <w:rPr>
          <w:rFonts w:hint="eastAsia" w:ascii="仿宋_GB2312" w:hAnsi="仿宋_GB2312" w:eastAsia="仿宋_GB2312" w:cs="仿宋_GB2312"/>
          <w:color w:val="auto"/>
          <w:spacing w:val="-20"/>
          <w:kern w:val="0"/>
          <w:sz w:val="32"/>
          <w:szCs w:val="32"/>
        </w:rPr>
        <w:fldChar w:fldCharType="separate"/>
      </w:r>
      <w:r>
        <w:rPr>
          <w:rFonts w:hint="eastAsia" w:ascii="仿宋_GB2312" w:hAnsi="仿宋_GB2312" w:eastAsia="仿宋_GB2312" w:cs="仿宋_GB2312"/>
          <w:color w:val="auto"/>
          <w:spacing w:val="-20"/>
          <w:kern w:val="0"/>
          <w:sz w:val="32"/>
          <w:szCs w:val="32"/>
          <w:u w:val="single"/>
        </w:rPr>
        <w:t>本院/多地点执业医师评价（医疗机构考核）</w:t>
      </w:r>
      <w:r>
        <w:rPr>
          <w:rFonts w:hint="eastAsia" w:ascii="仿宋_GB2312" w:hAnsi="仿宋_GB2312" w:eastAsia="仿宋_GB2312" w:cs="仿宋_GB2312"/>
          <w:color w:val="auto"/>
          <w:spacing w:val="-20"/>
          <w:kern w:val="0"/>
          <w:sz w:val="32"/>
          <w:szCs w:val="32"/>
          <w:u w:val="single"/>
        </w:rPr>
        <w:fldChar w:fldCharType="end"/>
      </w:r>
    </w:p>
    <w:p w14:paraId="18D75B7B">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auto"/>
          <w:spacing w:val="-20"/>
          <w:kern w:val="0"/>
          <w:sz w:val="32"/>
          <w:szCs w:val="32"/>
        </w:rPr>
      </w:pPr>
      <w:r>
        <w:rPr>
          <w:rFonts w:hint="eastAsia" w:ascii="仿宋_GB2312" w:hAnsi="仿宋_GB2312" w:eastAsia="仿宋_GB2312" w:cs="仿宋_GB2312"/>
          <w:color w:val="auto"/>
          <w:spacing w:val="-20"/>
          <w:kern w:val="0"/>
          <w:sz w:val="32"/>
          <w:szCs w:val="32"/>
        </w:rPr>
        <w:fldChar w:fldCharType="begin"/>
      </w:r>
      <w:r>
        <w:rPr>
          <w:rFonts w:hint="eastAsia" w:ascii="仿宋_GB2312" w:hAnsi="仿宋_GB2312" w:eastAsia="仿宋_GB2312" w:cs="仿宋_GB2312"/>
          <w:color w:val="auto"/>
          <w:spacing w:val="-20"/>
          <w:kern w:val="0"/>
          <w:sz w:val="32"/>
          <w:szCs w:val="32"/>
        </w:rPr>
        <w:instrText xml:space="preserve"> HYPERLINK \l "_考核结果汇总" </w:instrText>
      </w:r>
      <w:r>
        <w:rPr>
          <w:rFonts w:hint="eastAsia" w:ascii="仿宋_GB2312" w:hAnsi="仿宋_GB2312" w:eastAsia="仿宋_GB2312" w:cs="仿宋_GB2312"/>
          <w:color w:val="auto"/>
          <w:spacing w:val="-20"/>
          <w:kern w:val="0"/>
          <w:sz w:val="32"/>
          <w:szCs w:val="32"/>
        </w:rPr>
        <w:fldChar w:fldCharType="separate"/>
      </w:r>
      <w:r>
        <w:rPr>
          <w:rFonts w:hint="eastAsia" w:ascii="仿宋_GB2312" w:hAnsi="仿宋_GB2312" w:eastAsia="仿宋_GB2312" w:cs="仿宋_GB2312"/>
          <w:color w:val="auto"/>
          <w:spacing w:val="-20"/>
          <w:kern w:val="0"/>
          <w:sz w:val="32"/>
          <w:szCs w:val="32"/>
          <w:u w:val="single"/>
        </w:rPr>
        <w:t>考核结果汇总</w:t>
      </w:r>
      <w:r>
        <w:rPr>
          <w:rFonts w:hint="eastAsia" w:ascii="仿宋_GB2312" w:hAnsi="仿宋_GB2312" w:eastAsia="仿宋_GB2312" w:cs="仿宋_GB2312"/>
          <w:color w:val="auto"/>
          <w:spacing w:val="-20"/>
          <w:kern w:val="0"/>
          <w:sz w:val="32"/>
          <w:szCs w:val="32"/>
          <w:u w:val="single"/>
        </w:rPr>
        <w:fldChar w:fldCharType="end"/>
      </w:r>
    </w:p>
    <w:p w14:paraId="5E7F57B2">
      <w:pPr>
        <w:jc w:val="center"/>
        <w:rPr>
          <w:rFonts w:hint="default" w:ascii="方正小标宋简体" w:hAnsi="方正小标宋简体" w:eastAsia="方正小标宋简体" w:cs="方正小标宋简体"/>
          <w:sz w:val="44"/>
          <w:szCs w:val="44"/>
          <w:lang w:val="en-US" w:eastAsia="zh-CN"/>
        </w:rPr>
      </w:pPr>
    </w:p>
    <w:p w14:paraId="289527FA">
      <w:pPr>
        <w:jc w:val="center"/>
        <w:rPr>
          <w:rFonts w:hint="default" w:ascii="方正小标宋简体" w:hAnsi="方正小标宋简体" w:eastAsia="方正小标宋简体" w:cs="方正小标宋简体"/>
          <w:sz w:val="44"/>
          <w:szCs w:val="44"/>
          <w:lang w:val="en-US" w:eastAsia="zh-CN"/>
        </w:rPr>
      </w:pPr>
    </w:p>
    <w:p w14:paraId="0D90A8A6">
      <w:pPr>
        <w:jc w:val="center"/>
        <w:rPr>
          <w:rFonts w:hint="default" w:ascii="方正小标宋简体" w:hAnsi="方正小标宋简体" w:eastAsia="方正小标宋简体" w:cs="方正小标宋简体"/>
          <w:sz w:val="44"/>
          <w:szCs w:val="44"/>
          <w:lang w:val="en-US" w:eastAsia="zh-CN"/>
        </w:rPr>
      </w:pPr>
    </w:p>
    <w:p w14:paraId="3964F2E8">
      <w:pPr>
        <w:jc w:val="center"/>
        <w:rPr>
          <w:rFonts w:hint="default" w:ascii="方正小标宋简体" w:hAnsi="方正小标宋简体" w:eastAsia="方正小标宋简体" w:cs="方正小标宋简体"/>
          <w:sz w:val="44"/>
          <w:szCs w:val="44"/>
          <w:lang w:val="en-US" w:eastAsia="zh-CN"/>
        </w:rPr>
      </w:pPr>
    </w:p>
    <w:p w14:paraId="5E7A691B">
      <w:pPr>
        <w:keepNext/>
        <w:numPr>
          <w:ilvl w:val="0"/>
          <w:numId w:val="0"/>
        </w:numPr>
        <w:spacing w:before="267" w:beforeLines="50" w:after="267" w:afterLines="50" w:line="360" w:lineRule="auto"/>
        <w:ind w:leftChars="0"/>
        <w:outlineLvl w:val="0"/>
        <w:rPr>
          <w:rFonts w:hint="eastAsia" w:ascii="黑体" w:hAnsi="黑体" w:eastAsia="黑体" w:cs="黑体"/>
          <w:b w:val="0"/>
          <w:bCs w:val="0"/>
          <w:iCs/>
          <w:spacing w:val="-20"/>
          <w:kern w:val="32"/>
          <w:sz w:val="32"/>
          <w:szCs w:val="32"/>
          <w:lang w:val="en-US" w:eastAsia="zh-CN" w:bidi="ar-SA"/>
        </w:rPr>
      </w:pPr>
      <w:bookmarkStart w:id="74" w:name="_Toc223104222"/>
      <w:bookmarkStart w:id="75" w:name="_Toc221491562"/>
      <w:bookmarkStart w:id="76" w:name="_Toc223105009"/>
      <w:r>
        <w:rPr>
          <w:rFonts w:ascii="微软雅黑 Light" w:hAnsi="微软雅黑 Light" w:eastAsia="微软雅黑 Light" w:cs="Times New Roman"/>
          <w:spacing w:val="-20"/>
          <w:kern w:val="0"/>
          <w:sz w:val="24"/>
        </w:rPr>
        <w:drawing>
          <wp:anchor distT="0" distB="0" distL="0" distR="0" simplePos="0" relativeHeight="251664384" behindDoc="1" locked="0" layoutInCell="1" allowOverlap="1">
            <wp:simplePos x="0" y="0"/>
            <wp:positionH relativeFrom="column">
              <wp:posOffset>-687070</wp:posOffset>
            </wp:positionH>
            <wp:positionV relativeFrom="paragraph">
              <wp:posOffset>701675</wp:posOffset>
            </wp:positionV>
            <wp:extent cx="6848475" cy="6057900"/>
            <wp:effectExtent l="0" t="0" r="0" b="0"/>
            <wp:wrapTight wrapText="bothSides">
              <wp:wrapPolygon>
                <wp:start x="9253" y="408"/>
                <wp:lineTo x="8772" y="543"/>
                <wp:lineTo x="7631" y="1291"/>
                <wp:lineTo x="7631" y="1562"/>
                <wp:lineTo x="7150" y="2581"/>
                <wp:lineTo x="7090" y="3464"/>
                <wp:lineTo x="7991" y="3668"/>
                <wp:lineTo x="11476" y="3668"/>
                <wp:lineTo x="8051" y="4143"/>
                <wp:lineTo x="6549" y="4483"/>
                <wp:lineTo x="6549" y="4755"/>
                <wp:lineTo x="6309" y="5026"/>
                <wp:lineTo x="5708" y="5774"/>
                <wp:lineTo x="5408" y="6928"/>
                <wp:lineTo x="5528" y="8015"/>
                <wp:lineTo x="6008" y="9102"/>
                <wp:lineTo x="6008" y="9238"/>
                <wp:lineTo x="7210" y="10189"/>
                <wp:lineTo x="7390" y="10460"/>
                <wp:lineTo x="8412" y="11275"/>
                <wp:lineTo x="8772" y="11275"/>
                <wp:lineTo x="6669" y="12362"/>
                <wp:lineTo x="6249" y="12838"/>
                <wp:lineTo x="5768" y="13449"/>
                <wp:lineTo x="5468" y="14468"/>
                <wp:lineTo x="5468" y="15623"/>
                <wp:lineTo x="5948" y="16709"/>
                <wp:lineTo x="5948" y="16845"/>
                <wp:lineTo x="7030" y="17796"/>
                <wp:lineTo x="7090" y="18883"/>
                <wp:lineTo x="7270" y="19970"/>
                <wp:lineTo x="7931" y="21057"/>
                <wp:lineTo x="9013" y="21736"/>
                <wp:lineTo x="9253" y="21736"/>
                <wp:lineTo x="10394" y="21736"/>
                <wp:lineTo x="10635" y="21736"/>
                <wp:lineTo x="11716" y="21057"/>
                <wp:lineTo x="12377" y="19970"/>
                <wp:lineTo x="12798" y="19970"/>
                <wp:lineTo x="16042" y="19019"/>
                <wp:lineTo x="16162" y="18068"/>
                <wp:lineTo x="15381" y="17796"/>
                <wp:lineTo x="12437" y="17796"/>
                <wp:lineTo x="12017" y="16913"/>
                <wp:lineTo x="11957" y="16098"/>
                <wp:lineTo x="10034" y="15691"/>
                <wp:lineTo x="6609" y="15623"/>
                <wp:lineTo x="13999" y="15079"/>
                <wp:lineTo x="13999" y="14536"/>
                <wp:lineTo x="9974" y="14536"/>
                <wp:lineTo x="11656" y="14196"/>
                <wp:lineTo x="11656" y="13449"/>
                <wp:lineTo x="12317" y="12362"/>
                <wp:lineTo x="13098" y="12362"/>
                <wp:lineTo x="15682" y="11547"/>
                <wp:lineTo x="15802" y="10528"/>
                <wp:lineTo x="15321" y="10392"/>
                <wp:lineTo x="12497" y="10189"/>
                <wp:lineTo x="12077" y="9442"/>
                <wp:lineTo x="11957" y="8423"/>
                <wp:lineTo x="9974" y="8015"/>
                <wp:lineTo x="11716" y="8015"/>
                <wp:lineTo x="13339" y="7743"/>
                <wp:lineTo x="13278" y="6860"/>
                <wp:lineTo x="12738" y="6453"/>
                <wp:lineTo x="11536" y="5842"/>
                <wp:lineTo x="12317" y="4755"/>
                <wp:lineTo x="12678" y="4755"/>
                <wp:lineTo x="15682" y="3804"/>
                <wp:lineTo x="15802" y="2785"/>
                <wp:lineTo x="15321" y="2649"/>
                <wp:lineTo x="12497" y="2581"/>
                <wp:lineTo x="12077" y="1358"/>
                <wp:lineTo x="10875" y="543"/>
                <wp:lineTo x="10394" y="408"/>
                <wp:lineTo x="9253" y="408"/>
              </wp:wrapPolygon>
            </wp:wrapTight>
            <wp:docPr id="27" name="图示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Pr>
          <w:rFonts w:hint="eastAsia" w:ascii="黑体" w:hAnsi="黑体" w:eastAsia="黑体" w:cs="黑体"/>
          <w:b w:val="0"/>
          <w:bCs w:val="0"/>
          <w:iCs/>
          <w:spacing w:val="-20"/>
          <w:kern w:val="32"/>
          <w:sz w:val="32"/>
          <w:szCs w:val="32"/>
          <w:lang w:val="en-US" w:eastAsia="zh-CN" w:bidi="ar-SA"/>
        </w:rPr>
        <w:t>3 主业务流程</w:t>
      </w:r>
      <w:bookmarkEnd w:id="74"/>
      <w:bookmarkEnd w:id="75"/>
      <w:bookmarkEnd w:id="76"/>
    </w:p>
    <w:p w14:paraId="517182E2">
      <w:pPr>
        <w:jc w:val="center"/>
        <w:rPr>
          <w:rFonts w:hint="default" w:ascii="方正小标宋简体" w:hAnsi="方正小标宋简体" w:eastAsia="方正小标宋简体" w:cs="方正小标宋简体"/>
          <w:sz w:val="44"/>
          <w:szCs w:val="44"/>
          <w:lang w:val="en-US" w:eastAsia="zh-CN"/>
        </w:rPr>
        <w:sectPr>
          <w:pgSz w:w="11906" w:h="16838"/>
          <w:pgMar w:top="2098" w:right="1474" w:bottom="1985" w:left="1588" w:header="851" w:footer="992" w:gutter="0"/>
          <w:pgNumType w:fmt="numberInDash"/>
          <w:cols w:space="425" w:num="1"/>
          <w:docGrid w:type="lines" w:linePitch="312" w:charSpace="0"/>
        </w:sectPr>
      </w:pPr>
    </w:p>
    <w:p w14:paraId="6D3584D3">
      <w:pPr>
        <w:keepNext/>
        <w:numPr>
          <w:ilvl w:val="0"/>
          <w:numId w:val="0"/>
        </w:numPr>
        <w:spacing w:before="267" w:beforeLines="50" w:after="267" w:afterLines="50" w:line="360" w:lineRule="auto"/>
        <w:ind w:leftChars="0"/>
        <w:outlineLvl w:val="0"/>
        <w:rPr>
          <w:rFonts w:hint="eastAsia" w:ascii="黑体" w:hAnsi="黑体" w:eastAsia="黑体" w:cs="黑体"/>
          <w:b w:val="0"/>
          <w:bCs w:val="0"/>
          <w:iCs/>
          <w:spacing w:val="-20"/>
          <w:kern w:val="32"/>
          <w:sz w:val="32"/>
          <w:szCs w:val="32"/>
          <w:lang w:val="en-US" w:eastAsia="zh-CN" w:bidi="ar-SA"/>
        </w:rPr>
      </w:pPr>
      <w:bookmarkStart w:id="77" w:name="_Toc223105010"/>
      <w:bookmarkStart w:id="78" w:name="_Toc221491563"/>
      <w:bookmarkStart w:id="79" w:name="_Toc223104223"/>
      <w:r>
        <w:rPr>
          <w:rFonts w:hint="eastAsia" w:ascii="黑体" w:hAnsi="黑体" w:eastAsia="黑体" w:cs="黑体"/>
          <w:b w:val="0"/>
          <w:bCs w:val="0"/>
          <w:iCs/>
          <w:spacing w:val="-20"/>
          <w:kern w:val="32"/>
          <w:sz w:val="32"/>
          <w:szCs w:val="32"/>
          <w:lang w:val="en-US" w:eastAsia="zh-CN" w:bidi="ar-SA"/>
        </w:rPr>
        <w:t>4系统登录</w:t>
      </w:r>
      <w:bookmarkEnd w:id="77"/>
      <w:bookmarkEnd w:id="78"/>
      <w:bookmarkEnd w:id="79"/>
    </w:p>
    <w:p w14:paraId="3ABDEC00">
      <w:pPr>
        <w:keepNext w:val="0"/>
        <w:keepLines w:val="0"/>
        <w:pageBreakBefore w:val="0"/>
        <w:widowControl/>
        <w:kinsoku w:val="0"/>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账号：机构执业许可证登记号；</w:t>
      </w:r>
    </w:p>
    <w:p w14:paraId="3CA84414">
      <w:pPr>
        <w:keepNext w:val="0"/>
        <w:keepLines w:val="0"/>
        <w:pageBreakBefore w:val="0"/>
        <w:widowControl/>
        <w:kinsoku w:val="0"/>
        <w:wordWrap/>
        <w:overflowPunct/>
        <w:topLinePunct w:val="0"/>
        <w:autoSpaceDE/>
        <w:autoSpaceDN/>
        <w:bidi w:val="0"/>
        <w:adjustRightInd/>
        <w:snapToGrid/>
        <w:spacing w:line="240" w:lineRule="auto"/>
        <w:ind w:firstLine="560" w:firstLineChars="200"/>
        <w:jc w:val="both"/>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初始密码：账号后6位+*+Dk；（如某单位机构执业许可证登记号为“1101110220110712123456”，账号后六位为123456，则初始密码为“123456*Dk”，D大写，k小写）。</w:t>
      </w:r>
    </w:p>
    <w:p w14:paraId="7A58DBE9">
      <w:pPr>
        <w:keepNext w:val="0"/>
        <w:keepLines w:val="0"/>
        <w:pageBreakBefore w:val="0"/>
        <w:widowControl/>
        <w:kinsoku w:val="0"/>
        <w:wordWrap/>
        <w:overflowPunct/>
        <w:topLinePunct w:val="0"/>
        <w:autoSpaceDE/>
        <w:autoSpaceDN/>
        <w:bidi w:val="0"/>
        <w:adjustRightInd/>
        <w:snapToGrid/>
        <w:spacing w:line="240" w:lineRule="auto"/>
        <w:ind w:firstLine="563" w:firstLineChars="200"/>
        <w:jc w:val="left"/>
        <w:textAlignment w:val="auto"/>
        <w:rPr>
          <w:rFonts w:ascii="微软雅黑 Light" w:hAnsi="微软雅黑 Light" w:eastAsia="微软雅黑 Light" w:cs="Times New Roman"/>
          <w:b/>
          <w:color w:val="FF0000"/>
          <w:spacing w:val="-20"/>
          <w:kern w:val="0"/>
          <w:sz w:val="24"/>
        </w:rPr>
      </w:pPr>
      <w:r>
        <w:rPr>
          <w:rFonts w:hint="eastAsia" w:ascii="仿宋_GB2312" w:hAnsi="仿宋_GB2312" w:eastAsia="仿宋_GB2312" w:cs="仿宋_GB2312"/>
          <w:b/>
          <w:color w:val="FF0000"/>
          <w:spacing w:val="-20"/>
          <w:kern w:val="0"/>
          <w:sz w:val="32"/>
          <w:szCs w:val="32"/>
        </w:rPr>
        <w:t>PS：若忘记之前自设置的密码，密码找回后首次登录也需要使用初始密码登录，登录密码可以使用联系手机号在”信息管理</w:t>
      </w:r>
      <w:r>
        <w:rPr>
          <w:rFonts w:hint="eastAsia" w:ascii="仿宋_GB2312" w:hAnsi="仿宋_GB2312" w:eastAsia="仿宋_GB2312" w:cs="仿宋_GB2312"/>
          <w:b/>
          <w:color w:val="FF0000"/>
          <w:spacing w:val="-20"/>
          <w:kern w:val="0"/>
          <w:sz w:val="32"/>
          <w:szCs w:val="32"/>
        </w:rPr>
        <w:sym w:font="Wingdings" w:char="F0E0"/>
      </w:r>
      <w:r>
        <w:rPr>
          <w:rFonts w:hint="eastAsia" w:ascii="仿宋_GB2312" w:hAnsi="仿宋_GB2312" w:eastAsia="仿宋_GB2312" w:cs="仿宋_GB2312"/>
          <w:b/>
          <w:color w:val="FF0000"/>
          <w:spacing w:val="-20"/>
          <w:kern w:val="0"/>
          <w:sz w:val="32"/>
          <w:szCs w:val="32"/>
        </w:rPr>
        <w:t>密码设置”页面进行修改。</w:t>
      </w:r>
    </w:p>
    <w:p w14:paraId="43AEF26D">
      <w:pPr>
        <w:widowControl/>
        <w:spacing w:line="240" w:lineRule="auto"/>
        <w:ind w:firstLine="0" w:firstLineChars="0"/>
        <w:jc w:val="left"/>
        <w:rPr>
          <w:rFonts w:ascii="微软雅黑 Light" w:hAnsi="微软雅黑 Light" w:eastAsia="微软雅黑 Light" w:cs="Times New Roman"/>
          <w:b/>
          <w:bCs/>
          <w:spacing w:val="-20"/>
          <w:kern w:val="0"/>
          <w:sz w:val="30"/>
          <w:szCs w:val="30"/>
        </w:rPr>
      </w:pPr>
    </w:p>
    <w:p w14:paraId="34B792C7">
      <w:pPr>
        <w:keepNext/>
        <w:numPr>
          <w:ilvl w:val="0"/>
          <w:numId w:val="0"/>
        </w:numPr>
        <w:spacing w:before="267" w:beforeLines="50" w:after="267" w:afterLines="50" w:line="360" w:lineRule="auto"/>
        <w:ind w:leftChars="0"/>
        <w:outlineLvl w:val="0"/>
        <w:rPr>
          <w:rFonts w:ascii="微软雅黑 Light" w:hAnsi="微软雅黑 Light" w:eastAsia="微软雅黑 Light" w:cs="Times New Roman"/>
          <w:b w:val="0"/>
          <w:bCs w:val="0"/>
          <w:iCs/>
          <w:spacing w:val="-20"/>
          <w:kern w:val="32"/>
          <w:sz w:val="44"/>
          <w:szCs w:val="44"/>
          <w:lang w:val="en-US" w:eastAsia="zh-CN" w:bidi="ar-SA"/>
        </w:rPr>
      </w:pPr>
      <w:bookmarkStart w:id="80" w:name="_基础信息确认"/>
      <w:bookmarkEnd w:id="80"/>
      <w:bookmarkStart w:id="81" w:name="_Toc223104224"/>
      <w:bookmarkStart w:id="82" w:name="_Toc223105011"/>
      <w:r>
        <w:rPr>
          <w:rFonts w:hint="eastAsia" w:ascii="黑体" w:hAnsi="黑体" w:eastAsia="黑体" w:cs="黑体"/>
          <w:b w:val="0"/>
          <w:bCs w:val="0"/>
          <w:iCs/>
          <w:spacing w:val="-20"/>
          <w:kern w:val="32"/>
          <w:sz w:val="32"/>
          <w:szCs w:val="32"/>
          <w:lang w:val="en-US" w:eastAsia="zh-CN" w:bidi="ar-SA"/>
        </w:rPr>
        <w:t>5基础信息确认</w:t>
      </w:r>
      <w:bookmarkEnd w:id="81"/>
      <w:bookmarkEnd w:id="82"/>
    </w:p>
    <w:p w14:paraId="0DBEF124">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医疗机构需要确认本单位的机构登记信息，考核委员会信息和考核办公室信息，需要在以下功能页面完成信息确认和更新：</w:t>
      </w:r>
    </w:p>
    <w:p w14:paraId="07EF7538">
      <w:pPr>
        <w:keepNext w:val="0"/>
        <w:keepLines w:val="0"/>
        <w:pageBreakBefore w:val="0"/>
        <w:widowControl/>
        <w:numPr>
          <w:ilvl w:val="0"/>
          <w:numId w:val="2"/>
        </w:numPr>
        <w:kinsoku/>
        <w:wordWrap/>
        <w:overflowPunct/>
        <w:topLinePunct w:val="0"/>
        <w:autoSpaceDE/>
        <w:autoSpaceDN/>
        <w:bidi w:val="0"/>
        <w:adjustRightInd/>
        <w:snapToGrid/>
        <w:ind w:left="912" w:firstLine="560" w:firstLineChars="200"/>
        <w:contextualSpacing/>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信息管理</w:t>
      </w:r>
      <w:r>
        <w:rPr>
          <w:rFonts w:hint="eastAsia" w:ascii="仿宋_GB2312" w:hAnsi="仿宋_GB2312" w:eastAsia="仿宋_GB2312" w:cs="仿宋_GB2312"/>
          <w:spacing w:val="-20"/>
          <w:sz w:val="32"/>
          <w:szCs w:val="32"/>
          <w:lang w:val="en-US" w:eastAsia="zh-CN" w:bidi="ar-SA"/>
        </w:rPr>
        <w:sym w:font="Wingdings" w:char="F0E0"/>
      </w:r>
      <w:r>
        <w:rPr>
          <w:rFonts w:hint="eastAsia" w:ascii="仿宋_GB2312" w:hAnsi="仿宋_GB2312" w:eastAsia="仿宋_GB2312" w:cs="仿宋_GB2312"/>
          <w:spacing w:val="-20"/>
          <w:sz w:val="32"/>
          <w:szCs w:val="32"/>
          <w:lang w:val="en-US" w:eastAsia="zh-CN" w:bidi="ar-SA"/>
        </w:rPr>
        <w:t>机构登记</w:t>
      </w:r>
    </w:p>
    <w:p w14:paraId="68603618">
      <w:pPr>
        <w:keepNext w:val="0"/>
        <w:keepLines w:val="0"/>
        <w:pageBreakBefore w:val="0"/>
        <w:widowControl/>
        <w:numPr>
          <w:ilvl w:val="0"/>
          <w:numId w:val="2"/>
        </w:numPr>
        <w:kinsoku/>
        <w:wordWrap/>
        <w:overflowPunct/>
        <w:topLinePunct w:val="0"/>
        <w:autoSpaceDE/>
        <w:autoSpaceDN/>
        <w:bidi w:val="0"/>
        <w:adjustRightInd/>
        <w:snapToGrid/>
        <w:ind w:left="912" w:firstLine="560" w:firstLineChars="200"/>
        <w:contextualSpacing/>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信息管理</w:t>
      </w:r>
      <w:r>
        <w:rPr>
          <w:rFonts w:hint="eastAsia" w:ascii="仿宋_GB2312" w:hAnsi="仿宋_GB2312" w:eastAsia="仿宋_GB2312" w:cs="仿宋_GB2312"/>
          <w:spacing w:val="-20"/>
          <w:sz w:val="32"/>
          <w:szCs w:val="32"/>
          <w:lang w:val="en-US" w:eastAsia="zh-CN" w:bidi="ar-SA"/>
        </w:rPr>
        <w:sym w:font="Wingdings" w:char="F0E0"/>
      </w:r>
      <w:r>
        <w:rPr>
          <w:rFonts w:hint="eastAsia" w:ascii="仿宋_GB2312" w:hAnsi="仿宋_GB2312" w:eastAsia="仿宋_GB2312" w:cs="仿宋_GB2312"/>
          <w:spacing w:val="-20"/>
          <w:sz w:val="32"/>
          <w:szCs w:val="32"/>
          <w:lang w:val="en-US" w:eastAsia="zh-CN" w:bidi="ar-SA"/>
        </w:rPr>
        <w:t>考核委员会管理</w:t>
      </w:r>
    </w:p>
    <w:p w14:paraId="7DF86893">
      <w:pPr>
        <w:keepNext w:val="0"/>
        <w:keepLines w:val="0"/>
        <w:pageBreakBefore w:val="0"/>
        <w:widowControl/>
        <w:numPr>
          <w:ilvl w:val="0"/>
          <w:numId w:val="2"/>
        </w:numPr>
        <w:kinsoku/>
        <w:wordWrap/>
        <w:overflowPunct/>
        <w:topLinePunct w:val="0"/>
        <w:autoSpaceDE/>
        <w:autoSpaceDN/>
        <w:bidi w:val="0"/>
        <w:adjustRightInd/>
        <w:snapToGrid/>
        <w:ind w:left="912" w:firstLine="560" w:firstLineChars="200"/>
        <w:contextualSpacing/>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信息管理</w:t>
      </w:r>
      <w:r>
        <w:rPr>
          <w:rFonts w:hint="eastAsia" w:ascii="仿宋_GB2312" w:hAnsi="仿宋_GB2312" w:eastAsia="仿宋_GB2312" w:cs="仿宋_GB2312"/>
          <w:spacing w:val="-20"/>
          <w:sz w:val="32"/>
          <w:szCs w:val="32"/>
          <w:lang w:val="en-US" w:eastAsia="zh-CN" w:bidi="ar-SA"/>
        </w:rPr>
        <w:sym w:font="Wingdings" w:char="F0E0"/>
      </w:r>
      <w:r>
        <w:rPr>
          <w:rFonts w:hint="eastAsia" w:ascii="仿宋_GB2312" w:hAnsi="仿宋_GB2312" w:eastAsia="仿宋_GB2312" w:cs="仿宋_GB2312"/>
          <w:spacing w:val="-20"/>
          <w:sz w:val="32"/>
          <w:szCs w:val="32"/>
          <w:lang w:val="en-US" w:eastAsia="zh-CN" w:bidi="ar-SA"/>
        </w:rPr>
        <w:t>考核办公室管理</w:t>
      </w:r>
    </w:p>
    <w:p w14:paraId="1B027578">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医疗机构需要按照医师定期考核管理办法规定，按照真实情况填写基础信息、添加/修改考核委员会和考核办公室管理人员。</w:t>
      </w:r>
    </w:p>
    <w:p w14:paraId="6599B9C7">
      <w:pPr>
        <w:widowControl/>
        <w:spacing w:line="240" w:lineRule="auto"/>
        <w:ind w:firstLine="0" w:firstLineChars="0"/>
        <w:jc w:val="center"/>
        <w:rPr>
          <w:rFonts w:hint="eastAsia" w:ascii="仿宋_GB2312" w:hAnsi="仿宋_GB2312" w:eastAsia="仿宋_GB2312" w:cs="仿宋_GB2312"/>
          <w:color w:val="FF0000"/>
          <w:spacing w:val="-20"/>
          <w:kern w:val="0"/>
          <w:sz w:val="32"/>
          <w:szCs w:val="32"/>
        </w:rPr>
      </w:pPr>
      <w:r>
        <w:rPr>
          <w:rFonts w:ascii="微软雅黑 Light" w:hAnsi="微软雅黑 Light" w:eastAsia="微软雅黑 Light" w:cs="Times New Roman"/>
          <w:spacing w:val="-20"/>
          <w:kern w:val="0"/>
          <w:sz w:val="24"/>
        </w:rPr>
        <w:drawing>
          <wp:inline distT="0" distB="0" distL="0" distR="0">
            <wp:extent cx="1540510" cy="365506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1540510" cy="3655060"/>
                    </a:xfrm>
                    <a:prstGeom prst="rect">
                      <a:avLst/>
                    </a:prstGeom>
                  </pic:spPr>
                </pic:pic>
              </a:graphicData>
            </a:graphic>
          </wp:inline>
        </w:drawing>
      </w:r>
      <w:r>
        <w:rPr>
          <w:rFonts w:ascii="微软雅黑 Light" w:hAnsi="微软雅黑 Light" w:eastAsia="微软雅黑 Light" w:cs="Times New Roman"/>
          <w:spacing w:val="-20"/>
          <w:kern w:val="0"/>
          <w:sz w:val="24"/>
        </w:rPr>
        <w:drawing>
          <wp:anchor distT="0" distB="0" distL="114300" distR="114300" simplePos="0" relativeHeight="251665408" behindDoc="0" locked="0" layoutInCell="1" allowOverlap="1">
            <wp:simplePos x="0" y="0"/>
            <wp:positionH relativeFrom="column">
              <wp:posOffset>9525</wp:posOffset>
            </wp:positionH>
            <wp:positionV relativeFrom="paragraph">
              <wp:posOffset>238125</wp:posOffset>
            </wp:positionV>
            <wp:extent cx="5824855" cy="2095500"/>
            <wp:effectExtent l="0" t="0" r="4445" b="0"/>
            <wp:wrapSquare wrapText="bothSides"/>
            <wp:docPr id="24"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6"/>
                    <pic:cNvPicPr>
                      <a:picLocks noChangeAspect="1"/>
                    </pic:cNvPicPr>
                  </pic:nvPicPr>
                  <pic:blipFill>
                    <a:blip r:embed="rId19"/>
                    <a:stretch>
                      <a:fillRect/>
                    </a:stretch>
                  </pic:blipFill>
                  <pic:spPr>
                    <a:xfrm>
                      <a:off x="0" y="0"/>
                      <a:ext cx="5824855" cy="2095500"/>
                    </a:xfrm>
                    <a:prstGeom prst="rect">
                      <a:avLst/>
                    </a:prstGeom>
                    <a:noFill/>
                    <a:ln>
                      <a:noFill/>
                    </a:ln>
                  </pic:spPr>
                </pic:pic>
              </a:graphicData>
            </a:graphic>
          </wp:anchor>
        </w:drawing>
      </w:r>
    </w:p>
    <w:p w14:paraId="01EA44CB">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color w:val="FF0000"/>
          <w:spacing w:val="-20"/>
          <w:kern w:val="0"/>
          <w:sz w:val="32"/>
          <w:szCs w:val="32"/>
        </w:rPr>
        <w:t>PS：若医疗机构符合考核机构条件，拟成为考核机构的，需要在信息管理</w:t>
      </w:r>
      <w:r>
        <w:rPr>
          <w:rFonts w:hint="eastAsia" w:ascii="仿宋_GB2312" w:hAnsi="仿宋_GB2312" w:eastAsia="仿宋_GB2312" w:cs="仿宋_GB2312"/>
          <w:color w:val="FF0000"/>
          <w:spacing w:val="-20"/>
          <w:kern w:val="0"/>
          <w:sz w:val="32"/>
          <w:szCs w:val="32"/>
        </w:rPr>
        <w:sym w:font="Wingdings" w:char="F0E0"/>
      </w:r>
      <w:r>
        <w:rPr>
          <w:rFonts w:hint="eastAsia" w:ascii="仿宋_GB2312" w:hAnsi="仿宋_GB2312" w:eastAsia="仿宋_GB2312" w:cs="仿宋_GB2312"/>
          <w:color w:val="FF0000"/>
          <w:spacing w:val="-20"/>
          <w:kern w:val="0"/>
          <w:sz w:val="32"/>
          <w:szCs w:val="32"/>
        </w:rPr>
        <w:t>机构登记页面，点击“申请为2026年考核机构”；</w:t>
      </w:r>
    </w:p>
    <w:p w14:paraId="3EA5BC39">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申请后，待市/区县定考办审核通过后24小时内生效。</w:t>
      </w:r>
    </w:p>
    <w:p w14:paraId="06FE3AE2">
      <w:pPr>
        <w:widowControl/>
        <w:spacing w:line="240" w:lineRule="auto"/>
        <w:ind w:firstLine="0" w:firstLineChars="0"/>
        <w:jc w:val="left"/>
        <w:rPr>
          <w:rFonts w:ascii="Calibri" w:hAnsi="Calibri" w:eastAsia="微软雅黑 Light" w:cs="Times New Roman"/>
          <w:spacing w:val="-20"/>
          <w:kern w:val="0"/>
          <w:sz w:val="24"/>
        </w:rPr>
      </w:pPr>
      <w:r>
        <w:rPr>
          <w:rFonts w:ascii="Calibri" w:hAnsi="Calibri" w:eastAsia="微软雅黑 Light" w:cs="Times New Roman"/>
          <w:spacing w:val="-20"/>
          <w:kern w:val="0"/>
          <w:sz w:val="24"/>
        </w:rPr>
        <w:drawing>
          <wp:inline distT="0" distB="0" distL="114300" distR="114300">
            <wp:extent cx="5824855" cy="1981200"/>
            <wp:effectExtent l="0" t="0" r="4445" b="0"/>
            <wp:docPr id="23"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6"/>
                    <pic:cNvPicPr>
                      <a:picLocks noChangeAspect="1"/>
                    </pic:cNvPicPr>
                  </pic:nvPicPr>
                  <pic:blipFill>
                    <a:blip r:embed="rId20"/>
                    <a:stretch>
                      <a:fillRect/>
                    </a:stretch>
                  </pic:blipFill>
                  <pic:spPr>
                    <a:xfrm>
                      <a:off x="0" y="0"/>
                      <a:ext cx="5824855" cy="1981200"/>
                    </a:xfrm>
                    <a:prstGeom prst="rect">
                      <a:avLst/>
                    </a:prstGeom>
                    <a:noFill/>
                    <a:ln>
                      <a:noFill/>
                    </a:ln>
                  </pic:spPr>
                </pic:pic>
              </a:graphicData>
            </a:graphic>
          </wp:inline>
        </w:drawing>
      </w:r>
    </w:p>
    <w:p w14:paraId="65280582">
      <w:pPr>
        <w:keepNext/>
        <w:numPr>
          <w:ilvl w:val="0"/>
          <w:numId w:val="0"/>
        </w:numPr>
        <w:spacing w:before="267" w:beforeLines="50" w:after="267" w:afterLines="50" w:line="360" w:lineRule="auto"/>
        <w:ind w:leftChars="0"/>
        <w:outlineLvl w:val="0"/>
        <w:rPr>
          <w:rFonts w:hint="eastAsia" w:ascii="黑体" w:hAnsi="黑体" w:eastAsia="黑体" w:cs="黑体"/>
          <w:b w:val="0"/>
          <w:bCs w:val="0"/>
          <w:iCs/>
          <w:spacing w:val="-20"/>
          <w:kern w:val="32"/>
          <w:sz w:val="32"/>
          <w:szCs w:val="32"/>
          <w:lang w:val="en-US" w:eastAsia="zh-CN" w:bidi="ar-SA"/>
        </w:rPr>
      </w:pPr>
      <w:bookmarkStart w:id="83" w:name="_医师信息管理"/>
      <w:bookmarkEnd w:id="83"/>
      <w:bookmarkStart w:id="84" w:name="_Toc223104225"/>
      <w:bookmarkStart w:id="85" w:name="_Toc221491565"/>
      <w:bookmarkStart w:id="86" w:name="_Toc223105012"/>
      <w:r>
        <w:rPr>
          <w:rFonts w:hint="eastAsia" w:ascii="黑体" w:hAnsi="黑体" w:eastAsia="黑体" w:cs="黑体"/>
          <w:b w:val="0"/>
          <w:bCs w:val="0"/>
          <w:iCs/>
          <w:spacing w:val="-20"/>
          <w:kern w:val="32"/>
          <w:sz w:val="32"/>
          <w:szCs w:val="32"/>
          <w:lang w:val="en-US" w:eastAsia="zh-CN" w:bidi="ar-SA"/>
        </w:rPr>
        <w:t>6 医师信息管理</w:t>
      </w:r>
      <w:bookmarkEnd w:id="84"/>
      <w:bookmarkEnd w:id="85"/>
      <w:bookmarkEnd w:id="86"/>
    </w:p>
    <w:p w14:paraId="123FA779">
      <w:pPr>
        <w:keepNext w:val="0"/>
        <w:keepLines w:val="0"/>
        <w:pageBreakBefore w:val="0"/>
        <w:widowControl/>
        <w:kinsoku w:val="0"/>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医疗机构确认应参考医师数据，并可随时跟踪医师报名申请状态；</w:t>
      </w:r>
    </w:p>
    <w:p w14:paraId="6ADD8552">
      <w:pPr>
        <w:keepNext w:val="0"/>
        <w:keepLines w:val="0"/>
        <w:pageBreakBefore w:val="0"/>
        <w:widowControl/>
        <w:kinsoku w:val="0"/>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功能链接：信息管理</w:t>
      </w:r>
      <w:r>
        <w:rPr>
          <w:rFonts w:hint="eastAsia" w:ascii="仿宋_GB2312" w:hAnsi="仿宋_GB2312" w:eastAsia="仿宋_GB2312" w:cs="仿宋_GB2312"/>
          <w:spacing w:val="-22"/>
          <w:kern w:val="0"/>
          <w:sz w:val="32"/>
          <w:szCs w:val="32"/>
        </w:rPr>
        <w:t>--&gt;</w:t>
      </w:r>
      <w:r>
        <w:rPr>
          <w:rFonts w:hint="eastAsia" w:ascii="仿宋_GB2312" w:hAnsi="仿宋_GB2312" w:eastAsia="仿宋_GB2312" w:cs="仿宋_GB2312"/>
          <w:spacing w:val="-20"/>
          <w:kern w:val="0"/>
          <w:sz w:val="32"/>
          <w:szCs w:val="32"/>
        </w:rPr>
        <w:t>医师信息管理</w:t>
      </w:r>
    </w:p>
    <w:p w14:paraId="42F88C74">
      <w:pPr>
        <w:widowControl/>
        <w:kinsoku w:val="0"/>
        <w:spacing w:line="240" w:lineRule="auto"/>
        <w:ind w:firstLine="0" w:firstLineChars="0"/>
        <w:jc w:val="left"/>
        <w:rPr>
          <w:rFonts w:ascii="微软雅黑 Light" w:hAnsi="微软雅黑 Light" w:eastAsia="微软雅黑 Light" w:cs="Times New Roman"/>
          <w:spacing w:val="-20"/>
          <w:kern w:val="0"/>
          <w:sz w:val="24"/>
        </w:rPr>
      </w:pPr>
    </w:p>
    <w:p w14:paraId="0A9C1050">
      <w:pPr>
        <w:widowControl/>
        <w:kinsoku w:val="0"/>
        <w:spacing w:line="240" w:lineRule="auto"/>
        <w:ind w:firstLine="0" w:firstLineChars="0"/>
        <w:jc w:val="center"/>
        <w:rPr>
          <w:rFonts w:ascii="微软雅黑 Light" w:hAnsi="微软雅黑 Light" w:eastAsia="微软雅黑 Light" w:cs="Times New Roman"/>
          <w:spacing w:val="-20"/>
          <w:kern w:val="0"/>
          <w:sz w:val="24"/>
        </w:rPr>
      </w:pPr>
      <w:r>
        <w:rPr>
          <w:rFonts w:ascii="微软雅黑 Light" w:hAnsi="微软雅黑 Light" w:eastAsia="微软雅黑 Light" w:cs="Times New Roman"/>
          <w:spacing w:val="-20"/>
          <w:kern w:val="0"/>
          <w:sz w:val="24"/>
        </w:rPr>
        <w:drawing>
          <wp:inline distT="0" distB="0" distL="0" distR="0">
            <wp:extent cx="1812925" cy="3805555"/>
            <wp:effectExtent l="0" t="0" r="1587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rcRect b="32724"/>
                    <a:stretch>
                      <a:fillRect/>
                    </a:stretch>
                  </pic:blipFill>
                  <pic:spPr>
                    <a:xfrm>
                      <a:off x="0" y="0"/>
                      <a:ext cx="1812925" cy="3805555"/>
                    </a:xfrm>
                    <a:prstGeom prst="rect">
                      <a:avLst/>
                    </a:prstGeom>
                    <a:ln>
                      <a:noFill/>
                    </a:ln>
                  </pic:spPr>
                </pic:pic>
              </a:graphicData>
            </a:graphic>
          </wp:inline>
        </w:drawing>
      </w:r>
    </w:p>
    <w:p w14:paraId="3BE74407">
      <w:pPr>
        <w:widowControl/>
        <w:spacing w:line="240" w:lineRule="auto"/>
        <w:ind w:firstLine="0" w:firstLineChars="0"/>
        <w:jc w:val="left"/>
        <w:rPr>
          <w:rFonts w:ascii="微软雅黑 Light" w:hAnsi="微软雅黑 Light" w:eastAsia="微软雅黑 Light" w:cs="Times New Roman"/>
          <w:color w:val="FF0000"/>
          <w:spacing w:val="-20"/>
          <w:kern w:val="0"/>
          <w:sz w:val="24"/>
        </w:rPr>
      </w:pPr>
      <w:r>
        <w:rPr>
          <w:rFonts w:ascii="微软雅黑 Light" w:hAnsi="微软雅黑 Light" w:eastAsia="微软雅黑 Light" w:cs="Times New Roman"/>
          <w:spacing w:val="-20"/>
          <w:kern w:val="0"/>
          <w:sz w:val="24"/>
        </w:rPr>
        <w:drawing>
          <wp:inline distT="0" distB="0" distL="114300" distR="114300">
            <wp:extent cx="5816600" cy="2345055"/>
            <wp:effectExtent l="0" t="0" r="12700" b="17145"/>
            <wp:docPr id="22"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7"/>
                    <pic:cNvPicPr>
                      <a:picLocks noChangeAspect="1"/>
                    </pic:cNvPicPr>
                  </pic:nvPicPr>
                  <pic:blipFill>
                    <a:blip r:embed="rId22"/>
                    <a:stretch>
                      <a:fillRect/>
                    </a:stretch>
                  </pic:blipFill>
                  <pic:spPr>
                    <a:xfrm>
                      <a:off x="0" y="0"/>
                      <a:ext cx="5816600" cy="2345055"/>
                    </a:xfrm>
                    <a:prstGeom prst="rect">
                      <a:avLst/>
                    </a:prstGeom>
                    <a:noFill/>
                    <a:ln>
                      <a:noFill/>
                    </a:ln>
                  </pic:spPr>
                </pic:pic>
              </a:graphicData>
            </a:graphic>
          </wp:inline>
        </w:drawing>
      </w:r>
    </w:p>
    <w:p w14:paraId="5F8215A8">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FF0000"/>
          <w:spacing w:val="-20"/>
          <w:kern w:val="0"/>
          <w:sz w:val="32"/>
          <w:szCs w:val="32"/>
        </w:rPr>
      </w:pPr>
      <w:r>
        <w:rPr>
          <w:rFonts w:hint="eastAsia" w:ascii="仿宋_GB2312" w:hAnsi="仿宋_GB2312" w:eastAsia="仿宋_GB2312" w:cs="仿宋_GB2312"/>
          <w:color w:val="FF0000"/>
          <w:spacing w:val="-20"/>
          <w:kern w:val="0"/>
          <w:sz w:val="32"/>
          <w:szCs w:val="32"/>
        </w:rPr>
        <w:t>PS：若某医师无法/无需参加本年度医师定期考核，可点击“隐藏”按钮，输入原因后，对应医师将清出应参考医师清单。医师暂存后，可在信息管理</w:t>
      </w:r>
      <w:r>
        <w:rPr>
          <w:rFonts w:hint="eastAsia" w:ascii="仿宋_GB2312" w:hAnsi="仿宋_GB2312" w:eastAsia="仿宋_GB2312" w:cs="仿宋_GB2312"/>
          <w:color w:val="FF0000"/>
          <w:spacing w:val="-20"/>
          <w:kern w:val="0"/>
          <w:sz w:val="32"/>
          <w:szCs w:val="32"/>
        </w:rPr>
        <w:sym w:font="Wingdings" w:char="F0E0"/>
      </w:r>
      <w:r>
        <w:rPr>
          <w:rFonts w:hint="eastAsia" w:ascii="仿宋_GB2312" w:hAnsi="仿宋_GB2312" w:eastAsia="仿宋_GB2312" w:cs="仿宋_GB2312"/>
          <w:color w:val="FF0000"/>
          <w:spacing w:val="-20"/>
          <w:kern w:val="0"/>
          <w:sz w:val="32"/>
          <w:szCs w:val="32"/>
        </w:rPr>
        <w:t>医师暂存功能页进行被隐藏医师的查看和取消隐藏操作。</w:t>
      </w:r>
    </w:p>
    <w:p w14:paraId="68AEABBA">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color w:val="FF0000"/>
          <w:spacing w:val="-20"/>
          <w:kern w:val="0"/>
          <w:sz w:val="32"/>
          <w:szCs w:val="32"/>
        </w:rPr>
        <w:t>若某医师基础信息、报名专业信息等有误，可点击“打回报名”按钮，退回医师报名状态，对应医师可重新进行信息确认和考核申请报名。</w:t>
      </w:r>
    </w:p>
    <w:p w14:paraId="258ECABD">
      <w:pPr>
        <w:keepNext/>
        <w:numPr>
          <w:ilvl w:val="0"/>
          <w:numId w:val="0"/>
        </w:numPr>
        <w:spacing w:before="267" w:beforeLines="50" w:after="267" w:afterLines="50" w:line="360" w:lineRule="auto"/>
        <w:ind w:leftChars="0"/>
        <w:outlineLvl w:val="0"/>
        <w:rPr>
          <w:rFonts w:hint="eastAsia" w:ascii="黑体" w:hAnsi="黑体" w:eastAsia="黑体" w:cs="黑体"/>
          <w:b w:val="0"/>
          <w:bCs w:val="0"/>
          <w:iCs/>
          <w:spacing w:val="-20"/>
          <w:kern w:val="32"/>
          <w:sz w:val="32"/>
          <w:szCs w:val="32"/>
          <w:lang w:val="en-US" w:eastAsia="zh-CN" w:bidi="ar-SA"/>
        </w:rPr>
      </w:pPr>
      <w:bookmarkStart w:id="87" w:name="_考核机构管理"/>
      <w:bookmarkEnd w:id="87"/>
      <w:bookmarkStart w:id="88" w:name="_Toc223105013"/>
      <w:bookmarkStart w:id="89" w:name="_Toc223104226"/>
      <w:r>
        <w:rPr>
          <w:rFonts w:hint="eastAsia" w:ascii="黑体" w:hAnsi="黑体" w:eastAsia="黑体" w:cs="黑体"/>
          <w:b w:val="0"/>
          <w:bCs w:val="0"/>
          <w:iCs/>
          <w:spacing w:val="-20"/>
          <w:kern w:val="32"/>
          <w:sz w:val="32"/>
          <w:szCs w:val="32"/>
          <w:lang w:val="en-US" w:eastAsia="zh-CN" w:bidi="ar-SA"/>
        </w:rPr>
        <w:t>7 考核申请审核</w:t>
      </w:r>
      <w:bookmarkEnd w:id="88"/>
      <w:bookmarkEnd w:id="89"/>
    </w:p>
    <w:p w14:paraId="0E748D74">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 xml:space="preserve">医师完成考核申请报名后，医疗机构需进行报名审核确认，确认后医师才可进行后续的评价和考评工作； </w:t>
      </w:r>
    </w:p>
    <w:p w14:paraId="2DC84E09">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功能链接：信息管理</w:t>
      </w:r>
      <w:r>
        <w:rPr>
          <w:rFonts w:hint="eastAsia" w:ascii="仿宋_GB2312" w:hAnsi="仿宋_GB2312" w:eastAsia="仿宋_GB2312" w:cs="仿宋_GB2312"/>
          <w:spacing w:val="-22"/>
          <w:kern w:val="0"/>
          <w:sz w:val="32"/>
          <w:szCs w:val="32"/>
        </w:rPr>
        <w:sym w:font="Wingdings" w:char="F0E0"/>
      </w:r>
      <w:r>
        <w:rPr>
          <w:rFonts w:hint="eastAsia" w:ascii="仿宋_GB2312" w:hAnsi="仿宋_GB2312" w:eastAsia="仿宋_GB2312" w:cs="仿宋_GB2312"/>
          <w:spacing w:val="-20"/>
          <w:kern w:val="0"/>
          <w:sz w:val="32"/>
          <w:szCs w:val="32"/>
        </w:rPr>
        <w:t>考核申请审核</w:t>
      </w:r>
    </w:p>
    <w:p w14:paraId="79E0E74C">
      <w:pPr>
        <w:widowControl/>
        <w:spacing w:line="240" w:lineRule="auto"/>
        <w:ind w:left="-309" w:leftChars="-147" w:firstLine="0" w:firstLineChars="0"/>
        <w:jc w:val="left"/>
        <w:rPr>
          <w:rFonts w:ascii="微软雅黑 Light" w:hAnsi="微软雅黑 Light" w:eastAsia="微软雅黑 Light" w:cs="Times New Roman"/>
          <w:spacing w:val="-20"/>
          <w:kern w:val="0"/>
          <w:sz w:val="24"/>
        </w:rPr>
      </w:pPr>
      <w:r>
        <w:rPr>
          <w:rFonts w:hint="eastAsia" w:ascii="微软雅黑 Light" w:hAnsi="微软雅黑 Light" w:eastAsia="微软雅黑 Light" w:cs="Times New Roman"/>
          <w:spacing w:val="-20"/>
          <w:kern w:val="0"/>
          <w:sz w:val="24"/>
        </w:rPr>
        <w:t xml:space="preserve"> </w:t>
      </w:r>
      <w:r>
        <w:rPr>
          <w:rFonts w:ascii="微软雅黑 Light" w:hAnsi="微软雅黑 Light" w:eastAsia="微软雅黑 Light" w:cs="Times New Roman"/>
          <w:spacing w:val="-20"/>
          <w:kern w:val="0"/>
          <w:sz w:val="24"/>
        </w:rPr>
        <w:drawing>
          <wp:inline distT="0" distB="0" distL="0" distR="0">
            <wp:extent cx="6600825" cy="16573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6600825" cy="1657350"/>
                    </a:xfrm>
                    <a:prstGeom prst="rect">
                      <a:avLst/>
                    </a:prstGeom>
                  </pic:spPr>
                </pic:pic>
              </a:graphicData>
            </a:graphic>
          </wp:inline>
        </w:drawing>
      </w:r>
    </w:p>
    <w:p w14:paraId="259CE9E8">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确认医师报名信息无误，点击“审核通过”，完成对应医师的考核申请审核工作。</w:t>
      </w:r>
    </w:p>
    <w:p w14:paraId="57A6B501">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ascii="微软雅黑 Light" w:hAnsi="微软雅黑 Light" w:eastAsia="微软雅黑 Light" w:cs="Times New Roman"/>
          <w:spacing w:val="-20"/>
          <w:sz w:val="24"/>
          <w:szCs w:val="24"/>
          <w:lang w:val="en-US" w:eastAsia="zh-CN" w:bidi="ar-SA"/>
        </w:rPr>
      </w:pPr>
      <w:r>
        <w:rPr>
          <w:rFonts w:hint="eastAsia" w:ascii="仿宋_GB2312" w:hAnsi="仿宋_GB2312" w:eastAsia="仿宋_GB2312" w:cs="仿宋_GB2312"/>
          <w:spacing w:val="-20"/>
          <w:sz w:val="32"/>
          <w:szCs w:val="32"/>
          <w:lang w:val="en-US" w:eastAsia="zh-CN" w:bidi="ar-SA"/>
        </w:rPr>
        <w:t>选择多个医师后，点击“批量审核”按钮，可实现多名医师的同意审核。</w:t>
      </w:r>
    </w:p>
    <w:p w14:paraId="3A04043C">
      <w:pPr>
        <w:keepNext/>
        <w:numPr>
          <w:ilvl w:val="0"/>
          <w:numId w:val="0"/>
        </w:numPr>
        <w:spacing w:before="267" w:beforeLines="50" w:after="267" w:afterLines="50" w:line="360" w:lineRule="auto"/>
        <w:ind w:leftChars="0"/>
        <w:outlineLvl w:val="0"/>
        <w:rPr>
          <w:rFonts w:hint="eastAsia" w:ascii="黑体" w:hAnsi="黑体" w:eastAsia="黑体" w:cs="黑体"/>
          <w:b w:val="0"/>
          <w:bCs w:val="0"/>
          <w:iCs/>
          <w:spacing w:val="-20"/>
          <w:kern w:val="32"/>
          <w:sz w:val="32"/>
          <w:szCs w:val="32"/>
          <w:lang w:val="en-US" w:eastAsia="zh-CN" w:bidi="ar-SA"/>
        </w:rPr>
      </w:pPr>
      <w:bookmarkStart w:id="90" w:name="_委托机构考核"/>
      <w:bookmarkEnd w:id="90"/>
      <w:bookmarkStart w:id="91" w:name="_Toc223105014"/>
      <w:bookmarkStart w:id="92" w:name="_Toc223104227"/>
      <w:r>
        <w:rPr>
          <w:rFonts w:hint="eastAsia" w:ascii="黑体" w:hAnsi="黑体" w:eastAsia="黑体" w:cs="黑体"/>
          <w:b w:val="0"/>
          <w:bCs w:val="0"/>
          <w:iCs/>
          <w:spacing w:val="-20"/>
          <w:kern w:val="32"/>
          <w:sz w:val="32"/>
          <w:szCs w:val="32"/>
          <w:lang w:val="en-US" w:eastAsia="zh-CN" w:bidi="ar-SA"/>
        </w:rPr>
        <w:t>8 医疗机构考核</w:t>
      </w:r>
      <w:bookmarkEnd w:id="91"/>
      <w:bookmarkEnd w:id="92"/>
    </w:p>
    <w:p w14:paraId="751B55A1">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医疗机构需对本单位/多地点执业医师进行职业道德和工作业绩评价，评价结论为合格或不合格；</w:t>
      </w:r>
    </w:p>
    <w:p w14:paraId="37CA3007">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功能链接：考核评定</w:t>
      </w:r>
      <w:r>
        <w:rPr>
          <w:rFonts w:hint="eastAsia" w:ascii="仿宋_GB2312" w:hAnsi="仿宋_GB2312" w:eastAsia="仿宋_GB2312" w:cs="仿宋_GB2312"/>
          <w:spacing w:val="-20"/>
          <w:sz w:val="32"/>
          <w:szCs w:val="32"/>
          <w:lang w:val="en-US" w:eastAsia="zh-CN" w:bidi="ar-SA"/>
        </w:rPr>
        <w:sym w:font="Wingdings" w:char="F0E0"/>
      </w:r>
      <w:r>
        <w:rPr>
          <w:rFonts w:hint="eastAsia" w:ascii="仿宋_GB2312" w:hAnsi="仿宋_GB2312" w:eastAsia="仿宋_GB2312" w:cs="仿宋_GB2312"/>
          <w:spacing w:val="-20"/>
          <w:sz w:val="32"/>
          <w:szCs w:val="32"/>
          <w:lang w:val="en-US" w:eastAsia="zh-CN" w:bidi="ar-SA"/>
        </w:rPr>
        <w:t>医疗机构考核</w:t>
      </w:r>
    </w:p>
    <w:p w14:paraId="0789D342">
      <w:pPr>
        <w:spacing w:after="120"/>
        <w:jc w:val="center"/>
        <w:rPr>
          <w:rFonts w:ascii="微软雅黑 Light" w:hAnsi="微软雅黑 Light" w:eastAsia="微软雅黑 Light" w:cs="Times New Roman"/>
          <w:spacing w:val="-20"/>
          <w:sz w:val="24"/>
          <w:szCs w:val="24"/>
          <w:lang w:val="en-US" w:eastAsia="zh-CN" w:bidi="ar-SA"/>
        </w:rPr>
      </w:pPr>
      <w:r>
        <w:rPr>
          <w:rFonts w:ascii="微软雅黑 Light" w:hAnsi="微软雅黑 Light" w:eastAsia="微软雅黑 Light" w:cs="Times New Roman"/>
          <w:spacing w:val="-20"/>
          <w:sz w:val="24"/>
          <w:szCs w:val="24"/>
          <w:lang w:val="en-US" w:eastAsia="zh-CN" w:bidi="ar-SA"/>
        </w:rPr>
        <w:drawing>
          <wp:inline distT="0" distB="0" distL="0" distR="0">
            <wp:extent cx="1595755" cy="2149475"/>
            <wp:effectExtent l="0" t="0" r="444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1595755" cy="2149475"/>
                    </a:xfrm>
                    <a:prstGeom prst="rect">
                      <a:avLst/>
                    </a:prstGeom>
                  </pic:spPr>
                </pic:pic>
              </a:graphicData>
            </a:graphic>
          </wp:inline>
        </w:drawing>
      </w:r>
    </w:p>
    <w:p w14:paraId="1D1A681F">
      <w:pPr>
        <w:spacing w:after="120"/>
        <w:rPr>
          <w:rFonts w:ascii="微软雅黑 Light" w:hAnsi="微软雅黑 Light" w:eastAsia="微软雅黑 Light" w:cs="Times New Roman"/>
          <w:spacing w:val="-20"/>
          <w:sz w:val="24"/>
          <w:szCs w:val="24"/>
          <w:lang w:val="en-US" w:eastAsia="zh-CN" w:bidi="ar-SA"/>
        </w:rPr>
      </w:pPr>
      <w:r>
        <w:rPr>
          <w:rFonts w:ascii="微软雅黑 Light" w:hAnsi="微软雅黑 Light" w:eastAsia="微软雅黑 Light" w:cs="Times New Roman"/>
          <w:spacing w:val="-20"/>
          <w:sz w:val="24"/>
          <w:szCs w:val="24"/>
          <w:lang w:val="en-US" w:eastAsia="zh-CN" w:bidi="ar-SA"/>
        </w:rPr>
        <w:drawing>
          <wp:inline distT="0" distB="0" distL="114300" distR="114300">
            <wp:extent cx="5859145" cy="1490345"/>
            <wp:effectExtent l="0" t="0" r="8255" b="14605"/>
            <wp:docPr id="20"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8"/>
                    <pic:cNvPicPr>
                      <a:picLocks noChangeAspect="1"/>
                    </pic:cNvPicPr>
                  </pic:nvPicPr>
                  <pic:blipFill>
                    <a:blip r:embed="rId25"/>
                    <a:stretch>
                      <a:fillRect/>
                    </a:stretch>
                  </pic:blipFill>
                  <pic:spPr>
                    <a:xfrm>
                      <a:off x="0" y="0"/>
                      <a:ext cx="5859145" cy="1490345"/>
                    </a:xfrm>
                    <a:prstGeom prst="rect">
                      <a:avLst/>
                    </a:prstGeom>
                    <a:noFill/>
                    <a:ln>
                      <a:noFill/>
                    </a:ln>
                  </pic:spPr>
                </pic:pic>
              </a:graphicData>
            </a:graphic>
          </wp:inline>
        </w:drawing>
      </w:r>
    </w:p>
    <w:p w14:paraId="3139DF52">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查询到待评价的医师，选择评价结果后点击“保存”，完成对应医师的评价工作。</w:t>
      </w:r>
    </w:p>
    <w:p w14:paraId="32452A23">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color w:val="FF0000"/>
          <w:spacing w:val="-20"/>
          <w:sz w:val="32"/>
          <w:szCs w:val="32"/>
          <w:lang w:val="en-US" w:eastAsia="zh-CN" w:bidi="ar-SA"/>
        </w:rPr>
      </w:pPr>
      <w:r>
        <w:rPr>
          <w:rFonts w:hint="eastAsia" w:ascii="仿宋_GB2312" w:hAnsi="仿宋_GB2312" w:eastAsia="仿宋_GB2312" w:cs="仿宋_GB2312"/>
          <w:color w:val="FF0000"/>
          <w:spacing w:val="-20"/>
          <w:sz w:val="32"/>
          <w:szCs w:val="32"/>
          <w:lang w:val="en-US" w:eastAsia="zh-CN" w:bidi="ar-SA"/>
        </w:rPr>
        <w:t>PS：</w:t>
      </w:r>
    </w:p>
    <w:p w14:paraId="29611217">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color w:val="FF0000"/>
          <w:spacing w:val="-20"/>
          <w:sz w:val="32"/>
          <w:szCs w:val="32"/>
          <w:lang w:val="en-US" w:eastAsia="zh-CN" w:bidi="ar-SA"/>
        </w:rPr>
      </w:pPr>
      <w:r>
        <w:rPr>
          <w:rFonts w:hint="eastAsia" w:ascii="仿宋_GB2312" w:hAnsi="仿宋_GB2312" w:eastAsia="仿宋_GB2312" w:cs="仿宋_GB2312"/>
          <w:color w:val="FF0000"/>
          <w:spacing w:val="-20"/>
          <w:sz w:val="32"/>
          <w:szCs w:val="32"/>
          <w:lang w:val="en-US" w:eastAsia="zh-CN" w:bidi="ar-SA"/>
        </w:rPr>
        <w:t>1、可批量进行医师的评价，点击“职业道德 工作成绩合格”长条按钮，可将列表中所有医师评价合格。此功能影响数据量比较多，慎用！！！</w:t>
      </w:r>
    </w:p>
    <w:p w14:paraId="668EACFD">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color w:val="FF0000"/>
          <w:spacing w:val="-20"/>
          <w:sz w:val="32"/>
          <w:szCs w:val="32"/>
          <w:lang w:val="en-US" w:eastAsia="zh-CN" w:bidi="ar-SA"/>
        </w:rPr>
      </w:pPr>
      <w:r>
        <w:rPr>
          <w:rFonts w:hint="eastAsia" w:ascii="仿宋_GB2312" w:hAnsi="仿宋_GB2312" w:eastAsia="仿宋_GB2312" w:cs="仿宋_GB2312"/>
          <w:color w:val="FF0000"/>
          <w:spacing w:val="-20"/>
          <w:sz w:val="32"/>
          <w:szCs w:val="32"/>
          <w:lang w:val="en-US" w:eastAsia="zh-CN" w:bidi="ar-SA"/>
        </w:rPr>
        <w:t>2、此功能也可进行本院医师的考核进度跟踪使用。</w:t>
      </w:r>
    </w:p>
    <w:p w14:paraId="3298DDC9">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ascii="微软雅黑 Light" w:hAnsi="微软雅黑 Light" w:eastAsia="微软雅黑 Light" w:cs="Times New Roman"/>
          <w:spacing w:val="-20"/>
          <w:sz w:val="24"/>
          <w:szCs w:val="24"/>
          <w:lang w:val="en-US" w:eastAsia="zh-CN" w:bidi="ar-SA"/>
        </w:rPr>
      </w:pPr>
      <w:r>
        <w:rPr>
          <w:rFonts w:hint="eastAsia" w:ascii="仿宋_GB2312" w:hAnsi="仿宋_GB2312" w:eastAsia="仿宋_GB2312" w:cs="仿宋_GB2312"/>
          <w:color w:val="FF0000"/>
          <w:spacing w:val="-20"/>
          <w:sz w:val="32"/>
          <w:szCs w:val="32"/>
          <w:lang w:val="en-US" w:eastAsia="zh-CN" w:bidi="ar-SA"/>
        </w:rPr>
        <w:t>3、此处只显示本院医师。</w:t>
      </w:r>
    </w:p>
    <w:p w14:paraId="3567C50D">
      <w:pPr>
        <w:keepNext/>
        <w:numPr>
          <w:ilvl w:val="0"/>
          <w:numId w:val="0"/>
        </w:numPr>
        <w:spacing w:before="267" w:beforeLines="50" w:after="267" w:afterLines="50" w:line="360" w:lineRule="auto"/>
        <w:ind w:leftChars="0"/>
        <w:outlineLvl w:val="0"/>
        <w:rPr>
          <w:rFonts w:hint="eastAsia" w:ascii="黑体" w:hAnsi="黑体" w:eastAsia="黑体" w:cs="黑体"/>
          <w:b w:val="0"/>
          <w:bCs w:val="0"/>
          <w:iCs/>
          <w:spacing w:val="-20"/>
          <w:kern w:val="32"/>
          <w:sz w:val="32"/>
          <w:szCs w:val="32"/>
          <w:lang w:val="en-US" w:eastAsia="zh-CN" w:bidi="ar-SA"/>
        </w:rPr>
      </w:pPr>
      <w:bookmarkStart w:id="93" w:name="_职业道德、工作业绩评价进度跟踪"/>
      <w:bookmarkEnd w:id="93"/>
      <w:bookmarkStart w:id="94" w:name="_Toc223104228"/>
      <w:bookmarkStart w:id="95" w:name="_Toc223105015"/>
      <w:bookmarkStart w:id="96" w:name="_Toc221491573"/>
      <w:bookmarkStart w:id="97" w:name="_Toc219558091"/>
      <w:r>
        <w:rPr>
          <w:rFonts w:hint="eastAsia" w:ascii="黑体" w:hAnsi="黑体" w:eastAsia="黑体" w:cs="黑体"/>
          <w:b w:val="0"/>
          <w:bCs w:val="0"/>
          <w:iCs/>
          <w:spacing w:val="-20"/>
          <w:kern w:val="32"/>
          <w:sz w:val="32"/>
          <w:szCs w:val="32"/>
          <w:lang w:val="en-US" w:eastAsia="zh-CN" w:bidi="ar-SA"/>
        </w:rPr>
        <w:t>9 考核机构考核</w:t>
      </w:r>
      <w:bookmarkEnd w:id="94"/>
      <w:bookmarkEnd w:id="95"/>
    </w:p>
    <w:p w14:paraId="4901CB2B">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成为考核机构的医疗机构，可在考核机构考核功能页中跟踪被委托的医师参加业务水平测评结果。</w:t>
      </w:r>
    </w:p>
    <w:p w14:paraId="4A3539D9">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功能链接：考核评定</w:t>
      </w:r>
      <w:r>
        <w:rPr>
          <w:rFonts w:hint="eastAsia" w:ascii="仿宋_GB2312" w:hAnsi="仿宋_GB2312" w:eastAsia="仿宋_GB2312" w:cs="仿宋_GB2312"/>
          <w:spacing w:val="-20"/>
          <w:kern w:val="0"/>
          <w:sz w:val="32"/>
          <w:szCs w:val="32"/>
        </w:rPr>
        <w:sym w:font="Wingdings" w:char="F0E0"/>
      </w:r>
      <w:r>
        <w:rPr>
          <w:rFonts w:hint="eastAsia" w:ascii="仿宋_GB2312" w:hAnsi="仿宋_GB2312" w:eastAsia="仿宋_GB2312" w:cs="仿宋_GB2312"/>
          <w:spacing w:val="-20"/>
          <w:kern w:val="0"/>
          <w:sz w:val="32"/>
          <w:szCs w:val="32"/>
        </w:rPr>
        <w:t>考核机构考核</w:t>
      </w:r>
    </w:p>
    <w:p w14:paraId="015CC0CD">
      <w:pPr>
        <w:widowControl/>
        <w:spacing w:line="240" w:lineRule="auto"/>
        <w:ind w:firstLine="0" w:firstLineChars="0"/>
        <w:jc w:val="center"/>
        <w:rPr>
          <w:rFonts w:ascii="Calibri" w:hAnsi="Calibri" w:eastAsia="微软雅黑 Light" w:cs="Times New Roman"/>
          <w:spacing w:val="-20"/>
          <w:kern w:val="0"/>
          <w:sz w:val="24"/>
        </w:rPr>
      </w:pPr>
      <w:r>
        <w:rPr>
          <w:rFonts w:ascii="Calibri" w:hAnsi="Calibri" w:eastAsia="微软雅黑 Light" w:cs="Times New Roman"/>
          <w:spacing w:val="-20"/>
          <w:kern w:val="0"/>
          <w:sz w:val="24"/>
        </w:rPr>
        <w:drawing>
          <wp:inline distT="0" distB="0" distL="0" distR="0">
            <wp:extent cx="1295400" cy="144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1295512" cy="1447925"/>
                    </a:xfrm>
                    <a:prstGeom prst="rect">
                      <a:avLst/>
                    </a:prstGeom>
                  </pic:spPr>
                </pic:pic>
              </a:graphicData>
            </a:graphic>
          </wp:inline>
        </w:drawing>
      </w:r>
    </w:p>
    <w:p w14:paraId="2C1F6A97">
      <w:pPr>
        <w:widowControl/>
        <w:spacing w:line="240" w:lineRule="auto"/>
        <w:ind w:firstLine="0" w:firstLineChars="0"/>
        <w:jc w:val="center"/>
        <w:rPr>
          <w:rFonts w:ascii="Calibri" w:hAnsi="Calibri" w:eastAsia="微软雅黑 Light" w:cs="Times New Roman"/>
          <w:spacing w:val="-20"/>
          <w:kern w:val="0"/>
          <w:sz w:val="24"/>
        </w:rPr>
      </w:pPr>
      <w:r>
        <w:rPr>
          <w:rFonts w:ascii="Calibri" w:hAnsi="Calibri" w:eastAsia="微软雅黑 Light" w:cs="Times New Roman"/>
          <w:spacing w:val="-20"/>
          <w:kern w:val="0"/>
          <w:sz w:val="24"/>
        </w:rPr>
        <w:drawing>
          <wp:inline distT="0" distB="0" distL="114300" distR="114300">
            <wp:extent cx="5816600" cy="1278255"/>
            <wp:effectExtent l="0" t="0" r="12700" b="17145"/>
            <wp:docPr id="21"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9"/>
                    <pic:cNvPicPr>
                      <a:picLocks noChangeAspect="1"/>
                    </pic:cNvPicPr>
                  </pic:nvPicPr>
                  <pic:blipFill>
                    <a:blip r:embed="rId27"/>
                    <a:stretch>
                      <a:fillRect/>
                    </a:stretch>
                  </pic:blipFill>
                  <pic:spPr>
                    <a:xfrm>
                      <a:off x="0" y="0"/>
                      <a:ext cx="5816600" cy="1278255"/>
                    </a:xfrm>
                    <a:prstGeom prst="rect">
                      <a:avLst/>
                    </a:prstGeom>
                    <a:noFill/>
                    <a:ln>
                      <a:noFill/>
                    </a:ln>
                  </pic:spPr>
                </pic:pic>
              </a:graphicData>
            </a:graphic>
          </wp:inline>
        </w:drawing>
      </w:r>
    </w:p>
    <w:p w14:paraId="4DB81DA7">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FF0000"/>
          <w:spacing w:val="-20"/>
          <w:kern w:val="0"/>
          <w:sz w:val="32"/>
          <w:szCs w:val="32"/>
        </w:rPr>
      </w:pPr>
      <w:r>
        <w:rPr>
          <w:rFonts w:hint="eastAsia" w:ascii="仿宋_GB2312" w:hAnsi="仿宋_GB2312" w:eastAsia="仿宋_GB2312" w:cs="仿宋_GB2312"/>
          <w:color w:val="FF0000"/>
          <w:spacing w:val="-20"/>
          <w:kern w:val="0"/>
          <w:sz w:val="32"/>
          <w:szCs w:val="32"/>
        </w:rPr>
        <w:t>PS:</w:t>
      </w:r>
    </w:p>
    <w:p w14:paraId="65835F75">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FF0000"/>
          <w:spacing w:val="-20"/>
          <w:kern w:val="0"/>
          <w:sz w:val="32"/>
          <w:szCs w:val="32"/>
        </w:rPr>
      </w:pPr>
      <w:r>
        <w:rPr>
          <w:rFonts w:hint="eastAsia" w:ascii="仿宋_GB2312" w:hAnsi="仿宋_GB2312" w:eastAsia="仿宋_GB2312" w:cs="仿宋_GB2312"/>
          <w:color w:val="FF0000"/>
          <w:spacing w:val="-20"/>
          <w:kern w:val="0"/>
          <w:sz w:val="32"/>
          <w:szCs w:val="32"/>
        </w:rPr>
        <w:t>1、此处只显示被委托过来的医师参考情况。</w:t>
      </w:r>
    </w:p>
    <w:p w14:paraId="0C362A3B">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ascii="Calibri" w:hAnsi="Calibri" w:eastAsia="微软雅黑 Light" w:cs="Times New Roman"/>
          <w:color w:val="FF0000"/>
          <w:spacing w:val="-20"/>
          <w:kern w:val="0"/>
          <w:sz w:val="24"/>
        </w:rPr>
      </w:pPr>
      <w:r>
        <w:rPr>
          <w:rFonts w:hint="eastAsia" w:ascii="仿宋_GB2312" w:hAnsi="仿宋_GB2312" w:eastAsia="仿宋_GB2312" w:cs="仿宋_GB2312"/>
          <w:color w:val="FF0000"/>
          <w:spacing w:val="-20"/>
          <w:kern w:val="0"/>
          <w:sz w:val="32"/>
          <w:szCs w:val="32"/>
        </w:rPr>
        <w:t>2、此功能可进行被委托医师的考核进度跟踪使用。</w:t>
      </w:r>
    </w:p>
    <w:p w14:paraId="637FE6C8">
      <w:pPr>
        <w:keepNext/>
        <w:numPr>
          <w:ilvl w:val="0"/>
          <w:numId w:val="0"/>
        </w:numPr>
        <w:spacing w:before="267" w:beforeLines="50" w:after="267" w:afterLines="50" w:line="360" w:lineRule="auto"/>
        <w:ind w:leftChars="0"/>
        <w:outlineLvl w:val="0"/>
        <w:rPr>
          <w:rFonts w:hint="eastAsia" w:ascii="微软雅黑 Light" w:hAnsi="微软雅黑 Light" w:eastAsia="微软雅黑 Light" w:cs="Times New Roman"/>
          <w:b w:val="0"/>
          <w:bCs w:val="0"/>
          <w:iCs/>
          <w:spacing w:val="-20"/>
          <w:kern w:val="32"/>
          <w:sz w:val="44"/>
          <w:szCs w:val="44"/>
          <w:lang w:val="en-US" w:eastAsia="zh-CN" w:bidi="ar-SA"/>
        </w:rPr>
      </w:pPr>
      <w:bookmarkStart w:id="98" w:name="_Toc223104229"/>
      <w:bookmarkStart w:id="99" w:name="_Toc223105016"/>
      <w:r>
        <w:rPr>
          <w:rFonts w:hint="eastAsia" w:ascii="黑体" w:hAnsi="黑体" w:eastAsia="黑体" w:cs="黑体"/>
          <w:b w:val="0"/>
          <w:bCs w:val="0"/>
          <w:iCs/>
          <w:spacing w:val="-20"/>
          <w:kern w:val="32"/>
          <w:sz w:val="32"/>
          <w:szCs w:val="32"/>
          <w:lang w:val="en-US" w:eastAsia="zh-CN" w:bidi="ar-SA"/>
        </w:rPr>
        <w:t>10 考核结果汇总</w:t>
      </w:r>
      <w:bookmarkEnd w:id="98"/>
      <w:bookmarkEnd w:id="99"/>
    </w:p>
    <w:p w14:paraId="1AA393EC">
      <w:pPr>
        <w:keepNext w:val="0"/>
        <w:keepLines w:val="0"/>
        <w:pageBreakBefore w:val="0"/>
        <w:widowControl/>
        <w:kinsoku/>
        <w:wordWrap/>
        <w:overflowPunct/>
        <w:topLinePunct w:val="0"/>
        <w:autoSpaceDE/>
        <w:autoSpaceDN/>
        <w:bidi w:val="0"/>
        <w:adjustRightInd/>
        <w:snapToGrid/>
        <w:spacing w:line="240" w:lineRule="auto"/>
        <w:ind w:firstLine="552" w:firstLineChars="200"/>
        <w:jc w:val="left"/>
        <w:textAlignment w:val="auto"/>
        <w:rPr>
          <w:rFonts w:hint="eastAsia" w:ascii="仿宋_GB2312" w:hAnsi="仿宋_GB2312" w:eastAsia="仿宋_GB2312" w:cs="仿宋_GB2312"/>
          <w:spacing w:val="-22"/>
          <w:kern w:val="0"/>
          <w:sz w:val="32"/>
          <w:szCs w:val="32"/>
        </w:rPr>
      </w:pPr>
      <w:r>
        <w:rPr>
          <w:rFonts w:hint="eastAsia" w:ascii="仿宋_GB2312" w:hAnsi="仿宋_GB2312" w:eastAsia="仿宋_GB2312" w:cs="仿宋_GB2312"/>
          <w:spacing w:val="-22"/>
          <w:kern w:val="0"/>
          <w:sz w:val="32"/>
          <w:szCs w:val="32"/>
        </w:rPr>
        <w:t>机构评价和业务能力测评完成后，医疗机构可通过综合查询功能进行考核结果的汇总统计。</w:t>
      </w:r>
    </w:p>
    <w:p w14:paraId="4151ECD6">
      <w:pPr>
        <w:keepNext w:val="0"/>
        <w:keepLines w:val="0"/>
        <w:pageBreakBefore w:val="0"/>
        <w:widowControl/>
        <w:kinsoku/>
        <w:wordWrap/>
        <w:overflowPunct/>
        <w:topLinePunct w:val="0"/>
        <w:autoSpaceDE/>
        <w:autoSpaceDN/>
        <w:bidi w:val="0"/>
        <w:adjustRightInd/>
        <w:snapToGrid/>
        <w:spacing w:line="240" w:lineRule="auto"/>
        <w:ind w:firstLine="552" w:firstLineChars="200"/>
        <w:jc w:val="left"/>
        <w:textAlignment w:val="auto"/>
        <w:rPr>
          <w:rFonts w:hint="eastAsia" w:ascii="仿宋_GB2312" w:hAnsi="仿宋_GB2312" w:eastAsia="仿宋_GB2312" w:cs="仿宋_GB2312"/>
          <w:spacing w:val="-22"/>
          <w:kern w:val="0"/>
          <w:sz w:val="32"/>
          <w:szCs w:val="32"/>
        </w:rPr>
      </w:pPr>
      <w:r>
        <w:rPr>
          <w:rFonts w:hint="eastAsia" w:ascii="仿宋_GB2312" w:hAnsi="仿宋_GB2312" w:eastAsia="仿宋_GB2312" w:cs="仿宋_GB2312"/>
          <w:spacing w:val="-22"/>
          <w:kern w:val="0"/>
          <w:sz w:val="32"/>
          <w:szCs w:val="32"/>
        </w:rPr>
        <w:t>功能链接：综合查询--&gt;考核情况综合查询。</w:t>
      </w:r>
    </w:p>
    <w:p w14:paraId="6F3201EF">
      <w:pPr>
        <w:widowControl/>
        <w:spacing w:line="240" w:lineRule="auto"/>
        <w:ind w:firstLine="0" w:firstLineChars="0"/>
        <w:jc w:val="center"/>
        <w:rPr>
          <w:rFonts w:ascii="微软雅黑 Light" w:hAnsi="微软雅黑 Light" w:eastAsia="微软雅黑 Light" w:cs="Times New Roman"/>
          <w:spacing w:val="-22"/>
          <w:kern w:val="0"/>
          <w:sz w:val="24"/>
        </w:rPr>
      </w:pPr>
      <w:r>
        <w:rPr>
          <w:rFonts w:ascii="微软雅黑 Light" w:hAnsi="微软雅黑 Light" w:eastAsia="微软雅黑 Light" w:cs="Times New Roman"/>
          <w:spacing w:val="-22"/>
          <w:kern w:val="0"/>
          <w:sz w:val="24"/>
        </w:rPr>
        <w:drawing>
          <wp:inline distT="0" distB="0" distL="0" distR="0">
            <wp:extent cx="1312545" cy="1870710"/>
            <wp:effectExtent l="0" t="0" r="1905"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stretch>
                      <a:fillRect/>
                    </a:stretch>
                  </pic:blipFill>
                  <pic:spPr>
                    <a:xfrm>
                      <a:off x="0" y="0"/>
                      <a:ext cx="1312545" cy="1870710"/>
                    </a:xfrm>
                    <a:prstGeom prst="rect">
                      <a:avLst/>
                    </a:prstGeom>
                  </pic:spPr>
                </pic:pic>
              </a:graphicData>
            </a:graphic>
          </wp:inline>
        </w:drawing>
      </w:r>
    </w:p>
    <w:p w14:paraId="21873A2A">
      <w:pPr>
        <w:widowControl/>
        <w:spacing w:line="240" w:lineRule="auto"/>
        <w:ind w:firstLine="0" w:firstLineChars="0"/>
        <w:jc w:val="center"/>
        <w:rPr>
          <w:rFonts w:ascii="微软雅黑 Light" w:hAnsi="微软雅黑 Light" w:eastAsia="微软雅黑 Light" w:cs="Times New Roman"/>
          <w:spacing w:val="-22"/>
          <w:kern w:val="0"/>
          <w:sz w:val="24"/>
        </w:rPr>
      </w:pPr>
    </w:p>
    <w:p w14:paraId="3F939776">
      <w:pPr>
        <w:widowControl/>
        <w:spacing w:line="240" w:lineRule="auto"/>
        <w:ind w:firstLine="0" w:firstLineChars="0"/>
        <w:jc w:val="center"/>
        <w:rPr>
          <w:rFonts w:hint="eastAsia" w:ascii="仿宋_GB2312" w:hAnsi="仿宋_GB2312" w:eastAsia="仿宋_GB2312" w:cs="仿宋_GB2312"/>
          <w:color w:val="FF0000"/>
          <w:spacing w:val="-22"/>
          <w:kern w:val="0"/>
          <w:sz w:val="32"/>
          <w:szCs w:val="32"/>
        </w:rPr>
      </w:pPr>
      <w:r>
        <w:rPr>
          <w:rFonts w:ascii="微软雅黑 Light" w:hAnsi="微软雅黑 Light" w:eastAsia="微软雅黑 Light" w:cs="Times New Roman"/>
          <w:spacing w:val="-22"/>
          <w:kern w:val="0"/>
          <w:sz w:val="24"/>
        </w:rPr>
        <w:drawing>
          <wp:inline distT="0" distB="0" distL="0" distR="0">
            <wp:extent cx="5828030" cy="1223645"/>
            <wp:effectExtent l="0" t="0" r="1270" b="146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a:stretch>
                      <a:fillRect/>
                    </a:stretch>
                  </pic:blipFill>
                  <pic:spPr>
                    <a:xfrm>
                      <a:off x="0" y="0"/>
                      <a:ext cx="5828030" cy="1223645"/>
                    </a:xfrm>
                    <a:prstGeom prst="rect">
                      <a:avLst/>
                    </a:prstGeom>
                  </pic:spPr>
                </pic:pic>
              </a:graphicData>
            </a:graphic>
          </wp:inline>
        </w:drawing>
      </w:r>
    </w:p>
    <w:p w14:paraId="6BEA42F4">
      <w:pPr>
        <w:keepNext w:val="0"/>
        <w:keepLines w:val="0"/>
        <w:pageBreakBefore w:val="0"/>
        <w:widowControl/>
        <w:kinsoku/>
        <w:wordWrap/>
        <w:overflowPunct/>
        <w:topLinePunct w:val="0"/>
        <w:autoSpaceDE/>
        <w:autoSpaceDN/>
        <w:bidi w:val="0"/>
        <w:adjustRightInd/>
        <w:snapToGrid/>
        <w:spacing w:line="240" w:lineRule="auto"/>
        <w:ind w:firstLine="552" w:firstLineChars="200"/>
        <w:jc w:val="left"/>
        <w:textAlignment w:val="auto"/>
        <w:rPr>
          <w:rFonts w:hint="eastAsia" w:ascii="仿宋_GB2312" w:hAnsi="仿宋_GB2312" w:eastAsia="仿宋_GB2312" w:cs="仿宋_GB2312"/>
          <w:color w:val="FF0000"/>
          <w:spacing w:val="-22"/>
          <w:kern w:val="0"/>
          <w:sz w:val="32"/>
          <w:szCs w:val="32"/>
        </w:rPr>
      </w:pPr>
      <w:r>
        <w:rPr>
          <w:rFonts w:hint="eastAsia" w:ascii="仿宋_GB2312" w:hAnsi="仿宋_GB2312" w:eastAsia="仿宋_GB2312" w:cs="仿宋_GB2312"/>
          <w:color w:val="FF0000"/>
          <w:spacing w:val="-22"/>
          <w:kern w:val="0"/>
          <w:sz w:val="32"/>
          <w:szCs w:val="32"/>
        </w:rPr>
        <w:t>PS：考核情况综合查询在完成本年度考核数据汇总和才可进行查询，查询到的数据为结论性数据。</w:t>
      </w:r>
    </w:p>
    <w:p w14:paraId="157F3B11">
      <w:pPr>
        <w:widowControl/>
        <w:spacing w:line="240" w:lineRule="auto"/>
        <w:ind w:firstLine="0" w:firstLineChars="0"/>
        <w:jc w:val="left"/>
        <w:rPr>
          <w:rFonts w:ascii="微软雅黑 Light" w:hAnsi="微软雅黑 Light" w:eastAsia="微软雅黑 Light" w:cs="Times New Roman"/>
          <w:spacing w:val="-22"/>
          <w:kern w:val="0"/>
          <w:sz w:val="24"/>
        </w:rPr>
      </w:pPr>
    </w:p>
    <w:p w14:paraId="762ACDE6">
      <w:pPr>
        <w:keepNext/>
        <w:numPr>
          <w:ilvl w:val="0"/>
          <w:numId w:val="0"/>
        </w:numPr>
        <w:spacing w:before="267" w:beforeLines="50" w:after="267" w:afterLines="50" w:line="360" w:lineRule="auto"/>
        <w:ind w:leftChars="0"/>
        <w:outlineLvl w:val="0"/>
        <w:rPr>
          <w:rFonts w:ascii="微软雅黑 Light" w:hAnsi="微软雅黑 Light" w:eastAsia="微软雅黑 Light" w:cs="Times New Roman"/>
          <w:b w:val="0"/>
          <w:bCs w:val="0"/>
          <w:iCs/>
          <w:spacing w:val="-20"/>
          <w:kern w:val="32"/>
          <w:sz w:val="44"/>
          <w:szCs w:val="44"/>
          <w:lang w:val="en-US" w:eastAsia="zh-CN" w:bidi="ar-SA"/>
        </w:rPr>
      </w:pPr>
      <w:bookmarkStart w:id="100" w:name="_考核结果汇总"/>
      <w:bookmarkEnd w:id="100"/>
      <w:bookmarkStart w:id="101" w:name="_Toc223104230"/>
      <w:bookmarkStart w:id="102" w:name="_Toc223105017"/>
      <w:r>
        <w:rPr>
          <w:rFonts w:hint="eastAsia" w:ascii="黑体" w:hAnsi="黑体" w:eastAsia="黑体" w:cs="黑体"/>
          <w:b w:val="0"/>
          <w:bCs w:val="0"/>
          <w:iCs/>
          <w:spacing w:val="-20"/>
          <w:kern w:val="32"/>
          <w:sz w:val="32"/>
          <w:szCs w:val="32"/>
          <w:lang w:val="en-US" w:eastAsia="zh-CN" w:bidi="ar-SA"/>
        </w:rPr>
        <w:t>11 常见问题</w:t>
      </w:r>
      <w:bookmarkEnd w:id="96"/>
      <w:bookmarkEnd w:id="97"/>
      <w:bookmarkEnd w:id="101"/>
      <w:bookmarkEnd w:id="102"/>
    </w:p>
    <w:p w14:paraId="3065855D">
      <w:pPr>
        <w:keepNext/>
        <w:numPr>
          <w:ilvl w:val="0"/>
          <w:numId w:val="0"/>
        </w:numPr>
        <w:spacing w:before="240" w:after="60"/>
        <w:ind w:left="425" w:leftChars="0"/>
        <w:outlineLvl w:val="2"/>
        <w:rPr>
          <w:rFonts w:hint="eastAsia" w:ascii="仿宋_GB2312" w:hAnsi="仿宋_GB2312" w:eastAsia="仿宋_GB2312" w:cs="仿宋_GB2312"/>
          <w:b w:val="0"/>
          <w:bCs w:val="0"/>
          <w:spacing w:val="-20"/>
          <w:sz w:val="32"/>
          <w:szCs w:val="32"/>
          <w:lang w:val="en-US" w:eastAsia="zh-CN" w:bidi="ar-SA"/>
        </w:rPr>
      </w:pPr>
      <w:bookmarkStart w:id="103" w:name="_Toc223105018"/>
      <w:bookmarkStart w:id="104" w:name="_Toc223104231"/>
      <w:r>
        <w:rPr>
          <w:rFonts w:hint="eastAsia" w:ascii="仿宋_GB2312" w:hAnsi="仿宋_GB2312" w:eastAsia="仿宋_GB2312" w:cs="仿宋_GB2312"/>
          <w:b w:val="0"/>
          <w:bCs w:val="0"/>
          <w:spacing w:val="-20"/>
          <w:sz w:val="32"/>
          <w:szCs w:val="32"/>
          <w:lang w:val="en-US" w:eastAsia="zh-CN" w:bidi="ar-SA"/>
        </w:rPr>
        <w:t>11.1 忘记登录密码</w:t>
      </w:r>
      <w:bookmarkEnd w:id="103"/>
      <w:bookmarkEnd w:id="104"/>
    </w:p>
    <w:p w14:paraId="12CE2675">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若忘记登录密码，可进行密码重置，使用初始密码登录，登录后可进行密码修改。</w:t>
      </w:r>
    </w:p>
    <w:p w14:paraId="60CC58CA">
      <w:pPr>
        <w:keepNext/>
        <w:numPr>
          <w:ilvl w:val="0"/>
          <w:numId w:val="0"/>
        </w:numPr>
        <w:spacing w:before="240" w:after="60"/>
        <w:ind w:left="425" w:leftChars="0"/>
        <w:outlineLvl w:val="2"/>
        <w:rPr>
          <w:rFonts w:hint="eastAsia" w:ascii="仿宋_GB2312" w:hAnsi="仿宋_GB2312" w:eastAsia="仿宋_GB2312" w:cs="仿宋_GB2312"/>
          <w:b w:val="0"/>
          <w:bCs w:val="0"/>
          <w:spacing w:val="-20"/>
          <w:sz w:val="32"/>
          <w:szCs w:val="32"/>
          <w:lang w:val="en-US" w:eastAsia="zh-CN" w:bidi="ar-SA"/>
        </w:rPr>
      </w:pPr>
      <w:bookmarkStart w:id="105" w:name="_Toc221491575"/>
      <w:bookmarkStart w:id="106" w:name="_Toc219558093"/>
      <w:bookmarkStart w:id="107" w:name="_Toc223104232"/>
      <w:bookmarkStart w:id="108" w:name="_Toc223105019"/>
      <w:r>
        <w:rPr>
          <w:rFonts w:hint="eastAsia" w:ascii="仿宋_GB2312" w:hAnsi="仿宋_GB2312" w:eastAsia="仿宋_GB2312" w:cs="仿宋_GB2312"/>
          <w:b w:val="0"/>
          <w:bCs w:val="0"/>
          <w:spacing w:val="-20"/>
          <w:sz w:val="32"/>
          <w:szCs w:val="32"/>
          <w:lang w:val="en-US" w:eastAsia="zh-CN" w:bidi="ar-SA"/>
        </w:rPr>
        <w:t>11.2 医师不能正常参加考试</w:t>
      </w:r>
      <w:bookmarkEnd w:id="105"/>
      <w:bookmarkEnd w:id="106"/>
      <w:bookmarkEnd w:id="107"/>
      <w:bookmarkEnd w:id="108"/>
    </w:p>
    <w:p w14:paraId="51800F3E">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（1）医师报名后需要主执业地点审核通过，通过审核后才可进行工作业绩职业道德评定后。</w:t>
      </w:r>
    </w:p>
    <w:p w14:paraId="6024867C">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ascii="微软雅黑 Light" w:hAnsi="微软雅黑 Light" w:eastAsia="微软雅黑 Light" w:cs="Times New Roman"/>
          <w:spacing w:val="-20"/>
          <w:sz w:val="24"/>
          <w:szCs w:val="21"/>
          <w:lang w:val="en-US" w:eastAsia="zh-CN" w:bidi="ar-SA"/>
        </w:rPr>
      </w:pPr>
      <w:r>
        <w:rPr>
          <w:rFonts w:hint="eastAsia" w:ascii="仿宋_GB2312" w:hAnsi="仿宋_GB2312" w:eastAsia="仿宋_GB2312" w:cs="仿宋_GB2312"/>
          <w:spacing w:val="-20"/>
          <w:sz w:val="32"/>
          <w:szCs w:val="32"/>
          <w:lang w:val="en-US" w:eastAsia="zh-CN" w:bidi="ar-SA"/>
        </w:rPr>
        <w:t>（2）所有多点执业机构都需要评价职业道德和工作业绩后，才能参加法律法规、业务水平的考试。</w:t>
      </w:r>
    </w:p>
    <w:p w14:paraId="2CE73C2F">
      <w:pPr>
        <w:jc w:val="center"/>
        <w:rPr>
          <w:rFonts w:hint="default" w:ascii="方正小标宋简体" w:hAnsi="方正小标宋简体" w:eastAsia="方正小标宋简体" w:cs="方正小标宋简体"/>
          <w:sz w:val="44"/>
          <w:szCs w:val="44"/>
          <w:lang w:val="en-US" w:eastAsia="zh-CN"/>
        </w:rPr>
        <w:sectPr>
          <w:pgSz w:w="11906" w:h="16838"/>
          <w:pgMar w:top="2098" w:right="1474" w:bottom="1985" w:left="1588" w:header="851" w:footer="992" w:gutter="0"/>
          <w:pgNumType w:fmt="numberInDash"/>
          <w:cols w:space="425" w:num="1"/>
          <w:docGrid w:type="lines" w:linePitch="312" w:charSpace="0"/>
        </w:sectPr>
      </w:pPr>
    </w:p>
    <w:p w14:paraId="19FC3F31">
      <w:pPr>
        <w:widowControl/>
        <w:spacing w:line="240" w:lineRule="auto"/>
        <w:ind w:firstLine="0" w:firstLineChars="0"/>
        <w:jc w:val="left"/>
        <w:textAlignment w:val="center"/>
        <w:rPr>
          <w:rFonts w:hint="eastAsia" w:ascii="方正小标宋简体" w:hAnsi="方正小标宋简体" w:eastAsia="黑体" w:cs="方正小标宋简体"/>
          <w:sz w:val="44"/>
          <w:szCs w:val="44"/>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4</w:t>
      </w:r>
    </w:p>
    <w:sdt>
      <w:sdtPr>
        <w:rPr>
          <w:rFonts w:ascii="微软雅黑 Light" w:hAnsi="微软雅黑 Light" w:eastAsia="微软雅黑 Light"/>
        </w:rPr>
        <w:id w:val="522065975"/>
        <w:docPartObj>
          <w:docPartGallery w:val="autotext"/>
        </w:docPartObj>
      </w:sdtPr>
      <w:sdtEndPr>
        <w:rPr>
          <w:rFonts w:ascii="微软雅黑 Light" w:hAnsi="微软雅黑 Light" w:eastAsia="微软雅黑 Light"/>
          <w:bCs/>
          <w:sz w:val="36"/>
        </w:rPr>
      </w:sdtEndPr>
      <w:sdtContent>
        <w:p w14:paraId="2841A15C">
          <w:pPr>
            <w:rPr>
              <w:rFonts w:hint="default" w:ascii="微软雅黑 Light" w:hAnsi="微软雅黑 Light" w:eastAsia="微软雅黑 Light"/>
              <w:lang w:val="en-US" w:eastAsia="zh-CN"/>
            </w:rPr>
          </w:pPr>
        </w:p>
        <w:p w14:paraId="6C76B300">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北京市医师定期考核管理系统</w:t>
          </w:r>
        </w:p>
        <w:p w14:paraId="6654E65B">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用户操作手册</w:t>
          </w:r>
          <w:r>
            <w:rPr>
              <w:rFonts w:hint="eastAsia" w:ascii="方正小标宋简体" w:hAnsi="方正小标宋简体" w:eastAsia="方正小标宋简体" w:cs="方正小标宋简体"/>
              <w:sz w:val="44"/>
              <w:szCs w:val="44"/>
              <w:lang w:val="en-US" w:eastAsia="zh-CN"/>
            </w:rPr>
            <w:t>-医师</w:t>
          </w:r>
        </w:p>
        <w:p w14:paraId="4E2668C7">
          <w:pPr>
            <w:ind w:firstLine="360" w:firstLineChars="100"/>
            <w:rPr>
              <w:rFonts w:ascii="微软雅黑 Light" w:hAnsi="微软雅黑 Light" w:eastAsia="微软雅黑 Light"/>
              <w:bCs/>
              <w:sz w:val="36"/>
            </w:rPr>
          </w:pPr>
        </w:p>
      </w:sdtContent>
    </w:sdt>
    <w:p w14:paraId="10519961">
      <w:pPr>
        <w:pStyle w:val="2"/>
        <w:tabs>
          <w:tab w:val="left" w:pos="432"/>
        </w:tabs>
        <w:spacing w:before="340" w:after="330" w:line="578" w:lineRule="auto"/>
        <w:ind w:left="432" w:hanging="432"/>
        <w:contextualSpacing w:val="0"/>
        <w:jc w:val="both"/>
        <w:rPr>
          <w:rFonts w:ascii="微软雅黑 Light" w:hAnsi="微软雅黑 Light" w:eastAsia="微软雅黑 Light"/>
          <w:b/>
          <w:sz w:val="44"/>
          <w:szCs w:val="44"/>
        </w:rPr>
      </w:pPr>
      <w:bookmarkStart w:id="109" w:name="_Toc294621202"/>
      <w:bookmarkStart w:id="110" w:name="_Toc219557766"/>
      <w:bookmarkStart w:id="111" w:name="_Toc223106508"/>
      <w:bookmarkStart w:id="112" w:name="_Toc294621204"/>
      <w:r>
        <w:rPr>
          <w:rFonts w:hint="eastAsia" w:ascii="黑体" w:hAnsi="黑体" w:eastAsia="黑体" w:cs="黑体"/>
          <w:b w:val="0"/>
          <w:bCs w:val="0"/>
          <w:sz w:val="32"/>
          <w:szCs w:val="32"/>
        </w:rPr>
        <w:t>1 快速指引</w:t>
      </w:r>
      <w:bookmarkEnd w:id="109"/>
      <w:bookmarkEnd w:id="110"/>
      <w:bookmarkEnd w:id="111"/>
    </w:p>
    <w:p w14:paraId="79B1252B">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sz w:val="32"/>
          <w:szCs w:val="32"/>
        </w:rPr>
      </w:pPr>
      <w:bookmarkStart w:id="113" w:name="_Toc219557767"/>
      <w:bookmarkStart w:id="114" w:name="_Toc223106509"/>
      <w:r>
        <w:rPr>
          <w:rFonts w:hint="eastAsia" w:ascii="仿宋_GB2312" w:hAnsi="仿宋_GB2312" w:eastAsia="仿宋_GB2312" w:cs="仿宋_GB2312"/>
          <w:b w:val="0"/>
          <w:bCs w:val="0"/>
          <w:sz w:val="32"/>
          <w:szCs w:val="32"/>
        </w:rPr>
        <w:t>1.1 软件环境要求</w:t>
      </w:r>
      <w:bookmarkEnd w:id="113"/>
      <w:bookmarkEnd w:id="114"/>
    </w:p>
    <w:p w14:paraId="362706FB">
      <w:pPr>
        <w:pStyle w:val="3"/>
        <w:ind w:left="240" w:firstLine="960" w:firstLineChars="3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客户端操作系统 Windows 7/8/10+</w:t>
      </w:r>
    </w:p>
    <w:p w14:paraId="57F55727">
      <w:pPr>
        <w:pStyle w:val="3"/>
        <w:ind w:left="240" w:firstLine="960" w:firstLineChars="3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客户端应用为 建议使用新版谷歌浏览器（Chrome）</w:t>
      </w:r>
    </w:p>
    <w:p w14:paraId="4478A0FE">
      <w:pPr>
        <w:pStyle w:val="3"/>
        <w:ind w:left="240" w:firstLine="960" w:firstLineChars="3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系统分辨率为 1024*768及以上</w:t>
      </w:r>
    </w:p>
    <w:p w14:paraId="27299963">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sz w:val="32"/>
          <w:szCs w:val="32"/>
        </w:rPr>
      </w:pPr>
      <w:bookmarkStart w:id="115" w:name="_Toc294621203"/>
      <w:bookmarkStart w:id="116" w:name="_Toc219557768"/>
      <w:bookmarkStart w:id="117" w:name="_Toc223106510"/>
      <w:bookmarkStart w:id="118" w:name="_Hlk45197267"/>
      <w:r>
        <w:rPr>
          <w:rFonts w:hint="eastAsia" w:ascii="仿宋_GB2312" w:hAnsi="仿宋_GB2312" w:eastAsia="仿宋_GB2312" w:cs="仿宋_GB2312"/>
          <w:b w:val="0"/>
          <w:bCs w:val="0"/>
          <w:sz w:val="32"/>
          <w:szCs w:val="32"/>
        </w:rPr>
        <w:t>1.</w:t>
      </w:r>
      <w:bookmarkEnd w:id="115"/>
      <w:r>
        <w:rPr>
          <w:rFonts w:hint="eastAsia" w:ascii="仿宋_GB2312" w:hAnsi="仿宋_GB2312" w:eastAsia="仿宋_GB2312" w:cs="仿宋_GB2312"/>
          <w:b w:val="0"/>
          <w:bCs w:val="0"/>
          <w:sz w:val="32"/>
          <w:szCs w:val="32"/>
        </w:rPr>
        <w:t xml:space="preserve">2 </w:t>
      </w:r>
      <w:bookmarkEnd w:id="112"/>
      <w:bookmarkEnd w:id="116"/>
      <w:r>
        <w:rPr>
          <w:rFonts w:hint="eastAsia" w:ascii="仿宋_GB2312" w:hAnsi="仿宋_GB2312" w:eastAsia="仿宋_GB2312" w:cs="仿宋_GB2312"/>
          <w:b w:val="0"/>
          <w:bCs w:val="0"/>
          <w:sz w:val="32"/>
          <w:szCs w:val="32"/>
        </w:rPr>
        <w:t>登录地址</w:t>
      </w:r>
      <w:bookmarkEnd w:id="117"/>
    </w:p>
    <w:bookmarkEnd w:id="118"/>
    <w:p w14:paraId="361A78D8">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浏览器输入</w:t>
      </w:r>
      <w:r>
        <w:rPr>
          <w:rFonts w:hint="eastAsia" w:ascii="仿宋_GB2312" w:hAnsi="仿宋_GB2312" w:eastAsia="仿宋_GB2312" w:cs="仿宋_GB2312"/>
          <w:b w:val="0"/>
          <w:bCs w:val="0"/>
          <w:sz w:val="32"/>
          <w:szCs w:val="32"/>
        </w:rPr>
        <w:t>地址</w:t>
      </w:r>
      <w:r>
        <w:rPr>
          <w:rFonts w:hint="eastAsia" w:ascii="仿宋_GB2312" w:hAnsi="仿宋_GB2312" w:eastAsia="仿宋_GB2312" w:cs="仿宋_GB2312"/>
          <w:b w:val="0"/>
          <w:bCs w:val="0"/>
          <w:sz w:val="32"/>
          <w:szCs w:val="32"/>
          <w:lang w:eastAsia="zh-CN"/>
        </w:rPr>
        <w:t>，</w:t>
      </w:r>
      <w:bookmarkStart w:id="150" w:name="_GoBack"/>
      <w:bookmarkEnd w:id="150"/>
      <w:r>
        <w:rPr>
          <w:rFonts w:hint="eastAsia" w:ascii="仿宋_GB2312" w:hAnsi="仿宋_GB2312" w:eastAsia="仿宋_GB2312" w:cs="仿宋_GB2312"/>
          <w:sz w:val="32"/>
          <w:szCs w:val="32"/>
        </w:rPr>
        <w:t>进入系统首页</w:t>
      </w:r>
    </w:p>
    <w:p w14:paraId="695F1DBB">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sz w:val="32"/>
          <w:szCs w:val="32"/>
        </w:rPr>
      </w:pPr>
      <w:bookmarkStart w:id="119" w:name="_Toc223106511"/>
      <w:bookmarkStart w:id="120" w:name="_Toc219557769"/>
      <w:r>
        <w:rPr>
          <w:rFonts w:hint="eastAsia" w:ascii="仿宋_GB2312" w:hAnsi="仿宋_GB2312" w:eastAsia="仿宋_GB2312" w:cs="仿宋_GB2312"/>
          <w:b w:val="0"/>
          <w:bCs w:val="0"/>
          <w:sz w:val="32"/>
          <w:szCs w:val="32"/>
        </w:rPr>
        <w:t>1.3 登录系统</w:t>
      </w:r>
      <w:bookmarkEnd w:id="119"/>
      <w:bookmarkEnd w:id="120"/>
    </w:p>
    <w:p w14:paraId="238795B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（1）点击【个人登录】</w:t>
      </w:r>
    </w:p>
    <w:p w14:paraId="423E1901">
      <w:pPr>
        <w:rPr>
          <w:rFonts w:ascii="微软雅黑 Light" w:hAnsi="微软雅黑 Light" w:eastAsia="微软雅黑 Light"/>
        </w:rPr>
      </w:pPr>
      <w:r>
        <w:rPr>
          <w:rFonts w:ascii="微软雅黑 Light" w:hAnsi="微软雅黑 Light" w:eastAsia="微软雅黑 Light"/>
        </w:rPr>
        <mc:AlternateContent>
          <mc:Choice Requires="wps">
            <w:drawing>
              <wp:anchor distT="0" distB="0" distL="114300" distR="114300" simplePos="0" relativeHeight="251666432" behindDoc="0" locked="0" layoutInCell="1" allowOverlap="1">
                <wp:simplePos x="0" y="0"/>
                <wp:positionH relativeFrom="column">
                  <wp:posOffset>741045</wp:posOffset>
                </wp:positionH>
                <wp:positionV relativeFrom="paragraph">
                  <wp:posOffset>876935</wp:posOffset>
                </wp:positionV>
                <wp:extent cx="1285240" cy="1260475"/>
                <wp:effectExtent l="15875" t="15875" r="32385" b="19050"/>
                <wp:wrapNone/>
                <wp:docPr id="5" name="Oval 4"/>
                <wp:cNvGraphicFramePr/>
                <a:graphic xmlns:a="http://schemas.openxmlformats.org/drawingml/2006/main">
                  <a:graphicData uri="http://schemas.microsoft.com/office/word/2010/wordprocessingShape">
                    <wps:wsp>
                      <wps:cNvSpPr>
                        <a:spLocks noChangeArrowheads="1"/>
                      </wps:cNvSpPr>
                      <wps:spPr bwMode="auto">
                        <a:xfrm>
                          <a:off x="0" y="0"/>
                          <a:ext cx="1285240" cy="1260475"/>
                        </a:xfrm>
                        <a:prstGeom prst="ellipse">
                          <a:avLst/>
                        </a:prstGeom>
                        <a:noFill/>
                        <a:ln w="31750">
                          <a:solidFill>
                            <a:srgbClr val="FF0000"/>
                          </a:solidFill>
                          <a:round/>
                        </a:ln>
                        <a:effectLst/>
                      </wps:spPr>
                      <wps:bodyPr rot="0" vert="horz" wrap="square" lIns="91440" tIns="45720" rIns="91440" bIns="45720" anchor="t" anchorCtr="0" upright="1">
                        <a:noAutofit/>
                      </wps:bodyPr>
                    </wps:wsp>
                  </a:graphicData>
                </a:graphic>
              </wp:anchor>
            </w:drawing>
          </mc:Choice>
          <mc:Fallback>
            <w:pict>
              <v:shape id="Oval 4" o:spid="_x0000_s1026" o:spt="3" type="#_x0000_t3" style="position:absolute;left:0pt;margin-left:58.35pt;margin-top:69.05pt;height:99.25pt;width:101.2pt;z-index:251666432;mso-width-relative:page;mso-height-relative:page;" filled="f" stroked="t" coordsize="21600,21600" o:gfxdata="UEsDBAoAAAAAAIdO4kAAAAAAAAAAAAAAAAAEAAAAZHJzL1BLAwQUAAAACACHTuJAvvI6eNkAAAAL&#10;AQAADwAAAGRycy9kb3ducmV2LnhtbE2PzU7DMBCE70i8g7VIXCrqmIhQQpwqAsGJAy1IqDcnXuKI&#10;eB3F7g9vz3KC24x2NPtNtT75URxwjkMgDWqZgUDqgh2o1/D+9nS1AhGTIWvGQKjhGyOs6/OzypQ2&#10;HGmDh23qBZdQLI0Gl9JUShk7h97EZZiQ+PYZZm8S27mXdjZHLvejvM6yQnozEH9wZsIHh93Xdu81&#10;xNfu0bX2ZsbF86b5cC/NbrFrtL68UNk9iISn9BeGX3xGh5qZ2rAnG8XIXhW3HGWRrxQITuTqjkXL&#10;Ii8KkHUl/2+ofwBQSwMEFAAAAAgAh07iQPp1nswmAgAASgQAAA4AAABkcnMvZTJvRG9jLnhtbK1U&#10;wW7bMAy9D9g/CLovtrOk6Yw4RZEgw4BuLdDtAxRZjoXJokYpcbKvHyUnWdpdepgPhiiSj3yPtOd3&#10;h86wvUKvwVa8GOWcKSuh1nZb8R/f1x9uOfNB2FoYsKriR+X53eL9u3nvSjWGFkytkBGI9WXvKt6G&#10;4Mos87JVnfAjcMqSswHsRCATt1mNoif0zmTjPL/JesDaIUjlPd2uBic/IeJbAKFptFQrkLtO2TCg&#10;ojIiECXfauf5InXbNEqGx6bxKjBTcWIa0puK0HkT39liLsotCtdqeWpBvKWFV5w6oS0VvUCtRBBs&#10;h/ofqE5LBA9NGEnosoFIUoRYFPkrbZ5b4VTiQlJ7dxHd/z9Y+W3/hEzXFZ9yZkVHA3/cC8MmUZne&#10;+ZICnt0TRm7ePYD86ZmFZSvsVt0jQt8qUVM/RYzPXiREw1Mq2/RfoSZgsQuQRDo02EVAos8OaRbH&#10;yyzUITBJl8X4djqe0Jgk+YrxTT6ZTVMNUZ7THfrwWUHH4qHiyhgafdRLlGL/4EPsSJTnqHhtYa2N&#10;STM3lvUV/1jMpnnK8GB0Hb2JKW43S4OMlKj4ep3Tc6r9IgxhZ+uhirExT6WNO5U+8x903EB9JC0Q&#10;hhWkD5AOLeBvznpav4r7XzuBijPzxZKen4pJJB+SMZnOxmTgtWdz7RFWElTFA2fDcRmGHd851NuW&#10;KhWJpIV7mkGjkzSxv6Gr0+RoxZJip88h7vC1naL+/gI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8jp42QAAAAsBAAAPAAAAAAAAAAEAIAAAACIAAABkcnMvZG93bnJldi54bWxQSwECFAAUAAAA&#10;CACHTuJA+nWezCYCAABKBAAADgAAAAAAAAABACAAAAAoAQAAZHJzL2Uyb0RvYy54bWxQSwUGAAAA&#10;AAYABgBZAQAAwAUAAAAA&#10;">
                <v:fill on="f" focussize="0,0"/>
                <v:stroke weight="2.5pt" color="#FF0000" joinstyle="round"/>
                <v:imagedata o:title=""/>
                <o:lock v:ext="edit" aspectratio="f"/>
              </v:shape>
            </w:pict>
          </mc:Fallback>
        </mc:AlternateContent>
      </w:r>
      <w:r>
        <w:rPr>
          <w:rFonts w:ascii="微软雅黑 Light" w:hAnsi="微软雅黑 Light" w:eastAsia="微软雅黑 Light"/>
        </w:rPr>
        <w:drawing>
          <wp:inline distT="0" distB="0" distL="0" distR="0">
            <wp:extent cx="5257800" cy="3642360"/>
            <wp:effectExtent l="0" t="0" r="0"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57800" cy="3642360"/>
                    </a:xfrm>
                    <a:prstGeom prst="rect">
                      <a:avLst/>
                    </a:prstGeom>
                    <a:noFill/>
                    <a:ln>
                      <a:noFill/>
                    </a:ln>
                  </pic:spPr>
                </pic:pic>
              </a:graphicData>
            </a:graphic>
          </wp:inline>
        </w:drawing>
      </w:r>
    </w:p>
    <w:p w14:paraId="3BDD203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输入账号密码点击【登录】按钮登录。</w:t>
      </w:r>
    </w:p>
    <w:p w14:paraId="2C4BDCE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账号：身份证号码</w:t>
      </w:r>
    </w:p>
    <w:p w14:paraId="4C5589E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密码：初始密码账号后6位+*+Dk；(如身份证号码为“123456123456123456”，账号后六位为123456，则初始密码为“123456*Dk”，D大写，k小写)</w:t>
      </w:r>
    </w:p>
    <w:p w14:paraId="6210976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FF0000"/>
          <w:sz w:val="32"/>
          <w:szCs w:val="32"/>
        </w:rPr>
      </w:pPr>
      <w:r>
        <w:rPr>
          <w:rFonts w:hint="eastAsia" w:ascii="仿宋_GB2312" w:hAnsi="仿宋_GB2312" w:eastAsia="仿宋_GB2312" w:cs="仿宋_GB2312"/>
          <w:color w:val="FF0000"/>
          <w:sz w:val="32"/>
          <w:szCs w:val="32"/>
        </w:rPr>
        <w:t>PS：账号为部队、武警专业医师、港澳台、外国人等证件号码时，初始密码规则相同。</w:t>
      </w:r>
    </w:p>
    <w:p w14:paraId="6D4C6E55">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仿宋_GB2312" w:hAnsi="仿宋_GB2312" w:eastAsia="仿宋_GB2312" w:cs="仿宋_GB2312"/>
          <w:sz w:val="32"/>
          <w:szCs w:val="32"/>
          <w:lang w:eastAsia="zh-CN"/>
        </w:rPr>
      </w:pPr>
    </w:p>
    <w:p w14:paraId="6B6CFA07">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仿宋_GB2312" w:hAnsi="仿宋_GB2312" w:eastAsia="仿宋_GB2312" w:cs="仿宋_GB2312"/>
          <w:sz w:val="32"/>
          <w:szCs w:val="32"/>
          <w:lang w:eastAsia="zh-CN"/>
        </w:rPr>
      </w:pPr>
    </w:p>
    <w:p w14:paraId="50FC714D">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仿宋_GB2312" w:hAnsi="仿宋_GB2312" w:eastAsia="仿宋_GB2312" w:cs="仿宋_GB2312"/>
          <w:sz w:val="32"/>
          <w:szCs w:val="32"/>
          <w:lang w:eastAsia="zh-CN"/>
        </w:rPr>
      </w:pPr>
    </w:p>
    <w:p w14:paraId="6E6868CD">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仿宋_GB2312" w:hAnsi="仿宋_GB2312" w:eastAsia="仿宋_GB2312" w:cs="仿宋_GB2312"/>
          <w:sz w:val="32"/>
          <w:szCs w:val="32"/>
          <w:lang w:eastAsia="zh-CN"/>
        </w:rPr>
      </w:pPr>
    </w:p>
    <w:p w14:paraId="11211B2B">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仿宋_GB2312" w:hAnsi="仿宋_GB2312" w:eastAsia="仿宋_GB2312" w:cs="仿宋_GB2312"/>
          <w:sz w:val="32"/>
          <w:szCs w:val="32"/>
          <w:lang w:eastAsia="zh-CN"/>
        </w:rPr>
      </w:pPr>
    </w:p>
    <w:p w14:paraId="2D0D530F">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仿宋_GB2312" w:hAnsi="仿宋_GB2312" w:eastAsia="仿宋_GB2312" w:cs="仿宋_GB2312"/>
          <w:sz w:val="32"/>
          <w:szCs w:val="32"/>
          <w:lang w:eastAsia="zh-CN"/>
        </w:rPr>
      </w:pPr>
    </w:p>
    <w:p w14:paraId="259B5BFF">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仿宋_GB2312" w:hAnsi="仿宋_GB2312" w:eastAsia="仿宋_GB2312" w:cs="仿宋_GB2312"/>
          <w:sz w:val="32"/>
          <w:szCs w:val="32"/>
          <w:lang w:eastAsia="zh-CN"/>
        </w:rPr>
      </w:pPr>
      <w:r>
        <w:rPr>
          <w:rFonts w:ascii="微软雅黑 Light" w:hAnsi="微软雅黑 Light" w:eastAsia="微软雅黑 Light"/>
        </w:rPr>
        <w:drawing>
          <wp:anchor distT="0" distB="0" distL="0" distR="0" simplePos="0" relativeHeight="251669504" behindDoc="0" locked="0" layoutInCell="1" allowOverlap="1">
            <wp:simplePos x="0" y="0"/>
            <wp:positionH relativeFrom="column">
              <wp:posOffset>57150</wp:posOffset>
            </wp:positionH>
            <wp:positionV relativeFrom="paragraph">
              <wp:posOffset>156845</wp:posOffset>
            </wp:positionV>
            <wp:extent cx="5265420" cy="2773680"/>
            <wp:effectExtent l="0" t="0" r="11430" b="762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65420" cy="2773680"/>
                    </a:xfrm>
                    <a:prstGeom prst="rect">
                      <a:avLst/>
                    </a:prstGeom>
                    <a:noFill/>
                    <a:ln>
                      <a:noFill/>
                    </a:ln>
                  </pic:spPr>
                </pic:pic>
              </a:graphicData>
            </a:graphic>
          </wp:anchor>
        </w:drawing>
      </w:r>
    </w:p>
    <w:p w14:paraId="5F2C47E6">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重置密码（如需要）</w:t>
      </w:r>
    </w:p>
    <w:p w14:paraId="12065318">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微软雅黑 Light" w:hAnsi="微软雅黑 Light" w:eastAsia="微软雅黑 Light"/>
        </w:rPr>
      </w:pPr>
      <w:r>
        <w:rPr>
          <w:rFonts w:hint="eastAsia" w:ascii="仿宋_GB2312" w:hAnsi="仿宋_GB2312" w:eastAsia="仿宋_GB2312" w:cs="仿宋_GB2312"/>
          <w:sz w:val="32"/>
          <w:szCs w:val="32"/>
        </w:rPr>
        <w:t>点击“重置密码”后，输入登录账号和接收到的短信验证码，然后点击“密码重置”，继续点击“确定”，重置成功。</w:t>
      </w:r>
    </w:p>
    <w:p w14:paraId="4A95BE92">
      <w:pPr>
        <w:rPr>
          <w:rFonts w:ascii="微软雅黑 Light" w:hAnsi="微软雅黑 Light" w:eastAsia="微软雅黑 Light"/>
        </w:rPr>
      </w:pPr>
    </w:p>
    <w:p w14:paraId="0A91F908">
      <w:pPr>
        <w:rPr>
          <w:rFonts w:ascii="微软雅黑 Light" w:hAnsi="微软雅黑 Light" w:eastAsia="微软雅黑 Light"/>
        </w:rPr>
      </w:pPr>
      <w:r>
        <w:rPr>
          <w:rFonts w:ascii="微软雅黑 Light" w:hAnsi="微软雅黑 Light" w:eastAsia="微软雅黑 Light"/>
        </w:rPr>
        <w:drawing>
          <wp:anchor distT="0" distB="0" distL="0" distR="0" simplePos="0" relativeHeight="251670528" behindDoc="0" locked="0" layoutInCell="1" allowOverlap="1">
            <wp:simplePos x="0" y="0"/>
            <wp:positionH relativeFrom="column">
              <wp:posOffset>85725</wp:posOffset>
            </wp:positionH>
            <wp:positionV relativeFrom="paragraph">
              <wp:posOffset>251460</wp:posOffset>
            </wp:positionV>
            <wp:extent cx="5250180" cy="3063240"/>
            <wp:effectExtent l="0" t="0" r="7620" b="3810"/>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50180" cy="3063240"/>
                    </a:xfrm>
                    <a:prstGeom prst="rect">
                      <a:avLst/>
                    </a:prstGeom>
                    <a:noFill/>
                    <a:ln>
                      <a:noFill/>
                    </a:ln>
                  </pic:spPr>
                </pic:pic>
              </a:graphicData>
            </a:graphic>
          </wp:anchor>
        </w:drawing>
      </w:r>
    </w:p>
    <w:p w14:paraId="47287A9A">
      <w:pPr>
        <w:rPr>
          <w:rFonts w:ascii="微软雅黑 Light" w:hAnsi="微软雅黑 Light" w:eastAsia="微软雅黑 Light"/>
        </w:rPr>
      </w:pPr>
    </w:p>
    <w:p w14:paraId="504738E9">
      <w:pPr>
        <w:rPr>
          <w:rFonts w:ascii="微软雅黑 Light" w:hAnsi="微软雅黑 Light" w:eastAsia="微软雅黑 Light"/>
        </w:rPr>
        <w:sectPr>
          <w:footerReference r:id="rId10" w:type="default"/>
          <w:pgSz w:w="11906" w:h="16838"/>
          <w:pgMar w:top="1418" w:right="1644" w:bottom="1418" w:left="1418" w:header="851" w:footer="992" w:gutter="567"/>
          <w:pgNumType w:fmt="numberInDash"/>
          <w:cols w:space="720" w:num="1"/>
          <w:docGrid w:type="linesAndChars" w:linePitch="312" w:charSpace="0"/>
        </w:sectPr>
      </w:pPr>
    </w:p>
    <w:p w14:paraId="6467FABD">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sz w:val="32"/>
          <w:szCs w:val="32"/>
        </w:rPr>
      </w:pPr>
      <w:bookmarkStart w:id="121" w:name="_Toc223106512"/>
      <w:bookmarkStart w:id="122" w:name="_Toc219557770"/>
      <w:r>
        <w:rPr>
          <w:rFonts w:hint="eastAsia" w:ascii="仿宋_GB2312" w:hAnsi="仿宋_GB2312" w:eastAsia="仿宋_GB2312" w:cs="仿宋_GB2312"/>
          <w:b w:val="0"/>
          <w:bCs w:val="0"/>
          <w:sz w:val="32"/>
          <w:szCs w:val="32"/>
        </w:rPr>
        <w:t>1.4 医师报名</w:t>
      </w:r>
      <w:bookmarkEnd w:id="121"/>
      <w:bookmarkEnd w:id="122"/>
    </w:p>
    <w:p w14:paraId="3E1877B3">
      <w:pPr>
        <w:pStyle w:val="19"/>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进入定期考核-信息管理-医师信息确认页面进行信息确认（标红</w:t>
      </w:r>
      <w:r>
        <w:rPr>
          <w:rFonts w:hint="eastAsia" w:ascii="仿宋_GB2312" w:hAnsi="仿宋_GB2312" w:eastAsia="仿宋_GB2312" w:cs="仿宋_GB2312"/>
          <w:b w:val="0"/>
          <w:bCs w:val="0"/>
          <w:color w:val="FF0000"/>
          <w:sz w:val="32"/>
          <w:szCs w:val="32"/>
        </w:rPr>
        <w:t>*</w:t>
      </w:r>
      <w:r>
        <w:rPr>
          <w:rFonts w:hint="eastAsia" w:ascii="仿宋_GB2312" w:hAnsi="仿宋_GB2312" w:eastAsia="仿宋_GB2312" w:cs="仿宋_GB2312"/>
          <w:b w:val="0"/>
          <w:bCs w:val="0"/>
          <w:sz w:val="32"/>
          <w:szCs w:val="32"/>
        </w:rPr>
        <w:t>处为必填项）</w:t>
      </w:r>
    </w:p>
    <w:p w14:paraId="25EFB887">
      <w:pPr>
        <w:pStyle w:val="19"/>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（1）“个人信息”页</w:t>
      </w:r>
    </w:p>
    <w:p w14:paraId="48050A1F">
      <w:pPr>
        <w:pStyle w:val="19"/>
        <w:ind w:left="0" w:leftChars="0" w:firstLine="0" w:firstLineChars="0"/>
        <w:rPr>
          <w:rFonts w:ascii="微软雅黑 Light" w:hAnsi="微软雅黑 Light" w:eastAsia="微软雅黑 Light"/>
        </w:rPr>
      </w:pPr>
      <w:r>
        <w:rPr>
          <w:rFonts w:ascii="微软雅黑 Light" w:hAnsi="微软雅黑 Light" w:eastAsia="微软雅黑 Light"/>
        </w:rPr>
        <w:drawing>
          <wp:inline distT="0" distB="0" distL="0" distR="0">
            <wp:extent cx="9182100" cy="3406140"/>
            <wp:effectExtent l="0" t="0" r="0" b="3810"/>
            <wp:docPr id="11" name="图片 11" descr="170565427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056542718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182100" cy="3406140"/>
                    </a:xfrm>
                    <a:prstGeom prst="rect">
                      <a:avLst/>
                    </a:prstGeom>
                    <a:noFill/>
                    <a:ln>
                      <a:noFill/>
                    </a:ln>
                  </pic:spPr>
                </pic:pic>
              </a:graphicData>
            </a:graphic>
          </wp:inline>
        </w:drawing>
      </w:r>
    </w:p>
    <w:p w14:paraId="5B9DB548">
      <w:pPr>
        <w:pStyle w:val="19"/>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（2）“执业信息”页</w:t>
      </w:r>
    </w:p>
    <w:p w14:paraId="20285CD8">
      <w:pPr>
        <w:pStyle w:val="19"/>
        <w:ind w:left="0" w:leftChars="0" w:firstLine="0" w:firstLineChars="0"/>
        <w:rPr>
          <w:rFonts w:ascii="微软雅黑 Light" w:hAnsi="微软雅黑 Light" w:eastAsia="微软雅黑 Light"/>
        </w:rPr>
      </w:pPr>
      <w:r>
        <w:rPr>
          <w:rFonts w:ascii="微软雅黑 Light" w:hAnsi="微软雅黑 Light" w:eastAsia="微软雅黑 Light"/>
        </w:rPr>
        <w:drawing>
          <wp:inline distT="0" distB="0" distL="0" distR="0">
            <wp:extent cx="9229725" cy="4681855"/>
            <wp:effectExtent l="0" t="0" r="9525" b="4445"/>
            <wp:docPr id="12" name="图片 12" descr="170565460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056546044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9233193" cy="4683720"/>
                    </a:xfrm>
                    <a:prstGeom prst="rect">
                      <a:avLst/>
                    </a:prstGeom>
                    <a:noFill/>
                    <a:ln>
                      <a:noFill/>
                    </a:ln>
                  </pic:spPr>
                </pic:pic>
              </a:graphicData>
            </a:graphic>
          </wp:inline>
        </w:drawing>
      </w:r>
    </w:p>
    <w:p w14:paraId="693753BE">
      <w:pPr>
        <w:pStyle w:val="19"/>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（3）“多点执业信息”页</w:t>
      </w:r>
    </w:p>
    <w:p w14:paraId="0211D0FB">
      <w:pPr>
        <w:pStyle w:val="19"/>
        <w:ind w:left="0" w:leftChars="0" w:firstLine="0" w:firstLineChars="0"/>
        <w:rPr>
          <w:rFonts w:ascii="微软雅黑 Light" w:hAnsi="微软雅黑 Light" w:eastAsia="微软雅黑 Light"/>
        </w:rPr>
      </w:pPr>
      <w:r>
        <w:rPr>
          <w:rFonts w:ascii="微软雅黑 Light" w:hAnsi="微软雅黑 Light" w:eastAsia="微软雅黑 Light"/>
        </w:rPr>
        <w:drawing>
          <wp:inline distT="0" distB="0" distL="0" distR="0">
            <wp:extent cx="8488680" cy="4678680"/>
            <wp:effectExtent l="0" t="0" r="7620" b="7620"/>
            <wp:docPr id="13" name="图片 13" descr="170565492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056549263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8488680" cy="4678680"/>
                    </a:xfrm>
                    <a:prstGeom prst="rect">
                      <a:avLst/>
                    </a:prstGeom>
                    <a:noFill/>
                    <a:ln>
                      <a:noFill/>
                    </a:ln>
                  </pic:spPr>
                </pic:pic>
              </a:graphicData>
            </a:graphic>
          </wp:inline>
        </w:drawing>
      </w:r>
    </w:p>
    <w:p w14:paraId="0D0AD974">
      <w:pPr>
        <w:pStyle w:val="19"/>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微软雅黑 Light" w:hAnsi="微软雅黑 Light" w:eastAsia="微软雅黑 Light"/>
        </w:rPr>
      </w:pPr>
      <w:r>
        <w:rPr>
          <w:rFonts w:ascii="微软雅黑 Light" w:hAnsi="微软雅黑 Light" w:eastAsia="微软雅黑 Light"/>
        </w:rPr>
        <w:drawing>
          <wp:anchor distT="0" distB="0" distL="0" distR="0" simplePos="0" relativeHeight="251667456" behindDoc="0" locked="0" layoutInCell="1" allowOverlap="1">
            <wp:simplePos x="0" y="0"/>
            <wp:positionH relativeFrom="column">
              <wp:posOffset>523875</wp:posOffset>
            </wp:positionH>
            <wp:positionV relativeFrom="paragraph">
              <wp:posOffset>872490</wp:posOffset>
            </wp:positionV>
            <wp:extent cx="7924800" cy="4185285"/>
            <wp:effectExtent l="0" t="0" r="0" b="5715"/>
            <wp:wrapTopAndBottom/>
            <wp:docPr id="16" name="图片 16" descr="170565508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056550898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7924800" cy="4185285"/>
                    </a:xfrm>
                    <a:prstGeom prst="rect">
                      <a:avLst/>
                    </a:prstGeom>
                    <a:noFill/>
                    <a:ln>
                      <a:noFill/>
                    </a:ln>
                  </pic:spPr>
                </pic:pic>
              </a:graphicData>
            </a:graphic>
          </wp:anchor>
        </w:drawing>
      </w:r>
      <w:r>
        <w:rPr>
          <w:rFonts w:hint="eastAsia" w:ascii="仿宋_GB2312" w:hAnsi="仿宋_GB2312" w:eastAsia="仿宋_GB2312" w:cs="仿宋_GB2312"/>
          <w:spacing w:val="-11"/>
          <w:sz w:val="32"/>
          <w:szCs w:val="32"/>
        </w:rPr>
        <w:t>（4）“简易流程”页，如符合“简易流程”条件，选择“是”，然后据实填写。如不符合“简易流程”条件，选择“否”，进行下一步。</w:t>
      </w:r>
    </w:p>
    <w:p w14:paraId="68118755">
      <w:pPr>
        <w:pStyle w:val="19"/>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（5）“提交成功”提示</w:t>
      </w:r>
    </w:p>
    <w:p w14:paraId="2151940B">
      <w:pPr>
        <w:pStyle w:val="19"/>
        <w:ind w:left="0" w:leftChars="0" w:firstLine="0" w:firstLineChars="0"/>
        <w:rPr>
          <w:rFonts w:ascii="微软雅黑 Light" w:hAnsi="微软雅黑 Light" w:eastAsia="微软雅黑 Light"/>
        </w:rPr>
      </w:pPr>
      <w:r>
        <w:rPr>
          <w:rFonts w:ascii="微软雅黑 Light" w:hAnsi="微软雅黑 Light" w:eastAsia="微软雅黑 Light"/>
        </w:rPr>
        <w:drawing>
          <wp:inline distT="0" distB="0" distL="0" distR="0">
            <wp:extent cx="8831580" cy="3954780"/>
            <wp:effectExtent l="0" t="0" r="7620" b="7620"/>
            <wp:docPr id="25" name="图片 25" descr="170565534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56553408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8831580" cy="3954780"/>
                    </a:xfrm>
                    <a:prstGeom prst="rect">
                      <a:avLst/>
                    </a:prstGeom>
                    <a:noFill/>
                    <a:ln>
                      <a:noFill/>
                    </a:ln>
                  </pic:spPr>
                </pic:pic>
              </a:graphicData>
            </a:graphic>
          </wp:inline>
        </w:drawing>
      </w:r>
    </w:p>
    <w:p w14:paraId="67A18457">
      <w:pPr>
        <w:pStyle w:val="19"/>
        <w:keepNext w:val="0"/>
        <w:keepLines w:val="0"/>
        <w:pageBreakBefore w:val="0"/>
        <w:widowControl w:val="0"/>
        <w:kinsoku/>
        <w:wordWrap/>
        <w:overflowPunct/>
        <w:topLinePunct w:val="0"/>
        <w:autoSpaceDE/>
        <w:autoSpaceDN/>
        <w:bidi w:val="0"/>
        <w:adjustRightInd/>
        <w:snapToGrid/>
        <w:ind w:left="0" w:leftChars="0" w:firstLine="572" w:firstLineChars="200"/>
        <w:textAlignment w:val="auto"/>
        <w:rPr>
          <w:rFonts w:hint="eastAsia" w:ascii="仿宋_GB2312" w:hAnsi="仿宋_GB2312" w:eastAsia="仿宋_GB2312" w:cs="仿宋_GB2312"/>
          <w:spacing w:val="-17"/>
          <w:sz w:val="32"/>
          <w:szCs w:val="32"/>
        </w:rPr>
      </w:pPr>
      <w:r>
        <w:rPr>
          <w:rFonts w:hint="eastAsia" w:ascii="仿宋_GB2312" w:hAnsi="仿宋_GB2312" w:eastAsia="仿宋_GB2312" w:cs="仿宋_GB2312"/>
          <w:spacing w:val="-17"/>
          <w:sz w:val="32"/>
          <w:szCs w:val="32"/>
        </w:rPr>
        <w:t>确认完成后点击【提交】按钮会自动提交个人的考核申请（包括基础信息及报考科目）至医疗机构</w:t>
      </w:r>
    </w:p>
    <w:p w14:paraId="23F3A21E">
      <w:pPr>
        <w:pStyle w:val="4"/>
        <w:tabs>
          <w:tab w:val="left" w:pos="576"/>
          <w:tab w:val="left" w:pos="6000"/>
          <w:tab w:val="clear" w:pos="927"/>
        </w:tabs>
        <w:spacing w:before="260" w:after="260" w:line="416" w:lineRule="auto"/>
        <w:ind w:left="576" w:hanging="576"/>
        <w:rPr>
          <w:rFonts w:ascii="微软雅黑 Light" w:hAnsi="微软雅黑 Light" w:eastAsia="微软雅黑 Light"/>
          <w:b/>
          <w:sz w:val="32"/>
        </w:rPr>
        <w:sectPr>
          <w:pgSz w:w="16838" w:h="11906" w:orient="landscape"/>
          <w:pgMar w:top="1644" w:right="1418" w:bottom="1418" w:left="1418" w:header="851" w:footer="992" w:gutter="567"/>
          <w:pgNumType w:fmt="numberInDash"/>
          <w:cols w:space="720" w:num="1"/>
          <w:docGrid w:type="lines" w:linePitch="312" w:charSpace="0"/>
        </w:sectPr>
      </w:pPr>
    </w:p>
    <w:p w14:paraId="3D4AABA1">
      <w:pPr>
        <w:pStyle w:val="4"/>
        <w:tabs>
          <w:tab w:val="left" w:pos="576"/>
          <w:tab w:val="left" w:pos="6000"/>
          <w:tab w:val="clear" w:pos="927"/>
        </w:tabs>
        <w:spacing w:before="260" w:after="260" w:line="416" w:lineRule="auto"/>
        <w:ind w:left="576" w:hanging="576"/>
        <w:rPr>
          <w:rFonts w:hint="eastAsia" w:ascii="仿宋_GB2312" w:hAnsi="仿宋_GB2312" w:eastAsia="仿宋_GB2312" w:cs="仿宋_GB2312"/>
          <w:b/>
          <w:sz w:val="32"/>
          <w:szCs w:val="32"/>
        </w:rPr>
      </w:pPr>
      <w:bookmarkStart w:id="123" w:name="_Toc223106513"/>
      <w:bookmarkStart w:id="124" w:name="_Toc219557771"/>
      <w:r>
        <w:rPr>
          <w:rFonts w:hint="eastAsia" w:ascii="仿宋_GB2312" w:hAnsi="仿宋_GB2312" w:eastAsia="仿宋_GB2312" w:cs="仿宋_GB2312"/>
          <w:b w:val="0"/>
          <w:bCs w:val="0"/>
          <w:sz w:val="32"/>
          <w:szCs w:val="32"/>
        </w:rPr>
        <w:t>1.5 医师考核信息查询</w:t>
      </w:r>
      <w:bookmarkEnd w:id="123"/>
      <w:bookmarkEnd w:id="124"/>
      <w:r>
        <w:rPr>
          <w:rFonts w:hint="eastAsia" w:ascii="仿宋_GB2312" w:hAnsi="仿宋_GB2312" w:eastAsia="仿宋_GB2312" w:cs="仿宋_GB2312"/>
          <w:b/>
          <w:sz w:val="32"/>
          <w:szCs w:val="32"/>
        </w:rPr>
        <w:tab/>
      </w:r>
    </w:p>
    <w:p w14:paraId="070D98D2">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进入医师考核查询页-可查询各执业地点审核或评定情况，并且可以查询前两届定考年度的考试结果。</w:t>
      </w:r>
    </w:p>
    <w:p w14:paraId="7F8A400A">
      <w:pPr>
        <w:rPr>
          <w:rFonts w:ascii="微软雅黑 Light" w:hAnsi="微软雅黑 Light" w:eastAsia="微软雅黑 Light"/>
        </w:rPr>
      </w:pPr>
      <w:r>
        <w:rPr>
          <w:rFonts w:ascii="微软雅黑 Light" w:hAnsi="微软雅黑 Light" w:eastAsia="微软雅黑 Light"/>
        </w:rPr>
        <w:drawing>
          <wp:inline distT="0" distB="0" distL="0" distR="0">
            <wp:extent cx="8702040" cy="3977640"/>
            <wp:effectExtent l="0" t="0" r="3810" b="3810"/>
            <wp:docPr id="26" name="图片 26" descr="考核信息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考核信息查询"/>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8702040" cy="3977640"/>
                    </a:xfrm>
                    <a:prstGeom prst="rect">
                      <a:avLst/>
                    </a:prstGeom>
                    <a:noFill/>
                    <a:ln>
                      <a:noFill/>
                    </a:ln>
                  </pic:spPr>
                </pic:pic>
              </a:graphicData>
            </a:graphic>
          </wp:inline>
        </w:drawing>
      </w:r>
    </w:p>
    <w:p w14:paraId="17BD02EC">
      <w:pPr>
        <w:rPr>
          <w:rFonts w:ascii="微软雅黑 Light" w:hAnsi="微软雅黑 Light" w:eastAsia="微软雅黑 Light"/>
        </w:rPr>
        <w:sectPr>
          <w:pgSz w:w="16838" w:h="11906" w:orient="landscape"/>
          <w:pgMar w:top="1644" w:right="1418" w:bottom="1418" w:left="1418" w:header="851" w:footer="992" w:gutter="567"/>
          <w:pgNumType w:fmt="numberInDash"/>
          <w:cols w:space="720" w:num="1"/>
          <w:docGrid w:type="lines" w:linePitch="312" w:charSpace="0"/>
        </w:sectPr>
      </w:pPr>
    </w:p>
    <w:p w14:paraId="36E4C8CF">
      <w:pPr>
        <w:pStyle w:val="4"/>
        <w:tabs>
          <w:tab w:val="left" w:pos="576"/>
          <w:tab w:val="left" w:pos="6000"/>
          <w:tab w:val="clear" w:pos="927"/>
        </w:tabs>
        <w:spacing w:before="260" w:after="260" w:line="416" w:lineRule="auto"/>
        <w:ind w:left="576" w:hanging="576"/>
        <w:rPr>
          <w:rFonts w:ascii="微软雅黑 Light" w:hAnsi="微软雅黑 Light" w:eastAsia="微软雅黑 Light"/>
          <w:b/>
          <w:sz w:val="32"/>
        </w:rPr>
      </w:pPr>
      <w:bookmarkStart w:id="125" w:name="_Toc223106514"/>
      <w:bookmarkStart w:id="126" w:name="_Toc219557772"/>
      <w:r>
        <w:rPr>
          <w:rFonts w:hint="eastAsia" w:ascii="仿宋_GB2312" w:hAnsi="仿宋_GB2312" w:eastAsia="仿宋_GB2312" w:cs="仿宋_GB2312"/>
          <w:b w:val="0"/>
          <w:bCs w:val="0"/>
          <w:sz w:val="32"/>
          <w:szCs w:val="32"/>
        </w:rPr>
        <w:t>1.6 用户密码修改</w:t>
      </w:r>
      <w:bookmarkEnd w:id="125"/>
      <w:bookmarkEnd w:id="126"/>
    </w:p>
    <w:p w14:paraId="2A112B10">
      <w:pPr>
        <w:pStyle w:val="19"/>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在输入框中输入新密码并确认后，需要获取手机验证码，并验证后，方可修改成功。</w:t>
      </w:r>
    </w:p>
    <w:p w14:paraId="19E91DF9">
      <w:pPr>
        <w:pStyle w:val="19"/>
        <w:ind w:left="0" w:leftChars="0" w:firstLine="0" w:firstLineChars="0"/>
        <w:rPr>
          <w:rFonts w:ascii="微软雅黑 Light" w:hAnsi="微软雅黑 Light" w:eastAsia="微软雅黑 Light"/>
        </w:rPr>
      </w:pPr>
      <w:r>
        <w:rPr>
          <w:rFonts w:ascii="微软雅黑 Light" w:hAnsi="微软雅黑 Light" w:eastAsia="微软雅黑 Light"/>
        </w:rPr>
        <w:drawing>
          <wp:inline distT="0" distB="0" distL="0" distR="0">
            <wp:extent cx="9403080" cy="3863340"/>
            <wp:effectExtent l="0" t="0" r="7620" b="3810"/>
            <wp:docPr id="28" name="图片 28" descr="17056566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056566001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9403080" cy="3863340"/>
                    </a:xfrm>
                    <a:prstGeom prst="rect">
                      <a:avLst/>
                    </a:prstGeom>
                    <a:noFill/>
                    <a:ln>
                      <a:noFill/>
                    </a:ln>
                  </pic:spPr>
                </pic:pic>
              </a:graphicData>
            </a:graphic>
          </wp:inline>
        </w:drawing>
      </w:r>
    </w:p>
    <w:p w14:paraId="0F015FD7">
      <w:pPr>
        <w:pStyle w:val="4"/>
        <w:tabs>
          <w:tab w:val="left" w:pos="576"/>
          <w:tab w:val="clear" w:pos="927"/>
        </w:tabs>
        <w:spacing w:before="260" w:after="260" w:line="416" w:lineRule="auto"/>
        <w:ind w:left="576" w:hanging="576"/>
        <w:rPr>
          <w:rFonts w:ascii="微软雅黑 Light" w:hAnsi="微软雅黑 Light" w:eastAsia="微软雅黑 Light"/>
          <w:b/>
          <w:sz w:val="32"/>
        </w:rPr>
        <w:sectPr>
          <w:pgSz w:w="16838" w:h="11906" w:orient="landscape"/>
          <w:pgMar w:top="1644" w:right="1418" w:bottom="1418" w:left="1418" w:header="851" w:footer="992" w:gutter="567"/>
          <w:pgNumType w:fmt="numberInDash"/>
          <w:cols w:space="720" w:num="1"/>
          <w:docGrid w:type="lines" w:linePitch="312" w:charSpace="0"/>
        </w:sectPr>
      </w:pPr>
    </w:p>
    <w:p w14:paraId="5016D032">
      <w:pPr>
        <w:pStyle w:val="2"/>
        <w:tabs>
          <w:tab w:val="left" w:pos="432"/>
        </w:tabs>
        <w:spacing w:before="340" w:after="330" w:line="578" w:lineRule="auto"/>
        <w:ind w:left="432" w:hanging="432"/>
        <w:contextualSpacing w:val="0"/>
        <w:jc w:val="both"/>
        <w:rPr>
          <w:rFonts w:ascii="微软雅黑 Light" w:hAnsi="微软雅黑 Light" w:eastAsia="微软雅黑 Light"/>
          <w:b/>
          <w:sz w:val="44"/>
          <w:szCs w:val="44"/>
        </w:rPr>
      </w:pPr>
      <w:bookmarkStart w:id="127" w:name="_Toc223106515"/>
      <w:bookmarkStart w:id="128" w:name="_Toc219557773"/>
      <w:r>
        <w:rPr>
          <w:rFonts w:hint="eastAsia" w:ascii="黑体" w:hAnsi="黑体" w:eastAsia="黑体" w:cs="黑体"/>
          <w:b w:val="0"/>
          <w:bCs w:val="0"/>
          <w:sz w:val="32"/>
          <w:szCs w:val="32"/>
        </w:rPr>
        <w:t>2考核管理</w:t>
      </w:r>
      <w:bookmarkEnd w:id="127"/>
      <w:bookmarkEnd w:id="128"/>
      <w:r>
        <w:rPr>
          <w:rFonts w:hint="eastAsia" w:ascii="黑体" w:hAnsi="黑体" w:eastAsia="黑体" w:cs="黑体"/>
          <w:b w:val="0"/>
          <w:bCs w:val="0"/>
          <w:sz w:val="32"/>
          <w:szCs w:val="32"/>
        </w:rPr>
        <w:t xml:space="preserve"> </w:t>
      </w:r>
      <w:r>
        <w:rPr>
          <w:rFonts w:hint="eastAsia" w:ascii="微软雅黑 Light" w:hAnsi="微软雅黑 Light" w:eastAsia="微软雅黑 Light"/>
          <w:b/>
          <w:sz w:val="44"/>
          <w:szCs w:val="44"/>
        </w:rPr>
        <w:t xml:space="preserve"> </w:t>
      </w:r>
      <w:r>
        <w:rPr>
          <w:rFonts w:ascii="微软雅黑 Light" w:hAnsi="微软雅黑 Light" w:eastAsia="微软雅黑 Light"/>
          <w:b/>
          <w:sz w:val="44"/>
          <w:szCs w:val="44"/>
        </w:rPr>
        <w:t xml:space="preserve"> </w:t>
      </w:r>
    </w:p>
    <w:p w14:paraId="1177433D">
      <w:pPr>
        <w:pStyle w:val="4"/>
        <w:tabs>
          <w:tab w:val="left" w:pos="576"/>
          <w:tab w:val="left" w:pos="6000"/>
          <w:tab w:val="clear" w:pos="927"/>
        </w:tabs>
        <w:spacing w:before="260" w:after="260" w:line="416" w:lineRule="auto"/>
        <w:ind w:left="576" w:hanging="576"/>
        <w:rPr>
          <w:rFonts w:hint="eastAsia" w:ascii="仿宋_GB2312" w:hAnsi="仿宋_GB2312" w:eastAsia="仿宋_GB2312" w:cs="仿宋_GB2312"/>
          <w:b w:val="0"/>
          <w:bCs w:val="0"/>
          <w:sz w:val="32"/>
        </w:rPr>
      </w:pPr>
      <w:bookmarkStart w:id="129" w:name="_Toc219557774"/>
      <w:bookmarkStart w:id="130" w:name="_Toc223106516"/>
      <w:r>
        <w:rPr>
          <w:rFonts w:hint="eastAsia" w:ascii="仿宋_GB2312" w:hAnsi="仿宋_GB2312" w:eastAsia="仿宋_GB2312" w:cs="仿宋_GB2312"/>
          <w:b w:val="0"/>
          <w:bCs w:val="0"/>
          <w:sz w:val="32"/>
        </w:rPr>
        <w:t>2.1进入待参加的考试</w:t>
      </w:r>
      <w:bookmarkEnd w:id="129"/>
      <w:bookmarkEnd w:id="130"/>
    </w:p>
    <w:p w14:paraId="1EE029D1">
      <w:pPr>
        <w:rPr>
          <w:rFonts w:ascii="微软雅黑 Light" w:hAnsi="微软雅黑 Light" w:eastAsia="微软雅黑 Light"/>
        </w:rPr>
      </w:pPr>
      <w:r>
        <w:rPr>
          <w:rFonts w:ascii="微软雅黑 Light" w:hAnsi="微软雅黑 Light" w:eastAsia="微软雅黑 Light"/>
        </w:rPr>
        <w:drawing>
          <wp:anchor distT="0" distB="0" distL="0" distR="0" simplePos="0" relativeHeight="251668480" behindDoc="0" locked="0" layoutInCell="1" allowOverlap="1">
            <wp:simplePos x="0" y="0"/>
            <wp:positionH relativeFrom="column">
              <wp:posOffset>-190500</wp:posOffset>
            </wp:positionH>
            <wp:positionV relativeFrom="paragraph">
              <wp:posOffset>80010</wp:posOffset>
            </wp:positionV>
            <wp:extent cx="5799455" cy="2960370"/>
            <wp:effectExtent l="0" t="0" r="10795" b="11430"/>
            <wp:wrapSquare wrapText="bothSides"/>
            <wp:docPr id="29" name="图片 29" descr="170567536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056753671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799455" cy="2960370"/>
                    </a:xfrm>
                    <a:prstGeom prst="rect">
                      <a:avLst/>
                    </a:prstGeom>
                    <a:noFill/>
                    <a:ln>
                      <a:noFill/>
                    </a:ln>
                  </pic:spPr>
                </pic:pic>
              </a:graphicData>
            </a:graphic>
          </wp:anchor>
        </w:drawing>
      </w:r>
    </w:p>
    <w:p w14:paraId="111F567D">
      <w:pPr>
        <w:rPr>
          <w:rFonts w:ascii="微软雅黑 Light" w:hAnsi="微软雅黑 Light" w:eastAsia="微软雅黑 Light"/>
        </w:rPr>
      </w:pPr>
    </w:p>
    <w:p w14:paraId="0FEA507B">
      <w:pPr>
        <w:pStyle w:val="4"/>
        <w:tabs>
          <w:tab w:val="left" w:pos="576"/>
          <w:tab w:val="left" w:pos="6000"/>
          <w:tab w:val="clear" w:pos="927"/>
        </w:tabs>
        <w:spacing w:before="260" w:after="260" w:line="416" w:lineRule="auto"/>
        <w:ind w:left="576" w:hanging="576"/>
        <w:rPr>
          <w:rFonts w:hint="eastAsia" w:ascii="仿宋_GB2312" w:hAnsi="仿宋_GB2312" w:eastAsia="仿宋_GB2312" w:cs="仿宋_GB2312"/>
          <w:b w:val="0"/>
          <w:bCs w:val="0"/>
          <w:sz w:val="32"/>
        </w:rPr>
      </w:pPr>
      <w:bookmarkStart w:id="131" w:name="_Toc219557775"/>
      <w:bookmarkStart w:id="132" w:name="_Toc223106517"/>
      <w:r>
        <w:rPr>
          <w:rFonts w:hint="eastAsia" w:ascii="仿宋_GB2312" w:hAnsi="仿宋_GB2312" w:eastAsia="仿宋_GB2312" w:cs="仿宋_GB2312"/>
          <w:b w:val="0"/>
          <w:bCs w:val="0"/>
          <w:sz w:val="32"/>
        </w:rPr>
        <w:t>2.2点击参考试</w:t>
      </w:r>
      <w:bookmarkEnd w:id="131"/>
      <w:bookmarkEnd w:id="132"/>
    </w:p>
    <w:p w14:paraId="36E0F151">
      <w:pPr>
        <w:rPr>
          <w:rFonts w:ascii="微软雅黑 Light" w:hAnsi="微软雅黑 Light" w:eastAsia="微软雅黑 Light"/>
        </w:rPr>
      </w:pPr>
      <w:r>
        <w:rPr>
          <w:rFonts w:ascii="微软雅黑 Light" w:hAnsi="微软雅黑 Light" w:eastAsia="微软雅黑 Light"/>
        </w:rPr>
        <w:drawing>
          <wp:anchor distT="0" distB="0" distL="0" distR="0" simplePos="0" relativeHeight="251671552" behindDoc="0" locked="0" layoutInCell="1" allowOverlap="1">
            <wp:simplePos x="0" y="0"/>
            <wp:positionH relativeFrom="column">
              <wp:posOffset>-133350</wp:posOffset>
            </wp:positionH>
            <wp:positionV relativeFrom="paragraph">
              <wp:posOffset>15240</wp:posOffset>
            </wp:positionV>
            <wp:extent cx="5761990" cy="2978785"/>
            <wp:effectExtent l="0" t="0" r="10160" b="12065"/>
            <wp:wrapTopAndBottom/>
            <wp:docPr id="30" name="图片 30" descr="170567558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056755869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761990" cy="2978785"/>
                    </a:xfrm>
                    <a:prstGeom prst="rect">
                      <a:avLst/>
                    </a:prstGeom>
                    <a:noFill/>
                    <a:ln>
                      <a:noFill/>
                    </a:ln>
                  </pic:spPr>
                </pic:pic>
              </a:graphicData>
            </a:graphic>
          </wp:anchor>
        </w:drawing>
      </w:r>
    </w:p>
    <w:p w14:paraId="0055DDAC">
      <w:pPr>
        <w:rPr>
          <w:rFonts w:ascii="微软雅黑 Light" w:hAnsi="微软雅黑 Light" w:eastAsia="微软雅黑 Light"/>
        </w:rPr>
      </w:pPr>
    </w:p>
    <w:p w14:paraId="71C78D56">
      <w:pPr>
        <w:pStyle w:val="4"/>
        <w:tabs>
          <w:tab w:val="left" w:pos="576"/>
          <w:tab w:val="left" w:pos="6000"/>
          <w:tab w:val="clear" w:pos="927"/>
        </w:tabs>
        <w:spacing w:before="260" w:after="260" w:line="416" w:lineRule="auto"/>
        <w:ind w:left="576" w:hanging="576"/>
        <w:rPr>
          <w:rFonts w:hint="eastAsia" w:ascii="仿宋_GB2312" w:hAnsi="仿宋_GB2312" w:eastAsia="仿宋_GB2312" w:cs="仿宋_GB2312"/>
          <w:b w:val="0"/>
          <w:bCs w:val="0"/>
          <w:sz w:val="32"/>
        </w:rPr>
      </w:pPr>
      <w:bookmarkStart w:id="133" w:name="_Toc219557776"/>
      <w:bookmarkStart w:id="134" w:name="_Toc223106518"/>
    </w:p>
    <w:p w14:paraId="0BF0F444">
      <w:pPr>
        <w:pStyle w:val="4"/>
        <w:tabs>
          <w:tab w:val="left" w:pos="576"/>
          <w:tab w:val="left" w:pos="6000"/>
          <w:tab w:val="clear" w:pos="927"/>
        </w:tabs>
        <w:spacing w:before="260" w:after="260" w:line="416" w:lineRule="auto"/>
        <w:ind w:left="576" w:hanging="576"/>
        <w:rPr>
          <w:rFonts w:hint="eastAsia" w:ascii="仿宋_GB2312" w:hAnsi="仿宋_GB2312" w:eastAsia="仿宋_GB2312" w:cs="仿宋_GB2312"/>
          <w:b w:val="0"/>
          <w:bCs w:val="0"/>
          <w:sz w:val="32"/>
        </w:rPr>
      </w:pPr>
      <w:r>
        <w:rPr>
          <w:rFonts w:hint="eastAsia" w:ascii="仿宋_GB2312" w:hAnsi="仿宋_GB2312" w:eastAsia="仿宋_GB2312" w:cs="仿宋_GB2312"/>
          <w:b w:val="0"/>
          <w:bCs w:val="0"/>
          <w:sz w:val="32"/>
        </w:rPr>
        <w:t>2.3点击开始考试并答题</w:t>
      </w:r>
      <w:bookmarkEnd w:id="133"/>
      <w:bookmarkEnd w:id="134"/>
    </w:p>
    <w:p w14:paraId="19976CCD">
      <w:pPr>
        <w:pStyle w:val="4"/>
        <w:keepNext/>
        <w:keepLines/>
        <w:pageBreakBefore w:val="0"/>
        <w:widowControl w:val="0"/>
        <w:tabs>
          <w:tab w:val="left" w:pos="576"/>
          <w:tab w:val="left" w:pos="6000"/>
          <w:tab w:val="clear" w:pos="927"/>
        </w:tabs>
        <w:kinsoku/>
        <w:wordWrap/>
        <w:overflowPunct/>
        <w:topLinePunct w:val="0"/>
        <w:autoSpaceDE/>
        <w:autoSpaceDN/>
        <w:bidi w:val="0"/>
        <w:adjustRightInd/>
        <w:snapToGrid/>
        <w:spacing w:before="260" w:after="260" w:line="416" w:lineRule="auto"/>
        <w:ind w:left="0" w:firstLine="640" w:firstLineChars="200"/>
        <w:textAlignment w:val="auto"/>
        <w:rPr>
          <w:rFonts w:hint="eastAsia" w:ascii="仿宋_GB2312" w:hAnsi="仿宋_GB2312" w:eastAsia="仿宋_GB2312" w:cs="仿宋_GB2312"/>
          <w:b w:val="0"/>
          <w:bCs w:val="0"/>
          <w:sz w:val="32"/>
        </w:rPr>
      </w:pPr>
      <w:r>
        <w:rPr>
          <w:rFonts w:hint="eastAsia" w:ascii="仿宋_GB2312" w:hAnsi="仿宋_GB2312" w:eastAsia="仿宋_GB2312" w:cs="仿宋_GB2312"/>
          <w:b w:val="0"/>
          <w:bCs w:val="0"/>
          <w:sz w:val="32"/>
        </w:rPr>
        <w:t>首先出现法律法规试题，通过后出现专业题。</w:t>
      </w:r>
    </w:p>
    <w:p w14:paraId="52702A0A">
      <w:pPr>
        <w:pStyle w:val="19"/>
        <w:ind w:left="0" w:leftChars="0" w:firstLine="0" w:firstLineChars="0"/>
        <w:rPr>
          <w:rFonts w:ascii="微软雅黑 Light" w:hAnsi="微软雅黑 Light" w:eastAsia="微软雅黑 Light"/>
        </w:rPr>
      </w:pPr>
      <w:r>
        <w:rPr>
          <w:rFonts w:ascii="微软雅黑 Light" w:hAnsi="微软雅黑 Light" w:eastAsia="微软雅黑 Light"/>
        </w:rPr>
        <w:drawing>
          <wp:anchor distT="0" distB="0" distL="0" distR="0" simplePos="0" relativeHeight="251672576" behindDoc="0" locked="0" layoutInCell="1" allowOverlap="1">
            <wp:simplePos x="0" y="0"/>
            <wp:positionH relativeFrom="column">
              <wp:posOffset>-390525</wp:posOffset>
            </wp:positionH>
            <wp:positionV relativeFrom="paragraph">
              <wp:posOffset>66675</wp:posOffset>
            </wp:positionV>
            <wp:extent cx="5913120" cy="3840480"/>
            <wp:effectExtent l="0" t="0" r="11430" b="7620"/>
            <wp:wrapTopAndBottom/>
            <wp:docPr id="31" name="图片 31" descr="170567571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056757122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13120" cy="3840480"/>
                    </a:xfrm>
                    <a:prstGeom prst="rect">
                      <a:avLst/>
                    </a:prstGeom>
                    <a:noFill/>
                    <a:ln>
                      <a:noFill/>
                    </a:ln>
                  </pic:spPr>
                </pic:pic>
              </a:graphicData>
            </a:graphic>
          </wp:anchor>
        </w:drawing>
      </w:r>
    </w:p>
    <w:p w14:paraId="1904E626">
      <w:pPr>
        <w:pStyle w:val="4"/>
        <w:tabs>
          <w:tab w:val="left" w:pos="576"/>
          <w:tab w:val="left" w:pos="6000"/>
          <w:tab w:val="clear" w:pos="927"/>
        </w:tabs>
        <w:spacing w:before="260" w:after="260" w:line="416" w:lineRule="auto"/>
        <w:ind w:left="576" w:hanging="576"/>
        <w:rPr>
          <w:rFonts w:hint="eastAsia" w:ascii="仿宋_GB2312" w:hAnsi="仿宋_GB2312" w:eastAsia="仿宋_GB2312" w:cs="仿宋_GB2312"/>
          <w:b w:val="0"/>
          <w:bCs w:val="0"/>
          <w:sz w:val="32"/>
        </w:rPr>
      </w:pPr>
      <w:bookmarkStart w:id="135" w:name="_Toc219557777"/>
      <w:bookmarkStart w:id="136" w:name="_Toc223106519"/>
      <w:r>
        <w:rPr>
          <w:rFonts w:hint="eastAsia" w:ascii="仿宋_GB2312" w:hAnsi="仿宋_GB2312" w:eastAsia="仿宋_GB2312" w:cs="仿宋_GB2312"/>
          <w:b w:val="0"/>
          <w:bCs w:val="0"/>
          <w:sz w:val="32"/>
        </w:rPr>
        <w:t>2.4点击提交试卷后有以下提示</w:t>
      </w:r>
      <w:bookmarkEnd w:id="135"/>
      <w:bookmarkEnd w:id="136"/>
    </w:p>
    <w:p w14:paraId="06C7225C">
      <w:pPr>
        <w:rPr>
          <w:rFonts w:ascii="微软雅黑 Light" w:hAnsi="微软雅黑 Light" w:eastAsia="微软雅黑 Light"/>
        </w:rPr>
      </w:pPr>
      <w:r>
        <w:rPr>
          <w:rFonts w:ascii="微软雅黑 Light" w:hAnsi="微软雅黑 Light" w:eastAsia="微软雅黑 Light"/>
        </w:rPr>
        <w:drawing>
          <wp:inline distT="0" distB="0" distL="0" distR="0">
            <wp:extent cx="5250180" cy="2750820"/>
            <wp:effectExtent l="0" t="0" r="7620" b="1143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50180" cy="2750820"/>
                    </a:xfrm>
                    <a:prstGeom prst="rect">
                      <a:avLst/>
                    </a:prstGeom>
                    <a:noFill/>
                    <a:ln>
                      <a:noFill/>
                    </a:ln>
                  </pic:spPr>
                </pic:pic>
              </a:graphicData>
            </a:graphic>
          </wp:inline>
        </w:drawing>
      </w:r>
    </w:p>
    <w:p w14:paraId="1EA67091">
      <w:pPr>
        <w:pStyle w:val="4"/>
        <w:keepNext/>
        <w:keepLines/>
        <w:pageBreakBefore w:val="0"/>
        <w:widowControl w:val="0"/>
        <w:tabs>
          <w:tab w:val="left" w:pos="576"/>
          <w:tab w:val="left" w:pos="6000"/>
          <w:tab w:val="clear" w:pos="927"/>
        </w:tabs>
        <w:kinsoku/>
        <w:wordWrap/>
        <w:overflowPunct/>
        <w:topLinePunct w:val="0"/>
        <w:autoSpaceDE/>
        <w:autoSpaceDN/>
        <w:bidi w:val="0"/>
        <w:adjustRightInd/>
        <w:snapToGrid/>
        <w:spacing w:before="260" w:after="260" w:line="416" w:lineRule="auto"/>
        <w:ind w:left="0" w:firstLine="640" w:firstLineChars="200"/>
        <w:textAlignment w:val="auto"/>
        <w:rPr>
          <w:rFonts w:hint="eastAsia" w:ascii="仿宋_GB2312" w:hAnsi="仿宋_GB2312" w:eastAsia="仿宋_GB2312" w:cs="仿宋_GB2312"/>
          <w:b w:val="0"/>
          <w:bCs w:val="0"/>
          <w:sz w:val="32"/>
        </w:rPr>
      </w:pPr>
      <w:r>
        <w:rPr>
          <w:rFonts w:hint="eastAsia" w:ascii="仿宋_GB2312" w:hAnsi="仿宋_GB2312" w:eastAsia="仿宋_GB2312" w:cs="仿宋_GB2312"/>
          <w:b w:val="0"/>
          <w:bCs w:val="0"/>
          <w:sz w:val="32"/>
        </w:rPr>
        <w:t>注：在“已完成的考试”中可查看已经完成的考试，在“待参加的练习”中可进行法律法规练习题练习。</w:t>
      </w:r>
    </w:p>
    <w:p w14:paraId="41A61880">
      <w:pPr>
        <w:pStyle w:val="2"/>
        <w:numPr>
          <w:ilvl w:val="0"/>
          <w:numId w:val="0"/>
        </w:numPr>
        <w:tabs>
          <w:tab w:val="left" w:pos="432"/>
        </w:tabs>
        <w:spacing w:before="340" w:after="330" w:line="578" w:lineRule="auto"/>
        <w:ind w:leftChars="0"/>
        <w:contextualSpacing w:val="0"/>
        <w:jc w:val="both"/>
        <w:rPr>
          <w:rFonts w:hint="eastAsia" w:ascii="黑体" w:hAnsi="黑体" w:eastAsia="黑体" w:cs="黑体"/>
          <w:b w:val="0"/>
          <w:bCs w:val="0"/>
          <w:sz w:val="32"/>
          <w:szCs w:val="32"/>
        </w:rPr>
      </w:pPr>
      <w:bookmarkStart w:id="137" w:name="_Toc223106520"/>
      <w:bookmarkStart w:id="138" w:name="_Toc219557778"/>
      <w:bookmarkStart w:id="139" w:name="_Toc55796184"/>
      <w:r>
        <w:rPr>
          <w:rFonts w:hint="eastAsia" w:ascii="黑体" w:hAnsi="黑体" w:eastAsia="黑体" w:cs="黑体"/>
          <w:b w:val="0"/>
          <w:bCs w:val="0"/>
          <w:sz w:val="32"/>
          <w:szCs w:val="32"/>
          <w:lang w:val="en-US" w:eastAsia="zh-CN"/>
        </w:rPr>
        <w:t>3</w:t>
      </w:r>
      <w:r>
        <w:rPr>
          <w:rFonts w:hint="eastAsia" w:ascii="黑体" w:hAnsi="黑体" w:eastAsia="黑体" w:cs="黑体"/>
          <w:b w:val="0"/>
          <w:bCs w:val="0"/>
          <w:sz w:val="32"/>
          <w:szCs w:val="32"/>
        </w:rPr>
        <w:t>常见问题解答</w:t>
      </w:r>
      <w:bookmarkEnd w:id="137"/>
      <w:bookmarkEnd w:id="138"/>
    </w:p>
    <w:p w14:paraId="6B27A239">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kern w:val="0"/>
          <w:sz w:val="32"/>
          <w:szCs w:val="32"/>
        </w:rPr>
      </w:pPr>
      <w:bookmarkStart w:id="140" w:name="_Toc223106521"/>
      <w:bookmarkStart w:id="141" w:name="_Toc219557779"/>
      <w:r>
        <w:rPr>
          <w:rFonts w:hint="eastAsia" w:ascii="仿宋_GB2312" w:hAnsi="仿宋_GB2312" w:eastAsia="仿宋_GB2312" w:cs="仿宋_GB2312"/>
          <w:b w:val="0"/>
          <w:bCs w:val="0"/>
          <w:sz w:val="32"/>
          <w:szCs w:val="32"/>
        </w:rPr>
        <w:t>3.1 医师输入登录账号和密码后无法登录</w:t>
      </w:r>
      <w:bookmarkEnd w:id="140"/>
      <w:bookmarkEnd w:id="141"/>
    </w:p>
    <w:p w14:paraId="4D6F052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医师如第一次登录定考系统，账号为医师执业证上的身份证号或其他证件编码，密码为账号后六位*（星号）Dk（D大写，k小写），如果输入的账号密码均正确但显示被隐藏，请联系机构解除隐藏。</w:t>
      </w:r>
    </w:p>
    <w:bookmarkEnd w:id="139"/>
    <w:p w14:paraId="5AD439D7">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sz w:val="32"/>
        </w:rPr>
      </w:pPr>
      <w:bookmarkStart w:id="142" w:name="_Toc219557780"/>
      <w:bookmarkStart w:id="143" w:name="_Toc223106522"/>
      <w:r>
        <w:rPr>
          <w:rFonts w:hint="eastAsia" w:ascii="仿宋_GB2312" w:hAnsi="仿宋_GB2312" w:eastAsia="仿宋_GB2312" w:cs="仿宋_GB2312"/>
          <w:b w:val="0"/>
          <w:bCs w:val="0"/>
          <w:sz w:val="32"/>
        </w:rPr>
        <w:t>3.2 忘记密码无法通过绑定的手机号找回？</w:t>
      </w:r>
      <w:bookmarkEnd w:id="142"/>
      <w:bookmarkEnd w:id="143"/>
    </w:p>
    <w:p w14:paraId="1E04084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医师如果忘记密码且不能通过发送验证码的方式找回，请联系单位进行医师密码初始化。</w:t>
      </w:r>
    </w:p>
    <w:p w14:paraId="4377C435">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sz w:val="32"/>
          <w:szCs w:val="32"/>
        </w:rPr>
      </w:pPr>
      <w:bookmarkStart w:id="144" w:name="_Toc223106523"/>
      <w:bookmarkStart w:id="145" w:name="_Toc219557781"/>
      <w:r>
        <w:rPr>
          <w:rFonts w:hint="eastAsia" w:ascii="仿宋_GB2312" w:hAnsi="仿宋_GB2312" w:eastAsia="仿宋_GB2312" w:cs="仿宋_GB2312"/>
          <w:b w:val="0"/>
          <w:bCs w:val="0"/>
          <w:sz w:val="32"/>
          <w:szCs w:val="32"/>
        </w:rPr>
        <w:t>3.3 医师报名过后发现专业报错了？</w:t>
      </w:r>
      <w:bookmarkEnd w:id="144"/>
      <w:bookmarkEnd w:id="145"/>
    </w:p>
    <w:p w14:paraId="67A72EB3">
      <w:pPr>
        <w:pStyle w:val="20"/>
        <w:ind w:firstLine="729" w:firstLineChars="228"/>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如果在报名过后，发现报考专业有误请联系单位处理。</w:t>
      </w:r>
    </w:p>
    <w:p w14:paraId="393AE8CC">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sz w:val="32"/>
          <w:szCs w:val="32"/>
        </w:rPr>
      </w:pPr>
      <w:bookmarkStart w:id="146" w:name="_Toc219557782"/>
      <w:bookmarkStart w:id="147" w:name="_Toc223106524"/>
      <w:r>
        <w:rPr>
          <w:rFonts w:hint="eastAsia" w:ascii="仿宋_GB2312" w:hAnsi="仿宋_GB2312" w:eastAsia="仿宋_GB2312" w:cs="仿宋_GB2312"/>
          <w:b w:val="0"/>
          <w:bCs w:val="0"/>
          <w:sz w:val="32"/>
          <w:szCs w:val="32"/>
        </w:rPr>
        <w:t>3.4 医师发现自己的多点执业地点有问题？</w:t>
      </w:r>
      <w:bookmarkEnd w:id="146"/>
      <w:bookmarkEnd w:id="147"/>
    </w:p>
    <w:p w14:paraId="039B6DE4">
      <w:pPr>
        <w:pStyle w:val="20"/>
        <w:ind w:firstLine="729" w:firstLineChars="228"/>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对多点执业信息有疑问，请在医师电子化注册系统调整多点执业信息。</w:t>
      </w:r>
    </w:p>
    <w:p w14:paraId="201F325F">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sz w:val="32"/>
          <w:szCs w:val="32"/>
        </w:rPr>
      </w:pPr>
      <w:bookmarkStart w:id="148" w:name="_Toc219557783"/>
      <w:bookmarkStart w:id="149" w:name="_Toc223106525"/>
      <w:r>
        <w:rPr>
          <w:rFonts w:hint="eastAsia" w:ascii="仿宋_GB2312" w:hAnsi="仿宋_GB2312" w:eastAsia="仿宋_GB2312" w:cs="仿宋_GB2312"/>
          <w:b w:val="0"/>
          <w:bCs w:val="0"/>
          <w:sz w:val="32"/>
          <w:szCs w:val="32"/>
        </w:rPr>
        <w:t>3.5 考试完成后发现考核成绩有问题？</w:t>
      </w:r>
      <w:bookmarkEnd w:id="148"/>
      <w:bookmarkEnd w:id="149"/>
    </w:p>
    <w:p w14:paraId="692C5FB9">
      <w:pPr>
        <w:pStyle w:val="20"/>
        <w:ind w:firstLine="729" w:firstLineChars="228"/>
        <w:rPr>
          <w:rFonts w:ascii="微软雅黑 Light" w:hAnsi="微软雅黑 Light" w:eastAsia="微软雅黑 Light"/>
          <w:sz w:val="21"/>
          <w:szCs w:val="21"/>
        </w:rPr>
      </w:pPr>
      <w:r>
        <w:rPr>
          <w:rFonts w:hint="eastAsia" w:ascii="仿宋_GB2312" w:hAnsi="仿宋_GB2312" w:eastAsia="仿宋_GB2312" w:cs="仿宋_GB2312"/>
          <w:b w:val="0"/>
          <w:bCs w:val="0"/>
          <w:sz w:val="32"/>
          <w:szCs w:val="32"/>
        </w:rPr>
        <w:t>如果发现考核成绩有问题请联系所在区的定期考核办公室处理。</w:t>
      </w:r>
    </w:p>
    <w:p w14:paraId="4FFA02E1">
      <w:pPr>
        <w:pStyle w:val="20"/>
        <w:ind w:firstLine="0" w:firstLineChars="0"/>
        <w:rPr>
          <w:rFonts w:ascii="微软雅黑 Light" w:hAnsi="微软雅黑 Light" w:eastAsia="微软雅黑 Light"/>
          <w:szCs w:val="24"/>
        </w:rPr>
      </w:pPr>
    </w:p>
    <w:p w14:paraId="5ECACC12">
      <w:pPr>
        <w:jc w:val="center"/>
        <w:rPr>
          <w:rFonts w:hint="default" w:ascii="方正小标宋简体" w:hAnsi="方正小标宋简体" w:eastAsia="方正小标宋简体" w:cs="方正小标宋简体"/>
          <w:sz w:val="44"/>
          <w:szCs w:val="44"/>
          <w:lang w:val="en-US" w:eastAsia="zh-CN"/>
        </w:rPr>
      </w:pPr>
    </w:p>
    <w:sectPr>
      <w:pgSz w:w="11906" w:h="16838"/>
      <w:pgMar w:top="1418" w:right="1644" w:bottom="1418" w:left="1418" w:header="851" w:footer="992" w:gutter="567"/>
      <w:pgNumType w:fmt="numberInDash"/>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微软雅黑 Light">
    <w:panose1 w:val="020B0502040204020203"/>
    <w:charset w:val="86"/>
    <w:family w:val="swiss"/>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DC4B6">
    <w:pPr>
      <w:pStyle w:val="6"/>
      <w:jc w:val="right"/>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2A996">
                          <w:pPr>
                            <w:pStyle w:val="6"/>
                            <w:jc w:val="right"/>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FE2A996">
                    <w:pPr>
                      <w:pStyle w:val="6"/>
                      <w:jc w:val="right"/>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txbxContent>
              </v:textbox>
            </v:shape>
          </w:pict>
        </mc:Fallback>
      </mc:AlternateContent>
    </w:r>
  </w:p>
  <w:p w14:paraId="0E567B16">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6DB53">
    <w:pPr>
      <w:pStyle w:val="6"/>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p w14:paraId="05484C21">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4C8E6">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EDA8D">
    <w:pPr>
      <w:pStyle w:val="6"/>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90EF2">
                          <w:pPr>
                            <w:pStyle w:val="6"/>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13090EF2">
                    <w:pPr>
                      <w:pStyle w:val="6"/>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4B41D">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D6132">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563D1E"/>
    <w:multiLevelType w:val="multilevel"/>
    <w:tmpl w:val="15563D1E"/>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55A5642C"/>
    <w:multiLevelType w:val="multilevel"/>
    <w:tmpl w:val="55A5642C"/>
    <w:lvl w:ilvl="0" w:tentative="0">
      <w:start w:val="1"/>
      <w:numFmt w:val="bullet"/>
      <w:lvlText w:val=""/>
      <w:lvlJc w:val="left"/>
      <w:pPr>
        <w:ind w:left="912" w:hanging="420"/>
      </w:pPr>
      <w:rPr>
        <w:rFonts w:hint="default" w:ascii="Wingdings" w:hAnsi="Wingdings"/>
      </w:rPr>
    </w:lvl>
    <w:lvl w:ilvl="1" w:tentative="0">
      <w:start w:val="1"/>
      <w:numFmt w:val="bullet"/>
      <w:lvlText w:val=""/>
      <w:lvlJc w:val="left"/>
      <w:pPr>
        <w:ind w:left="1332" w:hanging="420"/>
      </w:pPr>
      <w:rPr>
        <w:rFonts w:hint="default" w:ascii="Wingdings" w:hAnsi="Wingdings"/>
      </w:rPr>
    </w:lvl>
    <w:lvl w:ilvl="2" w:tentative="0">
      <w:start w:val="1"/>
      <w:numFmt w:val="bullet"/>
      <w:lvlText w:val=""/>
      <w:lvlJc w:val="left"/>
      <w:pPr>
        <w:ind w:left="1752" w:hanging="420"/>
      </w:pPr>
      <w:rPr>
        <w:rFonts w:hint="default" w:ascii="Wingdings" w:hAnsi="Wingdings"/>
      </w:rPr>
    </w:lvl>
    <w:lvl w:ilvl="3" w:tentative="0">
      <w:start w:val="1"/>
      <w:numFmt w:val="bullet"/>
      <w:lvlText w:val=""/>
      <w:lvlJc w:val="left"/>
      <w:pPr>
        <w:ind w:left="2172" w:hanging="420"/>
      </w:pPr>
      <w:rPr>
        <w:rFonts w:hint="default" w:ascii="Wingdings" w:hAnsi="Wingdings"/>
      </w:rPr>
    </w:lvl>
    <w:lvl w:ilvl="4" w:tentative="0">
      <w:start w:val="1"/>
      <w:numFmt w:val="bullet"/>
      <w:lvlText w:val=""/>
      <w:lvlJc w:val="left"/>
      <w:pPr>
        <w:ind w:left="2592" w:hanging="420"/>
      </w:pPr>
      <w:rPr>
        <w:rFonts w:hint="default" w:ascii="Wingdings" w:hAnsi="Wingdings"/>
      </w:rPr>
    </w:lvl>
    <w:lvl w:ilvl="5" w:tentative="0">
      <w:start w:val="1"/>
      <w:numFmt w:val="bullet"/>
      <w:lvlText w:val=""/>
      <w:lvlJc w:val="left"/>
      <w:pPr>
        <w:ind w:left="3012" w:hanging="420"/>
      </w:pPr>
      <w:rPr>
        <w:rFonts w:hint="default" w:ascii="Wingdings" w:hAnsi="Wingdings"/>
      </w:rPr>
    </w:lvl>
    <w:lvl w:ilvl="6" w:tentative="0">
      <w:start w:val="1"/>
      <w:numFmt w:val="bullet"/>
      <w:lvlText w:val=""/>
      <w:lvlJc w:val="left"/>
      <w:pPr>
        <w:ind w:left="3432" w:hanging="420"/>
      </w:pPr>
      <w:rPr>
        <w:rFonts w:hint="default" w:ascii="Wingdings" w:hAnsi="Wingdings"/>
      </w:rPr>
    </w:lvl>
    <w:lvl w:ilvl="7" w:tentative="0">
      <w:start w:val="1"/>
      <w:numFmt w:val="bullet"/>
      <w:lvlText w:val=""/>
      <w:lvlJc w:val="left"/>
      <w:pPr>
        <w:ind w:left="3852" w:hanging="420"/>
      </w:pPr>
      <w:rPr>
        <w:rFonts w:hint="default" w:ascii="Wingdings" w:hAnsi="Wingdings"/>
      </w:rPr>
    </w:lvl>
    <w:lvl w:ilvl="8" w:tentative="0">
      <w:start w:val="1"/>
      <w:numFmt w:val="bullet"/>
      <w:lvlText w:val=""/>
      <w:lvlJc w:val="left"/>
      <w:pPr>
        <w:ind w:left="4272"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080"/>
    <w:rsid w:val="000D29CF"/>
    <w:rsid w:val="00153D42"/>
    <w:rsid w:val="00225080"/>
    <w:rsid w:val="00374422"/>
    <w:rsid w:val="00432871"/>
    <w:rsid w:val="00441C9C"/>
    <w:rsid w:val="005D0357"/>
    <w:rsid w:val="006C55F9"/>
    <w:rsid w:val="00AD2A93"/>
    <w:rsid w:val="00B667EA"/>
    <w:rsid w:val="00D50F5F"/>
    <w:rsid w:val="00ED417B"/>
    <w:rsid w:val="00F42E88"/>
    <w:rsid w:val="12D7516B"/>
    <w:rsid w:val="148918CA"/>
    <w:rsid w:val="16AF44BA"/>
    <w:rsid w:val="17EC3347"/>
    <w:rsid w:val="195B09F9"/>
    <w:rsid w:val="1A913B40"/>
    <w:rsid w:val="1C4638DE"/>
    <w:rsid w:val="1CB96EE3"/>
    <w:rsid w:val="1E3247BD"/>
    <w:rsid w:val="1FB83DFF"/>
    <w:rsid w:val="1FBA0BE9"/>
    <w:rsid w:val="29457F90"/>
    <w:rsid w:val="2ACE2C5F"/>
    <w:rsid w:val="2B306671"/>
    <w:rsid w:val="341C1D3C"/>
    <w:rsid w:val="3E3F5600"/>
    <w:rsid w:val="470F29D4"/>
    <w:rsid w:val="48CD13FB"/>
    <w:rsid w:val="4A833206"/>
    <w:rsid w:val="4E1B0B2E"/>
    <w:rsid w:val="52E56AC0"/>
    <w:rsid w:val="53F356D4"/>
    <w:rsid w:val="5AE61ECA"/>
    <w:rsid w:val="5E1B54D1"/>
    <w:rsid w:val="6519721E"/>
    <w:rsid w:val="669E41EB"/>
    <w:rsid w:val="6C3139EB"/>
    <w:rsid w:val="6DFD5DE9"/>
    <w:rsid w:val="6FE06723"/>
    <w:rsid w:val="711853D5"/>
    <w:rsid w:val="747C1419"/>
    <w:rsid w:val="7ABC2DDB"/>
    <w:rsid w:val="7D365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ind w:firstLine="0" w:firstLineChars="0"/>
      <w:jc w:val="both"/>
    </w:pPr>
    <w:rPr>
      <w:rFonts w:ascii="Times New Roman" w:hAnsi="Times New Roman" w:eastAsia="宋体" w:cs="Times New Roman"/>
      <w:kern w:val="2"/>
      <w:sz w:val="21"/>
      <w:szCs w:val="24"/>
      <w:lang w:val="en-US" w:eastAsia="zh-CN" w:bidi="ar-SA"/>
    </w:rPr>
  </w:style>
  <w:style w:type="paragraph" w:styleId="2">
    <w:name w:val="heading 1"/>
    <w:basedOn w:val="1"/>
    <w:next w:val="3"/>
    <w:qFormat/>
    <w:uiPriority w:val="0"/>
    <w:pPr>
      <w:keepNext/>
      <w:keepLines/>
      <w:spacing w:before="160" w:after="160" w:line="360" w:lineRule="auto"/>
      <w:contextualSpacing/>
      <w:jc w:val="left"/>
      <w:outlineLvl w:val="0"/>
    </w:pPr>
    <w:rPr>
      <w:rFonts w:ascii="Arial" w:hAnsi="Arial" w:eastAsia="黑体"/>
      <w:bCs/>
      <w:kern w:val="44"/>
      <w:sz w:val="36"/>
      <w:szCs w:val="36"/>
    </w:rPr>
  </w:style>
  <w:style w:type="paragraph" w:styleId="4">
    <w:name w:val="heading 2"/>
    <w:basedOn w:val="1"/>
    <w:next w:val="1"/>
    <w:qFormat/>
    <w:uiPriority w:val="0"/>
    <w:pPr>
      <w:keepNext/>
      <w:keepLines/>
      <w:tabs>
        <w:tab w:val="left" w:pos="927"/>
      </w:tabs>
      <w:spacing w:before="160" w:after="160"/>
      <w:outlineLvl w:val="1"/>
    </w:pPr>
    <w:rPr>
      <w:rFonts w:ascii="Arial" w:hAnsi="Arial" w:eastAsia="黑体"/>
      <w:bCs/>
      <w:sz w:val="30"/>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0"/>
    <w:pPr>
      <w:spacing w:after="120"/>
      <w:ind w:left="100" w:leftChars="100" w:firstLine="200" w:firstLineChars="200"/>
    </w:pPr>
  </w:style>
  <w:style w:type="paragraph" w:styleId="5">
    <w:name w:val="Balloon Text"/>
    <w:basedOn w:val="1"/>
    <w:link w:val="15"/>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pPr>
      <w:tabs>
        <w:tab w:val="left" w:pos="420"/>
        <w:tab w:val="right" w:leader="dot" w:pos="8493"/>
      </w:tabs>
      <w:spacing w:before="120" w:after="120" w:line="360" w:lineRule="auto"/>
      <w:ind w:left="420" w:leftChars="200"/>
    </w:pPr>
    <w:rPr>
      <w:b/>
      <w:bCs/>
      <w:caps/>
      <w:sz w:val="28"/>
      <w:szCs w:val="20"/>
    </w:rPr>
  </w:style>
  <w:style w:type="paragraph" w:styleId="9">
    <w:name w:val="toc 2"/>
    <w:basedOn w:val="1"/>
    <w:next w:val="1"/>
    <w:qFormat/>
    <w:uiPriority w:val="39"/>
    <w:pPr>
      <w:tabs>
        <w:tab w:val="left" w:pos="840"/>
        <w:tab w:val="right" w:leader="dot" w:pos="8493"/>
      </w:tabs>
      <w:ind w:left="960" w:leftChars="400"/>
    </w:pPr>
    <w:rPr>
      <w:rFonts w:ascii="黑体" w:hAnsi="黑体"/>
      <w:smallCaps/>
      <w:kern w:val="0"/>
      <w:szCs w:val="20"/>
    </w:rPr>
  </w:style>
  <w:style w:type="character" w:styleId="12">
    <w:name w:val="Hyperlink"/>
    <w:qFormat/>
    <w:uiPriority w:val="99"/>
    <w:rPr>
      <w:color w:val="0000FF"/>
      <w:u w:val="single"/>
    </w:rPr>
  </w:style>
  <w:style w:type="paragraph" w:customStyle="1" w:styleId="13">
    <w:name w:val="my正文"/>
    <w:basedOn w:val="1"/>
    <w:qFormat/>
    <w:uiPriority w:val="0"/>
    <w:pPr>
      <w:spacing w:line="360" w:lineRule="auto"/>
      <w:ind w:firstLine="480" w:firstLineChars="200"/>
    </w:pPr>
    <w:rPr>
      <w:sz w:val="24"/>
    </w:rPr>
  </w:style>
  <w:style w:type="character" w:customStyle="1" w:styleId="14">
    <w:name w:val="页脚 Char"/>
    <w:basedOn w:val="11"/>
    <w:link w:val="6"/>
    <w:qFormat/>
    <w:uiPriority w:val="99"/>
    <w:rPr>
      <w:rFonts w:ascii="Times New Roman" w:hAnsi="Times New Roman" w:eastAsia="宋体" w:cs="Times New Roman"/>
      <w:sz w:val="18"/>
      <w:szCs w:val="18"/>
    </w:rPr>
  </w:style>
  <w:style w:type="character" w:customStyle="1" w:styleId="15">
    <w:name w:val="批注框文本 Char"/>
    <w:basedOn w:val="11"/>
    <w:link w:val="5"/>
    <w:semiHidden/>
    <w:qFormat/>
    <w:uiPriority w:val="99"/>
    <w:rPr>
      <w:rFonts w:ascii="Times New Roman" w:hAnsi="Times New Roman" w:eastAsia="宋体" w:cs="Times New Roman"/>
      <w:sz w:val="18"/>
      <w:szCs w:val="18"/>
    </w:rPr>
  </w:style>
  <w:style w:type="character" w:customStyle="1" w:styleId="16">
    <w:name w:val="页眉 Char"/>
    <w:basedOn w:val="11"/>
    <w:link w:val="7"/>
    <w:semiHidden/>
    <w:qFormat/>
    <w:uiPriority w:val="99"/>
    <w:rPr>
      <w:rFonts w:ascii="Times New Roman" w:hAnsi="Times New Roman" w:eastAsia="宋体" w:cs="Times New Roman"/>
      <w:sz w:val="18"/>
      <w:szCs w:val="18"/>
    </w:rPr>
  </w:style>
  <w:style w:type="paragraph" w:styleId="17">
    <w:name w:val="No Spacing"/>
    <w:qFormat/>
    <w:uiPriority w:val="1"/>
    <w:rPr>
      <w:rFonts w:asciiTheme="minorHAnsi" w:hAnsiTheme="minorHAnsi" w:eastAsiaTheme="minorEastAsia" w:cstheme="minorBidi"/>
      <w:sz w:val="22"/>
      <w:szCs w:val="22"/>
      <w:lang w:val="en-US" w:eastAsia="zh-CN" w:bidi="ar-SA"/>
    </w:rPr>
  </w:style>
  <w:style w:type="paragraph" w:customStyle="1" w:styleId="18">
    <w:name w:val="TOC Heading"/>
    <w:basedOn w:val="2"/>
    <w:next w:val="1"/>
    <w:unhideWhenUsed/>
    <w:qFormat/>
    <w:uiPriority w:val="39"/>
    <w:pPr>
      <w:widowControl/>
      <w:spacing w:before="240" w:after="0" w:line="259" w:lineRule="auto"/>
      <w:contextualSpacing w:val="0"/>
      <w:outlineLvl w:val="9"/>
    </w:pPr>
    <w:rPr>
      <w:rFonts w:asciiTheme="majorHAnsi" w:hAnsiTheme="majorHAnsi" w:eastAsiaTheme="majorEastAsia" w:cstheme="majorBidi"/>
      <w:bCs w:val="0"/>
      <w:color w:val="376092" w:themeColor="accent1" w:themeShade="BF"/>
      <w:kern w:val="0"/>
      <w:sz w:val="32"/>
      <w:szCs w:val="32"/>
    </w:rPr>
  </w:style>
  <w:style w:type="paragraph" w:customStyle="1" w:styleId="19">
    <w:name w:val="样式 正文文本 + 左侧:  1 字符 首行缩进:  2 字符"/>
    <w:basedOn w:val="3"/>
    <w:qFormat/>
    <w:uiPriority w:val="0"/>
    <w:pPr>
      <w:spacing w:line="360" w:lineRule="auto"/>
    </w:pPr>
    <w:rPr>
      <w:rFonts w:cs="宋体"/>
      <w:szCs w:val="20"/>
    </w:rPr>
  </w:style>
  <w:style w:type="paragraph" w:customStyle="1" w:styleId="20">
    <w:name w:val="样式 样式 正文文本 + 左侧:  1 字符 首行缩进:  2 字符 + 左侧:  1 字符 首行缩进:  2 字符"/>
    <w:basedOn w:val="19"/>
    <w:qFormat/>
    <w:uiPriority w:val="0"/>
    <w:pPr>
      <w:spacing w:after="0"/>
      <w:ind w:left="0" w:leftChars="0" w:firstLine="48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jpeg"/><Relationship Id="rId4" Type="http://schemas.openxmlformats.org/officeDocument/2006/relationships/endnotes" Target="endnotes.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microsoft.com/office/2007/relationships/diagramDrawing" Target="diagrams/drawing1.xml"/><Relationship Id="rId16" Type="http://schemas.openxmlformats.org/officeDocument/2006/relationships/diagramColors" Target="diagrams/colors1.xml"/><Relationship Id="rId15" Type="http://schemas.openxmlformats.org/officeDocument/2006/relationships/diagramQuickStyle" Target="diagrams/quickStyle1.xml"/><Relationship Id="rId14" Type="http://schemas.openxmlformats.org/officeDocument/2006/relationships/diagramLayout" Target="diagrams/layout1.xml"/><Relationship Id="rId13" Type="http://schemas.openxmlformats.org/officeDocument/2006/relationships/diagramData" Target="diagrams/data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ysClr val="window" lastClr="FFFFFF">
        <a:alpha val="90000"/>
      </a:sysClr>
    </dgm:fillClrLst>
    <dgm:linClrLst>
      <a:srgbClr val="4472C4"/>
      <a:srgbClr val="70AD47"/>
    </dgm:linClrLst>
    <dgm:effectClrLst/>
    <dgm:txLinClrLst/>
    <dgm:txFillClrLst meth="repeat">
      <a:sysClr val="windowText" lastClr="000000"/>
    </dgm:txFillClrLst>
    <dgm:txEffectClrLst/>
  </dgm:styleLbl>
  <dgm:styleLbl name="alignAccFollowNode1">
    <dgm:fillClrLst>
      <a:srgbClr val="4472C4">
        <a:tint val="40000"/>
        <a:alpha val="90000"/>
      </a:srgbClr>
      <a:srgbClr val="70AD47">
        <a:tint val="40000"/>
        <a:alpha val="90000"/>
      </a:srgbClr>
    </dgm:fillClrLst>
    <dgm:linClrLst>
      <a:srgbClr val="4472C4">
        <a:tint val="40000"/>
        <a:alpha val="90000"/>
      </a:srgbClr>
      <a:srgbClr val="70AD47">
        <a:tint val="40000"/>
        <a:alpha val="90000"/>
      </a:srgbClr>
    </dgm:linClrLst>
    <dgm:effectClrLst/>
    <dgm:txLinClrLst/>
    <dgm:txFillClrLst meth="repeat">
      <a:sysClr val="windowText" lastClr="000000"/>
    </dgm:txFillClrLst>
    <dgm:txEffectClrLst/>
  </dgm:styleLbl>
  <dgm:styleLbl name="alignImgPlace1">
    <dgm:fillClrLst>
      <a:srgbClr val="4472C4">
        <a:tint val="50000"/>
      </a:srgbClr>
      <a:srgbClr val="70AD47">
        <a:tint val="20000"/>
      </a:srgbClr>
    </dgm:fillClrLst>
    <dgm:linClrLst meth="repeat">
      <a:sysClr val="window" lastClr="FFFFFF"/>
    </dgm:linClrLst>
    <dgm:effectClrLst/>
    <dgm:txLinClrLst/>
    <dgm:txFillClrLst meth="repeat">
      <a:sysClr val="window" lastClr="FFFFFF"/>
    </dgm:txFillClrLst>
    <dgm:txEffectClrLst/>
  </dgm:styleLbl>
  <dgm:styleLbl name="alignNode1">
    <dgm:fillClrLst>
      <a:srgbClr val="4472C4"/>
      <a:srgbClr val="70AD47"/>
    </dgm:fillClrLst>
    <dgm:linClrLst>
      <a:srgbClr val="4472C4"/>
      <a:srgbClr val="70AD47"/>
    </dgm:linClrLst>
    <dgm:effectClrLst/>
    <dgm:txLinClrLst/>
    <dgm:txFillClrLst/>
    <dgm:txEffectClrLst/>
  </dgm:styleLbl>
  <dgm:styleLbl name="asst0">
    <dgm:fillClrLst meth="repeat">
      <a:srgbClr val="4472C4"/>
    </dgm:fillClrLst>
    <dgm:linClrLst meth="repeat">
      <a:sysClr val="window" lastClr="FFFFFF">
        <a:shade val="80000"/>
      </a:sysClr>
    </dgm:linClrLst>
    <dgm:effectClrLst/>
    <dgm:txLinClrLst/>
    <dgm:txFillClrLst/>
    <dgm:txEffectClrLst/>
  </dgm:styleLbl>
  <dgm:styleLbl name="asst1">
    <dgm:fillClrLst meth="repeat">
      <a:srgbClr val="70AD47"/>
    </dgm:fillClrLst>
    <dgm:linClrLst meth="repeat">
      <a:sysClr val="window" lastClr="FFFFFF">
        <a:shade val="80000"/>
      </a:sysClr>
    </dgm:linClrLst>
    <dgm:effectClrLst/>
    <dgm:txLinClrLst/>
    <dgm:txFillClrLst/>
    <dgm:txEffectClrLst/>
  </dgm:styleLbl>
  <dgm:styleLbl name="asst2">
    <dgm:fillClrLst>
      <a:srgbClr val="5B9BD5"/>
    </dgm:fillClrLst>
    <dgm:linClrLst meth="repeat">
      <a:sysClr val="window" lastClr="FFFFFF"/>
    </dgm:linClrLst>
    <dgm:effectClrLst/>
    <dgm:txLinClrLst/>
    <dgm:txFillClrLst/>
    <dgm:txEffectClrLst/>
  </dgm:styleLbl>
  <dgm:styleLbl name="asst3">
    <dgm:fillClrLst>
      <a:srgbClr val="ED7D31"/>
    </dgm:fillClrLst>
    <dgm:linClrLst meth="repeat">
      <a:sysClr val="window" lastClr="FFFFFF"/>
    </dgm:linClrLst>
    <dgm:effectClrLst/>
    <dgm:txLinClrLst/>
    <dgm:txFillClrLst/>
    <dgm:txEffectClrLst/>
  </dgm:styleLbl>
  <dgm:styleLbl name="asst4">
    <dgm:fillClrLst>
      <a:srgbClr val="A5A5A5"/>
    </dgm:fillClrLst>
    <dgm:linClrLst meth="repeat">
      <a:sysClr val="window" lastClr="FFFFFF"/>
    </dgm:linClrLst>
    <dgm:effectClrLst/>
    <dgm:txLinClrLst/>
    <dgm:txFillClrLst/>
    <dgm:txEffectClrLst/>
  </dgm:styleLbl>
  <dgm:styleLbl name="bgAcc1">
    <dgm:fillClrLst meth="repeat">
      <a:sysClr val="window" lastClr="FFFFFF">
        <a:alpha val="90000"/>
      </a:sysClr>
    </dgm:fillClrLst>
    <dgm:linClrLst>
      <a:srgbClr val="4472C4"/>
      <a:srgbClr val="70AD47"/>
    </dgm:linClrLst>
    <dgm:effectClrLst/>
    <dgm:txLinClrLst/>
    <dgm:txFillClrLst meth="repeat">
      <a:sysClr val="windowText" lastClr="000000"/>
    </dgm:txFillClrLst>
    <dgm:txEffectClrLst/>
  </dgm:styleLbl>
  <dgm:styleLbl name="bgAccFollowNode1">
    <dgm:fillClrLst>
      <a:srgbClr val="4472C4">
        <a:tint val="40000"/>
        <a:alpha val="90000"/>
      </a:srgbClr>
      <a:srgbClr val="70AD47">
        <a:tint val="40000"/>
        <a:alpha val="90000"/>
      </a:srgbClr>
    </dgm:fillClrLst>
    <dgm:linClrLst>
      <a:srgbClr val="4472C4">
        <a:tint val="40000"/>
        <a:alpha val="90000"/>
      </a:srgbClr>
      <a:srgbClr val="70AD47">
        <a:tint val="40000"/>
        <a:alpha val="90000"/>
      </a:srgbClr>
    </dgm:linClrLst>
    <dgm:effectClrLst/>
    <dgm:txLinClrLst/>
    <dgm:txFillClrLst meth="repeat">
      <a:sysClr val="windowText" lastClr="000000"/>
    </dgm:txFillClrLst>
    <dgm:txEffectClrLst/>
  </dgm:styleLbl>
  <dgm:styleLbl name="bgImgPlace1">
    <dgm:fillClrLst>
      <a:srgbClr val="4472C4">
        <a:tint val="50000"/>
      </a:srgbClr>
      <a:srgbClr val="70AD47">
        <a:tint val="20000"/>
      </a:srgbClr>
    </dgm:fillClrLst>
    <dgm:linClrLst meth="repeat">
      <a:sysClr val="window" lastClr="FFFFFF"/>
    </dgm:linClrLst>
    <dgm:effectClrLst/>
    <dgm:txLinClrLst/>
    <dgm:txFillClrLst meth="repeat">
      <a:sysClr val="window" lastClr="FFFFFF"/>
    </dgm:txFillClrLst>
    <dgm:txEffectClrLst/>
  </dgm:styleLbl>
  <dgm:styleLbl name="bgShp">
    <dgm:fillClrLst meth="repeat">
      <a:srgbClr val="4472C4">
        <a:tint val="40000"/>
      </a:srgbClr>
    </dgm:fillClrLst>
    <dgm:linClrLst meth="repeat">
      <a:sysClr val="windowText" lastClr="000000"/>
    </dgm:linClrLst>
    <dgm:effectClrLst/>
    <dgm:txLinClrLst/>
    <dgm:txFillClrLst meth="repeat">
      <a:sysClr val="windowText" lastClr="000000"/>
    </dgm:txFillClrLst>
    <dgm:txEffectClrLst/>
  </dgm:styleLbl>
  <dgm:styleLbl name="bgSibTrans2D1">
    <dgm:fillClrLst>
      <a:srgbClr val="4472C4"/>
      <a:srgbClr val="70AD47"/>
    </dgm:fillClrLst>
    <dgm:linClrLst meth="repeat">
      <a:sysClr val="window" lastClr="FFFFFF"/>
    </dgm:linClrLst>
    <dgm:effectClrLst/>
    <dgm:txLinClrLst/>
    <dgm:txFillClrLst meth="repeat">
      <a:sysClr val="window" lastClr="FFFFFF"/>
    </dgm:txFillClrLst>
    <dgm:txEffectClrLst/>
  </dgm:styleLbl>
  <dgm:styleLbl name="callout">
    <dgm:fillClrLst meth="repeat">
      <a:srgbClr val="4472C4"/>
    </dgm:fillClrLst>
    <dgm:linClrLst meth="repeat">
      <a:srgbClr val="4472C4">
        <a:tint val="50000"/>
      </a:srgbClr>
    </dgm:linClrLst>
    <dgm:effectClrLst/>
    <dgm:txLinClrLst/>
    <dgm:txFillClrLst meth="repeat">
      <a:sysClr val="windowText" lastClr="000000"/>
    </dgm:txFillClrLst>
    <dgm:txEffectClrLst/>
  </dgm:styleLbl>
  <dgm:styleLbl name="conFgAcc1">
    <dgm:fillClrLst meth="repeat">
      <a:sysClr val="window" lastClr="FFFFFF">
        <a:alpha val="90000"/>
      </a:sysClr>
    </dgm:fillClrLst>
    <dgm:linClrLst>
      <a:srgbClr val="4472C4"/>
      <a:srgbClr val="70AD47"/>
    </dgm:linClrLst>
    <dgm:effectClrLst/>
    <dgm:txLinClrLst/>
    <dgm:txFillClrLst meth="repeat">
      <a:sysClr val="windowText" lastClr="000000"/>
    </dgm:txFillClrLst>
    <dgm:txEffectClrLst/>
  </dgm:styleLbl>
  <dgm:styleLbl name="dkBgShp">
    <dgm:fillClrLst meth="repeat">
      <a:srgbClr val="4472C4">
        <a:shade val="90000"/>
      </a:srgbClr>
    </dgm:fillClrLst>
    <dgm:linClrLst meth="repeat">
      <a:sysClr val="windowText" lastClr="000000"/>
    </dgm:linClrLst>
    <dgm:effectClrLst/>
    <dgm:txLinClrLst/>
    <dgm:txFillClrLst meth="repeat">
      <a:sysClr val="window" lastClr="FFFFFF"/>
    </dgm:txFillClrLst>
    <dgm:txEffectClrLst/>
  </dgm:styleLbl>
  <dgm:styleLbl name="fgAcc0">
    <dgm:fillClrLst meth="repeat">
      <a:sysClr val="window" lastClr="FFFFFF">
        <a:alpha val="90000"/>
      </a:sysClr>
    </dgm:fillClrLst>
    <dgm:linClrLst>
      <a:srgbClr val="FFC000"/>
    </dgm:linClrLst>
    <dgm:effectClrLst/>
    <dgm:txLinClrLst/>
    <dgm:txFillClrLst meth="repeat">
      <a:sysClr val="windowText" lastClr="000000"/>
    </dgm:txFillClrLst>
    <dgm:txEffectClrLst/>
  </dgm:styleLbl>
  <dgm:styleLbl name="fgAcc1">
    <dgm:fillClrLst meth="repeat">
      <a:sysClr val="window" lastClr="FFFFFF">
        <a:alpha val="90000"/>
      </a:sysClr>
    </dgm:fillClrLst>
    <dgm:linClrLst>
      <a:srgbClr val="4472C4"/>
      <a:srgbClr val="70AD47"/>
    </dgm:linClrLst>
    <dgm:effectClrLst/>
    <dgm:txLinClrLst/>
    <dgm:txFillClrLst meth="repeat">
      <a:sysClr val="windowText" lastClr="000000"/>
    </dgm:txFillClrLst>
    <dgm:txEffectClrLst/>
  </dgm:styleLbl>
  <dgm:styleLbl name="fgAcc2">
    <dgm:fillClrLst meth="repeat">
      <a:sysClr val="window" lastClr="FFFFFF">
        <a:alpha val="90000"/>
      </a:sysClr>
    </dgm:fillClrLst>
    <dgm:linClrLst>
      <a:srgbClr val="70AD47"/>
    </dgm:linClrLst>
    <dgm:effectClrLst/>
    <dgm:txLinClrLst/>
    <dgm:txFillClrLst meth="repeat">
      <a:sysClr val="windowText" lastClr="000000"/>
    </dgm:txFillClrLst>
    <dgm:txEffectClrLst/>
  </dgm:styleLbl>
  <dgm:styleLbl name="fgAcc3">
    <dgm:fillClrLst meth="repeat">
      <a:sysClr val="window" lastClr="FFFFFF">
        <a:alpha val="90000"/>
      </a:sysClr>
    </dgm:fillClrLst>
    <dgm:linClrLst>
      <a:srgbClr val="5B9BD5"/>
    </dgm:linClrLst>
    <dgm:effectClrLst/>
    <dgm:txLinClrLst/>
    <dgm:txFillClrLst meth="repeat">
      <a:sysClr val="windowText" lastClr="000000"/>
    </dgm:txFillClrLst>
    <dgm:txEffectClrLst/>
  </dgm:styleLbl>
  <dgm:styleLbl name="fgAcc4">
    <dgm:fillClrLst meth="repeat">
      <a:sysClr val="window" lastClr="FFFFFF">
        <a:alpha val="90000"/>
      </a:sysClr>
    </dgm:fillClrLst>
    <dgm:linClrLst>
      <a:srgbClr val="ED7D31"/>
    </dgm:linClrLst>
    <dgm:effectClrLst/>
    <dgm:txLinClrLst/>
    <dgm:txFillClrLst meth="repeat">
      <a:sysClr val="windowText" lastClr="000000"/>
    </dgm:txFillClrLst>
    <dgm:txEffectClrLst/>
  </dgm:styleLbl>
  <dgm:styleLbl name="fgAccFollowNode1">
    <dgm:fillClrLst>
      <a:srgbClr val="4472C4">
        <a:tint val="40000"/>
        <a:alpha val="90000"/>
      </a:srgbClr>
      <a:srgbClr val="70AD47">
        <a:tint val="40000"/>
        <a:alpha val="90000"/>
      </a:srgbClr>
    </dgm:fillClrLst>
    <dgm:linClrLst>
      <a:srgbClr val="4472C4">
        <a:tint val="40000"/>
        <a:alpha val="90000"/>
      </a:srgbClr>
      <a:srgbClr val="4472C4">
        <a:tint val="40000"/>
        <a:alpha val="90000"/>
      </a:srgbClr>
    </dgm:linClrLst>
    <dgm:effectClrLst/>
    <dgm:txLinClrLst/>
    <dgm:txFillClrLst meth="repeat">
      <a:sysClr val="windowText" lastClr="000000"/>
    </dgm:txFillClrLst>
    <dgm:txEffectClrLst/>
  </dgm:styleLbl>
  <dgm:styleLbl name="fgImgPlace1">
    <dgm:fillClrLst>
      <a:srgbClr val="4472C4">
        <a:tint val="50000"/>
      </a:srgbClr>
      <a:srgbClr val="70AD47">
        <a:tint val="50000"/>
      </a:srgbClr>
    </dgm:fillClrLst>
    <dgm:linClrLst meth="repeat">
      <a:sysClr val="window" lastClr="FFFFFF"/>
    </dgm:linClrLst>
    <dgm:effectClrLst/>
    <dgm:txLinClrLst/>
    <dgm:txFillClrLst meth="repeat">
      <a:sysClr val="window" lastClr="FFFFFF"/>
    </dgm:txFillClrLst>
    <dgm:txEffectClrLst/>
  </dgm:styleLbl>
  <dgm:styleLbl name="fgShp">
    <dgm:fillClrLst meth="repeat">
      <a:srgbClr val="4472C4">
        <a:tint val="40000"/>
      </a:srgbClr>
    </dgm:fillClrLst>
    <dgm:linClrLst meth="repeat">
      <a:sysClr val="window" lastClr="FFFFFF"/>
    </dgm:linClrLst>
    <dgm:effectClrLst/>
    <dgm:txLinClrLst/>
    <dgm:txFillClrLst meth="repeat">
      <a:sysClr val="windowText" lastClr="000000"/>
    </dgm:txFillClrLst>
    <dgm:txEffectClrLst/>
  </dgm:styleLbl>
  <dgm:styleLbl name="fgSibTrans2D1">
    <dgm:fillClrLst>
      <a:srgbClr val="4472C4"/>
      <a:srgbClr val="70AD47"/>
    </dgm:fillClrLst>
    <dgm:linClrLst meth="repeat">
      <a:sysClr val="window" lastClr="FFFFFF"/>
    </dgm:linClrLst>
    <dgm:effectClrLst/>
    <dgm:txLinClrLst/>
    <dgm:txFillClrLst meth="repeat">
      <a:sysClr val="window" lastClr="FFFFFF"/>
    </dgm:txFillClrLst>
    <dgm:txEffectClrLst/>
  </dgm:styleLbl>
  <dgm:styleLbl name="lnNode1">
    <dgm:fillClrLst>
      <a:srgbClr val="4472C4"/>
      <a:srgbClr val="70AD47"/>
    </dgm:fillClrLst>
    <dgm:linClrLst meth="repeat">
      <a:sysClr val="window" lastClr="FFFFFF"/>
    </dgm:linClrLst>
    <dgm:effectClrLst/>
    <dgm:txLinClrLst/>
    <dgm:txFillClrLst/>
    <dgm:txEffectClrLst/>
  </dgm:styleLbl>
  <dgm:styleLbl name="node0">
    <dgm:fillClrLst meth="repeat">
      <a:srgbClr val="FFC000"/>
    </dgm:fillClrLst>
    <dgm:linClrLst meth="repeat">
      <a:sysClr val="window" lastClr="FFFFFF"/>
    </dgm:linClrLst>
    <dgm:effectClrLst/>
    <dgm:txLinClrLst/>
    <dgm:txFillClrLst/>
    <dgm:txEffectClrLst/>
  </dgm:styleLbl>
  <dgm:styleLbl name="node1">
    <dgm:fillClrLst>
      <a:srgbClr val="4472C4"/>
      <a:srgbClr val="70AD47"/>
    </dgm:fillClrLst>
    <dgm:linClrLst meth="repeat">
      <a:sysClr val="window" lastClr="FFFFFF"/>
    </dgm:linClrLst>
    <dgm:effectClrLst/>
    <dgm:txLinClrLst/>
    <dgm:txFillClrLst/>
    <dgm:txEffectClrLst/>
  </dgm:styleLbl>
  <dgm:styleLbl name="node2">
    <dgm:fillClrLst>
      <a:srgbClr val="70AD47"/>
    </dgm:fillClrLst>
    <dgm:linClrLst meth="repeat">
      <a:sysClr val="window" lastClr="FFFFFF"/>
    </dgm:linClrLst>
    <dgm:effectClrLst/>
    <dgm:txLinClrLst/>
    <dgm:txFillClrLst/>
    <dgm:txEffectClrLst/>
  </dgm:styleLbl>
  <dgm:styleLbl name="node3">
    <dgm:fillClrLst>
      <a:srgbClr val="5B9BD5"/>
    </dgm:fillClrLst>
    <dgm:linClrLst meth="repeat">
      <a:sysClr val="window" lastClr="FFFFFF"/>
    </dgm:linClrLst>
    <dgm:effectClrLst/>
    <dgm:txLinClrLst/>
    <dgm:txFillClrLst/>
    <dgm:txEffectClrLst/>
  </dgm:styleLbl>
  <dgm:styleLbl name="node4">
    <dgm:fillClrLst>
      <a:srgbClr val="ED7D31"/>
    </dgm:fillClrLst>
    <dgm:linClrLst meth="repeat">
      <a:sysClr val="window" lastClr="FFFFFF"/>
    </dgm:linClrLst>
    <dgm:effectClrLst/>
    <dgm:txLinClrLst/>
    <dgm:txFillClrLst/>
    <dgm:txEffectClrLst/>
  </dgm:styleLbl>
  <dgm:styleLbl name="parChTrans1D1">
    <dgm:fillClrLst meth="repeat">
      <a:srgbClr val="4472C4"/>
    </dgm:fillClrLst>
    <dgm:linClrLst meth="repeat">
      <a:srgbClr val="4472C4"/>
    </dgm:linClrLst>
    <dgm:effectClrLst/>
    <dgm:txLinClrLst/>
    <dgm:txFillClrLst meth="repeat">
      <a:sysClr val="windowText" lastClr="000000"/>
    </dgm:txFillClrLst>
    <dgm:txEffectClrLst/>
  </dgm:styleLbl>
  <dgm:styleLbl name="parChTrans1D2">
    <dgm:fillClrLst meth="repeat">
      <a:srgbClr val="70AD47">
        <a:tint val="90000"/>
      </a:srgbClr>
    </dgm:fillClrLst>
    <dgm:linClrLst meth="repeat">
      <a:srgbClr val="70AD47"/>
    </dgm:linClrLst>
    <dgm:effectClrLst/>
    <dgm:txLinClrLst/>
    <dgm:txFillClrLst meth="repeat">
      <a:sysClr val="windowText" lastClr="000000"/>
    </dgm:txFillClrLst>
    <dgm:txEffectClrLst/>
  </dgm:styleLbl>
  <dgm:styleLbl name="parChTrans1D3">
    <dgm:fillClrLst meth="repeat">
      <a:srgbClr val="70AD47">
        <a:tint val="70000"/>
      </a:srgbClr>
    </dgm:fillClrLst>
    <dgm:linClrLst meth="repeat">
      <a:srgbClr val="5B9BD5"/>
    </dgm:linClrLst>
    <dgm:effectClrLst/>
    <dgm:txLinClrLst/>
    <dgm:txFillClrLst meth="repeat">
      <a:sysClr val="windowText" lastClr="000000"/>
    </dgm:txFillClrLst>
    <dgm:txEffectClrLst/>
  </dgm:styleLbl>
  <dgm:styleLbl name="parChTrans1D4">
    <dgm:fillClrLst meth="repeat">
      <a:srgbClr val="70AD47">
        <a:tint val="50000"/>
      </a:srgbClr>
    </dgm:fillClrLst>
    <dgm:linClrLst meth="repeat">
      <a:srgbClr val="ED7D31"/>
    </dgm:linClrLst>
    <dgm:effectClrLst/>
    <dgm:txLinClrLst/>
    <dgm:txFillClrLst meth="repeat">
      <a:sysClr val="windowText" lastClr="000000"/>
    </dgm:txFillClrLst>
    <dgm:txEffectClrLst/>
  </dgm:styleLbl>
  <dgm:styleLbl name="parChTrans2D1">
    <dgm:fillClrLst meth="repeat">
      <a:srgbClr val="4472C4"/>
    </dgm:fillClrLst>
    <dgm:linClrLst meth="repeat">
      <a:sysClr val="window" lastClr="FFFFFF"/>
    </dgm:linClrLst>
    <dgm:effectClrLst/>
    <dgm:txLinClrLst/>
    <dgm:txFillClrLst meth="repeat">
      <a:sysClr val="window" lastClr="FFFFFF"/>
    </dgm:txFillClrLst>
    <dgm:txEffectClrLst/>
  </dgm:styleLbl>
  <dgm:styleLbl name="parChTrans2D2">
    <dgm:fillClrLst meth="repeat">
      <a:srgbClr val="70AD47"/>
    </dgm:fillClrLst>
    <dgm:linClrLst meth="repeat">
      <a:sysClr val="window" lastClr="FFFFFF"/>
    </dgm:linClrLst>
    <dgm:effectClrLst/>
    <dgm:txLinClrLst/>
    <dgm:txFillClrLst/>
    <dgm:txEffectClrLst/>
  </dgm:styleLbl>
  <dgm:styleLbl name="parChTrans2D3">
    <dgm:fillClrLst meth="repeat">
      <a:srgbClr val="70AD47"/>
    </dgm:fillClrLst>
    <dgm:linClrLst meth="repeat">
      <a:sysClr val="window" lastClr="FFFFFF"/>
    </dgm:linClrLst>
    <dgm:effectClrLst/>
    <dgm:txLinClrLst/>
    <dgm:txFillClrLst/>
    <dgm:txEffectClrLst/>
  </dgm:styleLbl>
  <dgm:styleLbl name="parChTrans2D4">
    <dgm:fillClrLst meth="repeat">
      <a:srgbClr val="5B9BD5"/>
    </dgm:fillClrLst>
    <dgm:linClrLst meth="repeat">
      <a:sysClr val="window" lastClr="FFFFFF"/>
    </dgm:linClrLst>
    <dgm:effectClrLst/>
    <dgm:txLinClrLst/>
    <dgm:txFillClrLst meth="repeat">
      <a:sysClr val="window" lastClr="FFFFFF"/>
    </dgm:txFillClrLst>
    <dgm:txEffectClrLst/>
  </dgm:styleLbl>
  <dgm:styleLbl name="revTx">
    <dgm:fillClrLst meth="repeat">
      <a:sysClr val="window" lastClr="FFFFFF">
        <a:alpha val="0"/>
      </a:sysClr>
    </dgm:fillClrLst>
    <dgm:linClrLst meth="repeat">
      <a:sysClr val="windowText" lastClr="000000">
        <a:alpha val="0"/>
      </a:sysClr>
    </dgm:linClrLst>
    <dgm:effectClrLst/>
    <dgm:txLinClrLst/>
    <dgm:txFillClrLst meth="repeat">
      <a:sysClr val="windowText" lastClr="000000"/>
    </dgm:txFillClrLst>
    <dgm:txEffectClrLst/>
  </dgm:styleLbl>
  <dgm:styleLbl name="sibTrans1D1">
    <dgm:fillClrLst/>
    <dgm:linClrLst>
      <a:srgbClr val="4472C4"/>
      <a:srgbClr val="70AD47"/>
    </dgm:linClrLst>
    <dgm:effectClrLst/>
    <dgm:txLinClrLst/>
    <dgm:txFillClrLst meth="repeat">
      <a:sysClr val="windowText" lastClr="000000"/>
    </dgm:txFillClrLst>
    <dgm:txEffectClrLst/>
  </dgm:styleLbl>
  <dgm:styleLbl name="sibTrans2D1">
    <dgm:fillClrLst>
      <a:srgbClr val="4472C4"/>
      <a:srgbClr val="70AD47"/>
    </dgm:fillClrLst>
    <dgm:linClrLst meth="repeat">
      <a:sysClr val="window" lastClr="FFFFFF"/>
    </dgm:linClrLst>
    <dgm:effectClrLst/>
    <dgm:txLinClrLst/>
    <dgm:txFillClrLst/>
    <dgm:txEffectClrLst/>
  </dgm:styleLbl>
  <dgm:styleLbl name="solidAlignAcc1">
    <dgm:fillClrLst meth="repeat">
      <a:sysClr val="window" lastClr="FFFFFF"/>
    </dgm:fillClrLst>
    <dgm:linClrLst>
      <a:srgbClr val="4472C4"/>
      <a:srgbClr val="70AD47"/>
    </dgm:linClrLst>
    <dgm:effectClrLst/>
    <dgm:txLinClrLst/>
    <dgm:txFillClrLst meth="repeat">
      <a:sysClr val="windowText" lastClr="000000"/>
    </dgm:txFillClrLst>
    <dgm:txEffectClrLst/>
  </dgm:styleLbl>
  <dgm:styleLbl name="solidBgAcc1">
    <dgm:fillClrLst meth="repeat">
      <a:sysClr val="window" lastClr="FFFFFF"/>
    </dgm:fillClrLst>
    <dgm:linClrLst>
      <a:srgbClr val="4472C4"/>
      <a:srgbClr val="70AD47"/>
    </dgm:linClrLst>
    <dgm:effectClrLst/>
    <dgm:txLinClrLst/>
    <dgm:txFillClrLst meth="repeat">
      <a:sysClr val="windowText" lastClr="000000"/>
    </dgm:txFillClrLst>
    <dgm:txEffectClrLst/>
  </dgm:styleLbl>
  <dgm:styleLbl name="solidFgAcc1">
    <dgm:fillClrLst meth="repeat">
      <a:sysClr val="window" lastClr="FFFFFF"/>
    </dgm:fillClrLst>
    <dgm:linClrLst>
      <a:srgbClr val="4472C4"/>
      <a:srgbClr val="70AD47"/>
    </dgm:linClrLst>
    <dgm:effectClrLst/>
    <dgm:txLinClrLst/>
    <dgm:txFillClrLst meth="repeat">
      <a:sysClr val="windowText" lastClr="000000"/>
    </dgm:txFillClrLst>
    <dgm:txEffectClrLst/>
  </dgm:styleLbl>
  <dgm:styleLbl name="trAlignAcc1">
    <dgm:fillClrLst meth="repeat">
      <a:sysClr val="window" lastClr="FFFFFF">
        <a:alpha val="40000"/>
      </a:sysClr>
    </dgm:fillClrLst>
    <dgm:linClrLst meth="repeat">
      <a:srgbClr val="4472C4"/>
    </dgm:linClrLst>
    <dgm:effectClrLst/>
    <dgm:txLinClrLst/>
    <dgm:txFillClrLst meth="repeat">
      <a:sysClr val="windowText" lastClr="000000"/>
    </dgm:txFillClrLst>
    <dgm:txEffectClrLst/>
  </dgm:styleLbl>
  <dgm:styleLbl name="trBgShp">
    <dgm:fillClrLst meth="repeat">
      <a:srgbClr val="4472C4">
        <a:tint val="50000"/>
        <a:alpha val="40000"/>
      </a:srgbClr>
    </dgm:fillClrLst>
    <dgm:linClrLst meth="repeat">
      <a:srgbClr val="4472C4"/>
    </dgm:linClrLst>
    <dgm:effectClrLst/>
    <dgm:txLinClrLst/>
    <dgm:txFillClrLst meth="repeat">
      <a:sysClr val="window" lastClr="FFFFFF"/>
    </dgm:txFillClrLst>
    <dgm:txEffectClrLst/>
  </dgm:styleLbl>
  <dgm:styleLbl name="vennNode1">
    <dgm:fillClrLst>
      <a:srgbClr val="4472C4">
        <a:alpha val="50000"/>
      </a:srgbClr>
      <a:srgbClr val="70AD47">
        <a:alpha val="50000"/>
      </a:srgbClr>
    </dgm:fillClrLst>
    <dgm:linClrLst meth="repeat">
      <a:sysClr val="window" lastClr="FFFFFF"/>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69CC0DF-1E35-409A-9D07-35650C06A5CB}" type="doc">
      <dgm:prSet loTypeId="urn:microsoft.com/office/officeart/2009/layout/CircleArrowProcess" loCatId="process" qsTypeId="urn:microsoft.com/office/officeart/2005/8/quickstyle/simple4" qsCatId="simple" csTypeId="urn:microsoft.com/office/officeart/2005/8/colors/colorful5" csCatId="colorful" phldr="1"/>
      <dgm:spPr/>
      <dgm:t>
        <a:bodyPr/>
        <a:p>
          <a:endParaRPr lang="zh-CN" altLang="en-US"/>
        </a:p>
      </dgm:t>
    </dgm:pt>
    <dgm:pt modelId="{6709102C-F962-4F83-A95D-03A0F3E6C748}">
      <dgm:prSet phldrT="[文本]" custT="1"/>
      <dgm:spPr/>
      <dgm:t>
        <a:bodyPr/>
        <a:p>
          <a:r>
            <a:rPr lang="zh-CN" altLang="en-US" sz="1200" b="1">
              <a:latin typeface="微软雅黑 Light" panose="020B0502040204020203" pitchFamily="2" charset="-122"/>
              <a:ea typeface="微软雅黑 Light" panose="020B0502040204020203" pitchFamily="2" charset="-122"/>
            </a:rPr>
            <a:t>考核准备</a:t>
          </a:r>
          <a:endParaRPr lang="zh-CN" altLang="en-US" sz="1600" b="1">
            <a:latin typeface="微软雅黑 Light" panose="020B0502040204020203" pitchFamily="2" charset="-122"/>
            <a:ea typeface="微软雅黑 Light" panose="020B0502040204020203" pitchFamily="2" charset="-122"/>
          </a:endParaRPr>
        </a:p>
      </dgm:t>
    </dgm:pt>
    <dgm:pt modelId="{E8D43654-8D2E-4E6C-AD40-24C03808F4AD}" cxnId="{8FA60C30-F752-4A29-A76E-6C77BEA37008}" type="parTrans">
      <dgm:prSet/>
      <dgm:spPr/>
      <dgm:t>
        <a:bodyPr/>
        <a:p>
          <a:endParaRPr lang="zh-CN" altLang="en-US"/>
        </a:p>
      </dgm:t>
    </dgm:pt>
    <dgm:pt modelId="{DBA20D9E-A5BD-4E4E-987A-C81AA9A1E306}" cxnId="{8FA60C30-F752-4A29-A76E-6C77BEA37008}" type="sibTrans">
      <dgm:prSet/>
      <dgm:spPr/>
      <dgm:t>
        <a:bodyPr/>
        <a:p>
          <a:endParaRPr lang="zh-CN" altLang="en-US"/>
        </a:p>
      </dgm:t>
    </dgm:pt>
    <dgm:pt modelId="{28B4F36C-18EF-4CD1-B1AD-1664B269B633}">
      <dgm:prSet phldrT="[文本]" custT="1"/>
      <dgm:spPr/>
      <dgm:t>
        <a:bodyPr/>
        <a:p>
          <a:r>
            <a:rPr lang="zh-CN" altLang="en-US" sz="1100">
              <a:latin typeface="微软雅黑 Light" panose="020B0502040204020203" pitchFamily="2" charset="-122"/>
              <a:ea typeface="微软雅黑 Light" panose="020B0502040204020203" pitchFamily="2" charset="-122"/>
            </a:rPr>
            <a:t>基础信息确认</a:t>
          </a:r>
        </a:p>
      </dgm:t>
    </dgm:pt>
    <dgm:pt modelId="{874A3927-7F46-4E3E-ADE1-BFE3046E93E4}" cxnId="{EF8B00F7-0F07-4C8F-BCA4-62DF0CDA9690}" type="parTrans">
      <dgm:prSet/>
      <dgm:spPr/>
      <dgm:t>
        <a:bodyPr/>
        <a:p>
          <a:endParaRPr lang="zh-CN" altLang="en-US"/>
        </a:p>
      </dgm:t>
    </dgm:pt>
    <dgm:pt modelId="{B2E442C6-1678-4734-A32A-22F57EE6B9A1}" cxnId="{EF8B00F7-0F07-4C8F-BCA4-62DF0CDA9690}" type="sibTrans">
      <dgm:prSet/>
      <dgm:spPr/>
      <dgm:t>
        <a:bodyPr/>
        <a:p>
          <a:endParaRPr lang="zh-CN" altLang="en-US"/>
        </a:p>
      </dgm:t>
    </dgm:pt>
    <dgm:pt modelId="{23C6C3FB-D0FE-4453-B7A9-14AE83DEE130}">
      <dgm:prSet phldrT="[文本]" custT="1"/>
      <dgm:spPr/>
      <dgm:t>
        <a:bodyPr/>
        <a:p>
          <a:r>
            <a:rPr lang="zh-CN" altLang="en-US" sz="1100">
              <a:latin typeface="微软雅黑 Light" panose="020B0502040204020203" pitchFamily="2" charset="-122"/>
              <a:ea typeface="微软雅黑 Light" panose="020B0502040204020203" pitchFamily="2" charset="-122"/>
            </a:rPr>
            <a:t>考核机构申请</a:t>
          </a:r>
        </a:p>
      </dgm:t>
    </dgm:pt>
    <dgm:pt modelId="{FFE52DE1-BED7-49D4-B105-09888E71219A}" cxnId="{78E6DEDA-018D-4BE9-BE6C-5E0D65A1F7A0}" type="parTrans">
      <dgm:prSet/>
      <dgm:spPr/>
      <dgm:t>
        <a:bodyPr/>
        <a:p>
          <a:endParaRPr lang="zh-CN" altLang="en-US"/>
        </a:p>
      </dgm:t>
    </dgm:pt>
    <dgm:pt modelId="{B8AC3F80-93B2-412F-B218-6D3C90583B89}" cxnId="{78E6DEDA-018D-4BE9-BE6C-5E0D65A1F7A0}" type="sibTrans">
      <dgm:prSet/>
      <dgm:spPr/>
      <dgm:t>
        <a:bodyPr/>
        <a:p>
          <a:endParaRPr lang="zh-CN" altLang="en-US"/>
        </a:p>
      </dgm:t>
    </dgm:pt>
    <dgm:pt modelId="{CE13D14C-0CCF-4185-AD39-4AB029E351EB}">
      <dgm:prSet phldrT="[文本]" custT="1"/>
      <dgm:spPr/>
      <dgm:t>
        <a:bodyPr/>
        <a:p>
          <a:r>
            <a:rPr lang="zh-CN" altLang="en-US" sz="1100">
              <a:latin typeface="微软雅黑 Light" panose="020B0502040204020203" pitchFamily="2" charset="-122"/>
              <a:ea typeface="微软雅黑 Light" panose="020B0502040204020203" pitchFamily="2" charset="-122"/>
            </a:rPr>
            <a:t>医师报名</a:t>
          </a:r>
        </a:p>
      </dgm:t>
    </dgm:pt>
    <dgm:pt modelId="{06D0F98F-515D-4567-9B73-BBAE5A77FEC6}" cxnId="{9D9E11E3-8FBC-4FA0-8A7C-97EAF6B648AE}" type="parTrans">
      <dgm:prSet/>
      <dgm:spPr/>
      <dgm:t>
        <a:bodyPr/>
        <a:p>
          <a:endParaRPr lang="zh-CN" altLang="en-US"/>
        </a:p>
      </dgm:t>
    </dgm:pt>
    <dgm:pt modelId="{A23CFAAD-0EB9-4093-8572-BFEDFD542363}" cxnId="{9D9E11E3-8FBC-4FA0-8A7C-97EAF6B648AE}" type="sibTrans">
      <dgm:prSet/>
      <dgm:spPr/>
      <dgm:t>
        <a:bodyPr/>
        <a:p>
          <a:endParaRPr lang="zh-CN" altLang="en-US"/>
        </a:p>
      </dgm:t>
    </dgm:pt>
    <dgm:pt modelId="{038AA7F5-F408-486C-8527-0EB911F08310}">
      <dgm:prSet phldrT="[文本]" custT="1"/>
      <dgm:spPr/>
      <dgm:t>
        <a:bodyPr/>
        <a:p>
          <a:r>
            <a:rPr lang="zh-CN" altLang="en-US" sz="1200" b="1">
              <a:latin typeface="微软雅黑 Light" panose="020B0502040204020203" pitchFamily="2" charset="-122"/>
              <a:ea typeface="微软雅黑 Light" panose="020B0502040204020203" pitchFamily="2" charset="-122"/>
            </a:rPr>
            <a:t>机构评价（执业道德、工作业绩）</a:t>
          </a:r>
        </a:p>
      </dgm:t>
    </dgm:pt>
    <dgm:pt modelId="{1A4FB134-77D8-4415-A3AF-508A6360A9CB}" cxnId="{2A84D9F6-CC4C-4A94-AB13-3A8EFCAD4E54}" type="parTrans">
      <dgm:prSet/>
      <dgm:spPr/>
      <dgm:t>
        <a:bodyPr/>
        <a:p>
          <a:endParaRPr lang="zh-CN" altLang="en-US"/>
        </a:p>
      </dgm:t>
    </dgm:pt>
    <dgm:pt modelId="{E23CFB62-1FC3-42D4-A4D1-DC61FD978ADF}" cxnId="{2A84D9F6-CC4C-4A94-AB13-3A8EFCAD4E54}" type="sibTrans">
      <dgm:prSet/>
      <dgm:spPr/>
      <dgm:t>
        <a:bodyPr/>
        <a:p>
          <a:endParaRPr lang="zh-CN" altLang="en-US"/>
        </a:p>
      </dgm:t>
    </dgm:pt>
    <dgm:pt modelId="{DA101525-2F13-4EE8-965F-002160DF19D3}">
      <dgm:prSet phldrT="[文本]" custT="1"/>
      <dgm:spPr/>
      <dgm:t>
        <a:bodyPr/>
        <a:p>
          <a:r>
            <a:rPr lang="zh-CN" altLang="en-US" sz="1100">
              <a:latin typeface="微软雅黑 Light" panose="020B0502040204020203" pitchFamily="2" charset="-122"/>
              <a:ea typeface="微软雅黑 Light" panose="020B0502040204020203" pitchFamily="2" charset="-122"/>
            </a:rPr>
            <a:t>所在机构评价</a:t>
          </a:r>
        </a:p>
      </dgm:t>
    </dgm:pt>
    <dgm:pt modelId="{6BB4DD67-BFD8-4CAE-A35D-6F82B2B3CAE7}" cxnId="{9E538EA1-22C8-40BA-AE64-697046322D2A}" type="parTrans">
      <dgm:prSet/>
      <dgm:spPr/>
      <dgm:t>
        <a:bodyPr/>
        <a:p>
          <a:endParaRPr lang="zh-CN" altLang="en-US"/>
        </a:p>
      </dgm:t>
    </dgm:pt>
    <dgm:pt modelId="{DB53D7B1-48DC-4D6E-BB1F-34C2F4F95ABB}" cxnId="{9E538EA1-22C8-40BA-AE64-697046322D2A}" type="sibTrans">
      <dgm:prSet/>
      <dgm:spPr/>
      <dgm:t>
        <a:bodyPr/>
        <a:p>
          <a:endParaRPr lang="zh-CN" altLang="en-US"/>
        </a:p>
      </dgm:t>
    </dgm:pt>
    <dgm:pt modelId="{C68134C5-7BF7-4685-A1B7-7FF14A87E5D2}">
      <dgm:prSet phldrT="[文本]" custT="1"/>
      <dgm:spPr/>
      <dgm:t>
        <a:bodyPr/>
        <a:p>
          <a:r>
            <a:rPr lang="zh-CN" altLang="en-US" sz="1200" b="1">
              <a:latin typeface="微软雅黑 Light" panose="020B0502040204020203" pitchFamily="2" charset="-122"/>
              <a:ea typeface="微软雅黑 Light" panose="020B0502040204020203" pitchFamily="2" charset="-122"/>
            </a:rPr>
            <a:t>业务水平测评</a:t>
          </a:r>
        </a:p>
      </dgm:t>
    </dgm:pt>
    <dgm:pt modelId="{85B78886-78AD-400B-905A-4C522E26E3D4}" cxnId="{67AD6075-CE3C-4534-997D-8C445B0CED82}" type="parTrans">
      <dgm:prSet/>
      <dgm:spPr/>
      <dgm:t>
        <a:bodyPr/>
        <a:p>
          <a:endParaRPr lang="zh-CN" altLang="en-US"/>
        </a:p>
      </dgm:t>
    </dgm:pt>
    <dgm:pt modelId="{2A1064EC-D391-4933-A17B-ED68EDAF8A57}" cxnId="{67AD6075-CE3C-4534-997D-8C445B0CED82}" type="sibTrans">
      <dgm:prSet/>
      <dgm:spPr/>
      <dgm:t>
        <a:bodyPr/>
        <a:p>
          <a:endParaRPr lang="zh-CN" altLang="en-US"/>
        </a:p>
      </dgm:t>
    </dgm:pt>
    <dgm:pt modelId="{73E9BCAB-EB1E-40BB-A43D-064ABD8D0500}">
      <dgm:prSet phldrT="[文本]" custT="1"/>
      <dgm:spPr/>
      <dgm:t>
        <a:bodyPr/>
        <a:p>
          <a:r>
            <a:rPr lang="zh-CN" altLang="en-US" sz="1200" b="1">
              <a:latin typeface="微软雅黑 Light" panose="020B0502040204020203" pitchFamily="2" charset="-122"/>
              <a:ea typeface="微软雅黑 Light" panose="020B0502040204020203" pitchFamily="2" charset="-122"/>
            </a:rPr>
            <a:t>考核结果汇总</a:t>
          </a:r>
        </a:p>
      </dgm:t>
    </dgm:pt>
    <dgm:pt modelId="{D3F76854-8EBE-4398-98EA-B336C50EE1FE}" cxnId="{E3B6C466-F68A-4BA0-921D-415FA02BC7CA}" type="parTrans">
      <dgm:prSet/>
      <dgm:spPr/>
      <dgm:t>
        <a:bodyPr/>
        <a:p>
          <a:endParaRPr lang="zh-CN" altLang="en-US"/>
        </a:p>
      </dgm:t>
    </dgm:pt>
    <dgm:pt modelId="{023B2BD2-2A81-46C5-82D1-45648E66BC7D}" cxnId="{E3B6C466-F68A-4BA0-921D-415FA02BC7CA}" type="sibTrans">
      <dgm:prSet/>
      <dgm:spPr/>
      <dgm:t>
        <a:bodyPr/>
        <a:p>
          <a:endParaRPr lang="zh-CN" altLang="en-US"/>
        </a:p>
      </dgm:t>
    </dgm:pt>
    <dgm:pt modelId="{88A69A05-FEE3-4278-ACC1-72C81D3E6675}">
      <dgm:prSet phldrT="[文本]" custT="1"/>
      <dgm:spPr/>
      <dgm:t>
        <a:bodyPr/>
        <a:p>
          <a:r>
            <a:rPr lang="zh-CN" altLang="en-US" sz="1200" b="1">
              <a:latin typeface="微软雅黑 Light" panose="020B0502040204020203" pitchFamily="2" charset="-122"/>
              <a:ea typeface="微软雅黑 Light" panose="020B0502040204020203" pitchFamily="2" charset="-122"/>
            </a:rPr>
            <a:t>考核报名</a:t>
          </a:r>
        </a:p>
      </dgm:t>
    </dgm:pt>
    <dgm:pt modelId="{AB862497-9BA8-4C5B-8730-59662A7C0491}" cxnId="{B0CD07F1-360E-4E30-95EE-FAB51CE017A3}" type="sibTrans">
      <dgm:prSet/>
      <dgm:spPr/>
      <dgm:t>
        <a:bodyPr/>
        <a:p>
          <a:endParaRPr lang="zh-CN" altLang="en-US"/>
        </a:p>
      </dgm:t>
    </dgm:pt>
    <dgm:pt modelId="{3B37751E-8903-45AB-92F5-497E3A61BC0C}" cxnId="{B0CD07F1-360E-4E30-95EE-FAB51CE017A3}" type="parTrans">
      <dgm:prSet/>
      <dgm:spPr/>
      <dgm:t>
        <a:bodyPr/>
        <a:p>
          <a:endParaRPr lang="zh-CN" altLang="en-US"/>
        </a:p>
      </dgm:t>
    </dgm:pt>
    <dgm:pt modelId="{31B889EB-5C06-4C0A-A17F-A0C37F8F6E2D}">
      <dgm:prSet phldrT="[文本]" custT="1"/>
      <dgm:spPr/>
      <dgm:t>
        <a:bodyPr/>
        <a:p>
          <a:r>
            <a:rPr lang="zh-CN" altLang="en-US" sz="1100">
              <a:latin typeface="微软雅黑 Light" panose="020B0502040204020203" pitchFamily="2" charset="-122"/>
              <a:ea typeface="微软雅黑 Light" panose="020B0502040204020203" pitchFamily="2" charset="-122"/>
            </a:rPr>
            <a:t>多点机构评价</a:t>
          </a:r>
        </a:p>
      </dgm:t>
    </dgm:pt>
    <dgm:pt modelId="{35B3270E-787B-4F68-AE84-F3FB4495F069}" cxnId="{A21FC094-8FC5-49C8-A4FE-2183BABE6CDF}" type="parTrans">
      <dgm:prSet/>
      <dgm:spPr/>
      <dgm:t>
        <a:bodyPr/>
        <a:p>
          <a:endParaRPr lang="zh-CN" altLang="en-US"/>
        </a:p>
      </dgm:t>
    </dgm:pt>
    <dgm:pt modelId="{8C33D55F-772B-41A7-ACD2-0BF3BADB3ADE}" cxnId="{A21FC094-8FC5-49C8-A4FE-2183BABE6CDF}" type="sibTrans">
      <dgm:prSet/>
      <dgm:spPr/>
      <dgm:t>
        <a:bodyPr/>
        <a:p>
          <a:endParaRPr lang="zh-CN" altLang="en-US"/>
        </a:p>
      </dgm:t>
    </dgm:pt>
    <dgm:pt modelId="{68FC0FFE-DFCB-448A-A795-E5EFCCE08ED6}">
      <dgm:prSet phldrT="[文本]" custT="1"/>
      <dgm:spPr/>
      <dgm:t>
        <a:bodyPr/>
        <a:p>
          <a:r>
            <a:rPr lang="zh-CN" altLang="en-US" sz="1100" b="0">
              <a:latin typeface="微软雅黑 Light" panose="020B0502040204020203" pitchFamily="2" charset="-122"/>
              <a:ea typeface="微软雅黑 Light" panose="020B0502040204020203" pitchFamily="2" charset="-122"/>
            </a:rPr>
            <a:t>参考进度跟踪</a:t>
          </a:r>
        </a:p>
      </dgm:t>
    </dgm:pt>
    <dgm:pt modelId="{212B5EF3-08C6-4499-B29A-D2BFB852AF25}" cxnId="{B8CE3DDA-95DC-42F8-9C8D-DA33BDD2500C}" type="parTrans">
      <dgm:prSet/>
      <dgm:spPr/>
      <dgm:t>
        <a:bodyPr/>
        <a:p>
          <a:endParaRPr lang="zh-CN" altLang="en-US"/>
        </a:p>
      </dgm:t>
    </dgm:pt>
    <dgm:pt modelId="{85EAC964-4FA0-4974-9099-EE3211A5C31E}" cxnId="{B8CE3DDA-95DC-42F8-9C8D-DA33BDD2500C}" type="sibTrans">
      <dgm:prSet/>
      <dgm:spPr/>
      <dgm:t>
        <a:bodyPr/>
        <a:p>
          <a:endParaRPr lang="zh-CN" altLang="en-US"/>
        </a:p>
      </dgm:t>
    </dgm:pt>
    <dgm:pt modelId="{CF1DD49B-5387-4608-8129-ABEDB73D99AF}">
      <dgm:prSet phldrT="[文本]" custT="1"/>
      <dgm:spPr/>
      <dgm:t>
        <a:bodyPr/>
        <a:p>
          <a:r>
            <a:rPr lang="zh-CN" altLang="en-US" sz="1100" b="0">
              <a:latin typeface="微软雅黑 Light" panose="020B0502040204020203" pitchFamily="2" charset="-122"/>
              <a:ea typeface="微软雅黑 Light" panose="020B0502040204020203" pitchFamily="2" charset="-122"/>
            </a:rPr>
            <a:t>考核结果汇总</a:t>
          </a:r>
        </a:p>
      </dgm:t>
    </dgm:pt>
    <dgm:pt modelId="{20A68CBA-37DA-42D8-9D33-C8D17FDEA266}" cxnId="{39AE5DAD-BA37-4834-9E0C-C865ADD8B48B}" type="parTrans">
      <dgm:prSet/>
      <dgm:spPr/>
      <dgm:t>
        <a:bodyPr/>
        <a:p>
          <a:endParaRPr lang="zh-CN" altLang="en-US"/>
        </a:p>
      </dgm:t>
    </dgm:pt>
    <dgm:pt modelId="{658A71C0-2D5D-47DA-9939-E2169FDC2544}" cxnId="{39AE5DAD-BA37-4834-9E0C-C865ADD8B48B}" type="sibTrans">
      <dgm:prSet/>
      <dgm:spPr/>
      <dgm:t>
        <a:bodyPr/>
        <a:p>
          <a:endParaRPr lang="zh-CN" altLang="en-US"/>
        </a:p>
      </dgm:t>
    </dgm:pt>
    <dgm:pt modelId="{7670D1FC-A3D8-4440-BBA0-F748482447DA}">
      <dgm:prSet phldrT="[文本]" custT="1"/>
      <dgm:spPr/>
      <dgm:t>
        <a:bodyPr/>
        <a:p>
          <a:r>
            <a:rPr lang="zh-CN" altLang="en-US" sz="1100" b="0">
              <a:latin typeface="微软雅黑 Light" panose="020B0502040204020203" pitchFamily="2" charset="-122"/>
              <a:ea typeface="微软雅黑 Light" panose="020B0502040204020203" pitchFamily="2" charset="-122"/>
            </a:rPr>
            <a:t>违规违法情况处理</a:t>
          </a:r>
        </a:p>
      </dgm:t>
    </dgm:pt>
    <dgm:pt modelId="{B06AE87A-925E-40BA-99D5-56896D894FD3}" cxnId="{EA80704A-71AD-45E0-BC49-9D2917AB1506}" type="parTrans">
      <dgm:prSet/>
      <dgm:spPr/>
      <dgm:t>
        <a:bodyPr/>
        <a:p>
          <a:endParaRPr lang="zh-CN" altLang="en-US"/>
        </a:p>
      </dgm:t>
    </dgm:pt>
    <dgm:pt modelId="{F2DEA297-E6E4-4ED7-BD53-1AACE4F63FD9}" cxnId="{EA80704A-71AD-45E0-BC49-9D2917AB1506}" type="sibTrans">
      <dgm:prSet/>
      <dgm:spPr/>
      <dgm:t>
        <a:bodyPr/>
        <a:p>
          <a:endParaRPr lang="zh-CN" altLang="en-US"/>
        </a:p>
      </dgm:t>
    </dgm:pt>
    <dgm:pt modelId="{C4C90FEF-572A-4FBB-BCAE-C556E234B88A}">
      <dgm:prSet phldrT="[文本]" custT="1"/>
      <dgm:spPr/>
      <dgm:t>
        <a:bodyPr/>
        <a:p>
          <a:r>
            <a:rPr lang="zh-CN" altLang="en-US" sz="1100">
              <a:latin typeface="微软雅黑 Light" panose="020B0502040204020203" pitchFamily="2" charset="-122"/>
              <a:ea typeface="微软雅黑 Light" panose="020B0502040204020203" pitchFamily="2" charset="-122"/>
            </a:rPr>
            <a:t>报名跟踪</a:t>
          </a:r>
        </a:p>
      </dgm:t>
    </dgm:pt>
    <dgm:pt modelId="{C2D01D02-39BA-491B-B405-8B80D7DE3AD2}" cxnId="{5741D56D-3E63-4148-9930-C06DBD96DF9C}" type="sibTrans">
      <dgm:prSet/>
      <dgm:spPr/>
      <dgm:t>
        <a:bodyPr/>
        <a:p>
          <a:endParaRPr lang="zh-CN" altLang="en-US"/>
        </a:p>
      </dgm:t>
    </dgm:pt>
    <dgm:pt modelId="{B7893A41-667C-49A5-AB2D-90EEF12BD1C1}" cxnId="{5741D56D-3E63-4148-9930-C06DBD96DF9C}" type="parTrans">
      <dgm:prSet/>
      <dgm:spPr/>
      <dgm:t>
        <a:bodyPr/>
        <a:p>
          <a:endParaRPr lang="zh-CN" altLang="en-US"/>
        </a:p>
      </dgm:t>
    </dgm:pt>
    <dgm:pt modelId="{4249F5DB-C1DB-492A-9A84-A95C096A58C4}" type="pres">
      <dgm:prSet presAssocID="{E69CC0DF-1E35-409A-9D07-35650C06A5CB}" presName="Name0" presStyleCnt="0">
        <dgm:presLayoutVars>
          <dgm:chMax val="7"/>
          <dgm:chPref val="7"/>
          <dgm:dir/>
          <dgm:animLvl val="lvl"/>
        </dgm:presLayoutVars>
      </dgm:prSet>
      <dgm:spPr/>
      <dgm:t>
        <a:bodyPr/>
        <a:p>
          <a:endParaRPr lang="zh-CN" altLang="en-US"/>
        </a:p>
      </dgm:t>
    </dgm:pt>
    <dgm:pt modelId="{2002C4DD-81D5-466B-91EB-386127BB42A9}" type="pres">
      <dgm:prSet presAssocID="{6709102C-F962-4F83-A95D-03A0F3E6C748}" presName="Accent1" presStyleCnt="0"/>
      <dgm:spPr/>
      <dgm:t>
        <a:bodyPr/>
        <a:p>
          <a:endParaRPr lang="zh-CN" altLang="en-US"/>
        </a:p>
      </dgm:t>
    </dgm:pt>
    <dgm:pt modelId="{176BE099-EB5E-455B-929B-181A51DDBB70}" type="pres">
      <dgm:prSet presAssocID="{6709102C-F962-4F83-A95D-03A0F3E6C748}" presName="Accent" presStyleLbl="node1" presStyleIdx="0" presStyleCnt="5"/>
      <dgm:spPr/>
      <dgm:t>
        <a:bodyPr/>
        <a:p>
          <a:endParaRPr lang="zh-CN" altLang="en-US"/>
        </a:p>
      </dgm:t>
    </dgm:pt>
    <dgm:pt modelId="{FF5CB57C-54AA-4197-94B0-DFBB1FA8B10C}" type="pres">
      <dgm:prSet presAssocID="{6709102C-F962-4F83-A95D-03A0F3E6C748}" presName="Child1" presStyleLbl="revTx" presStyleIdx="0" presStyleCnt="10" custScaleX="114748">
        <dgm:presLayoutVars>
          <dgm:chMax val="0"/>
          <dgm:chPref val="0"/>
          <dgm:bulletEnabled val="1"/>
        </dgm:presLayoutVars>
      </dgm:prSet>
      <dgm:spPr/>
      <dgm:t>
        <a:bodyPr/>
        <a:p>
          <a:endParaRPr lang="zh-CN" altLang="en-US"/>
        </a:p>
      </dgm:t>
    </dgm:pt>
    <dgm:pt modelId="{74EDA46D-570C-44FD-A47F-9DC5D20A64AA}" type="pres">
      <dgm:prSet presAssocID="{6709102C-F962-4F83-A95D-03A0F3E6C748}" presName="Parent1" presStyleLbl="revTx" presStyleIdx="1" presStyleCnt="10" custScaleX="114748">
        <dgm:presLayoutVars>
          <dgm:chMax val="1"/>
          <dgm:chPref val="1"/>
          <dgm:bulletEnabled val="1"/>
        </dgm:presLayoutVars>
      </dgm:prSet>
      <dgm:spPr/>
      <dgm:t>
        <a:bodyPr/>
        <a:p>
          <a:endParaRPr lang="zh-CN" altLang="en-US"/>
        </a:p>
      </dgm:t>
    </dgm:pt>
    <dgm:pt modelId="{6FFB32BE-7DBD-4FE2-B7E6-84CE49976A9B}" type="pres">
      <dgm:prSet presAssocID="{88A69A05-FEE3-4278-ACC1-72C81D3E6675}" presName="Accent2" presStyleCnt="0"/>
      <dgm:spPr/>
      <dgm:t>
        <a:bodyPr/>
        <a:p>
          <a:endParaRPr lang="zh-CN" altLang="en-US"/>
        </a:p>
      </dgm:t>
    </dgm:pt>
    <dgm:pt modelId="{E67FC738-6728-45E2-8F41-E5B740F3F8AB}" type="pres">
      <dgm:prSet presAssocID="{88A69A05-FEE3-4278-ACC1-72C81D3E6675}" presName="Accent" presStyleLbl="node1" presStyleIdx="1" presStyleCnt="5"/>
      <dgm:spPr/>
      <dgm:t>
        <a:bodyPr/>
        <a:p>
          <a:endParaRPr lang="zh-CN" altLang="en-US"/>
        </a:p>
      </dgm:t>
    </dgm:pt>
    <dgm:pt modelId="{01587981-363B-423B-A13A-CB39378C4C17}" type="pres">
      <dgm:prSet presAssocID="{88A69A05-FEE3-4278-ACC1-72C81D3E6675}" presName="Child2" presStyleLbl="revTx" presStyleIdx="2" presStyleCnt="10" custScaleX="114748">
        <dgm:presLayoutVars>
          <dgm:chMax val="0"/>
          <dgm:chPref val="0"/>
          <dgm:bulletEnabled val="1"/>
        </dgm:presLayoutVars>
      </dgm:prSet>
      <dgm:spPr/>
      <dgm:t>
        <a:bodyPr/>
        <a:p>
          <a:endParaRPr lang="zh-CN" altLang="en-US"/>
        </a:p>
      </dgm:t>
    </dgm:pt>
    <dgm:pt modelId="{9CAEBE00-D695-42F4-82A2-3F4BD267E8D6}" type="pres">
      <dgm:prSet presAssocID="{88A69A05-FEE3-4278-ACC1-72C81D3E6675}" presName="Parent2" presStyleLbl="revTx" presStyleIdx="3" presStyleCnt="10">
        <dgm:presLayoutVars>
          <dgm:chMax val="1"/>
          <dgm:chPref val="1"/>
          <dgm:bulletEnabled val="1"/>
        </dgm:presLayoutVars>
      </dgm:prSet>
      <dgm:spPr/>
      <dgm:t>
        <a:bodyPr/>
        <a:p>
          <a:endParaRPr lang="zh-CN" altLang="en-US"/>
        </a:p>
      </dgm:t>
    </dgm:pt>
    <dgm:pt modelId="{8BF85C71-FC62-44F1-B49D-A691DEAABCD0}" type="pres">
      <dgm:prSet presAssocID="{038AA7F5-F408-486C-8527-0EB911F08310}" presName="Accent3" presStyleCnt="0"/>
      <dgm:spPr/>
      <dgm:t>
        <a:bodyPr/>
        <a:p>
          <a:endParaRPr lang="zh-CN" altLang="en-US"/>
        </a:p>
      </dgm:t>
    </dgm:pt>
    <dgm:pt modelId="{151808E1-D772-4D8B-9E2C-0F948D17D78E}" type="pres">
      <dgm:prSet presAssocID="{038AA7F5-F408-486C-8527-0EB911F08310}" presName="Accent" presStyleLbl="node1" presStyleIdx="2" presStyleCnt="5"/>
      <dgm:spPr/>
      <dgm:t>
        <a:bodyPr/>
        <a:p>
          <a:endParaRPr lang="zh-CN" altLang="en-US"/>
        </a:p>
      </dgm:t>
    </dgm:pt>
    <dgm:pt modelId="{32DA6570-A550-449D-B083-140F1D7AA48B}" type="pres">
      <dgm:prSet presAssocID="{038AA7F5-F408-486C-8527-0EB911F08310}" presName="Child3" presStyleLbl="revTx" presStyleIdx="4" presStyleCnt="10" custScaleX="114748">
        <dgm:presLayoutVars>
          <dgm:chMax val="0"/>
          <dgm:chPref val="0"/>
          <dgm:bulletEnabled val="1"/>
        </dgm:presLayoutVars>
      </dgm:prSet>
      <dgm:spPr/>
      <dgm:t>
        <a:bodyPr/>
        <a:p>
          <a:endParaRPr lang="zh-CN" altLang="en-US"/>
        </a:p>
      </dgm:t>
    </dgm:pt>
    <dgm:pt modelId="{9FA207C8-A4CD-4F5F-97D2-FE86028BBA4A}" type="pres">
      <dgm:prSet presAssocID="{038AA7F5-F408-486C-8527-0EB911F08310}" presName="Parent3" presStyleLbl="revTx" presStyleIdx="5" presStyleCnt="10">
        <dgm:presLayoutVars>
          <dgm:chMax val="1"/>
          <dgm:chPref val="1"/>
          <dgm:bulletEnabled val="1"/>
        </dgm:presLayoutVars>
      </dgm:prSet>
      <dgm:spPr/>
      <dgm:t>
        <a:bodyPr/>
        <a:p>
          <a:endParaRPr lang="zh-CN" altLang="en-US"/>
        </a:p>
      </dgm:t>
    </dgm:pt>
    <dgm:pt modelId="{E7FA68C0-4F59-4FF5-B8E2-0323C1E64310}" type="pres">
      <dgm:prSet presAssocID="{C68134C5-7BF7-4685-A1B7-7FF14A87E5D2}" presName="Accent4" presStyleCnt="0"/>
      <dgm:spPr/>
      <dgm:t>
        <a:bodyPr/>
        <a:p>
          <a:endParaRPr lang="zh-CN" altLang="en-US"/>
        </a:p>
      </dgm:t>
    </dgm:pt>
    <dgm:pt modelId="{6E535CF1-A027-4FC9-BC1E-F9F3CA48756D}" type="pres">
      <dgm:prSet presAssocID="{C68134C5-7BF7-4685-A1B7-7FF14A87E5D2}" presName="Accent" presStyleLbl="node1" presStyleIdx="3" presStyleCnt="5"/>
      <dgm:spPr/>
      <dgm:t>
        <a:bodyPr/>
        <a:p>
          <a:endParaRPr lang="zh-CN" altLang="en-US"/>
        </a:p>
      </dgm:t>
    </dgm:pt>
    <dgm:pt modelId="{F33334AF-5512-493D-8099-CC4004DDC0D2}" type="pres">
      <dgm:prSet presAssocID="{C68134C5-7BF7-4685-A1B7-7FF14A87E5D2}" presName="Child4" presStyleLbl="revTx" presStyleIdx="6" presStyleCnt="10" custScaleX="114748">
        <dgm:presLayoutVars>
          <dgm:chMax val="0"/>
          <dgm:chPref val="0"/>
          <dgm:bulletEnabled val="1"/>
        </dgm:presLayoutVars>
      </dgm:prSet>
      <dgm:spPr/>
      <dgm:t>
        <a:bodyPr/>
        <a:p>
          <a:endParaRPr lang="zh-CN" altLang="en-US"/>
        </a:p>
      </dgm:t>
    </dgm:pt>
    <dgm:pt modelId="{BCC1CE6C-A110-4466-BD00-E58AC02B9DD3}" type="pres">
      <dgm:prSet presAssocID="{C68134C5-7BF7-4685-A1B7-7FF14A87E5D2}" presName="Parent4" presStyleLbl="revTx" presStyleIdx="7" presStyleCnt="10">
        <dgm:presLayoutVars>
          <dgm:chMax val="1"/>
          <dgm:chPref val="1"/>
          <dgm:bulletEnabled val="1"/>
        </dgm:presLayoutVars>
      </dgm:prSet>
      <dgm:spPr/>
      <dgm:t>
        <a:bodyPr/>
        <a:p>
          <a:endParaRPr lang="zh-CN" altLang="en-US"/>
        </a:p>
      </dgm:t>
    </dgm:pt>
    <dgm:pt modelId="{B3220F31-C1E0-4773-B060-3A009C3E4D64}" type="pres">
      <dgm:prSet presAssocID="{73E9BCAB-EB1E-40BB-A43D-064ABD8D0500}" presName="Accent5" presStyleCnt="0"/>
      <dgm:spPr/>
      <dgm:t>
        <a:bodyPr/>
        <a:p>
          <a:endParaRPr lang="zh-CN" altLang="en-US"/>
        </a:p>
      </dgm:t>
    </dgm:pt>
    <dgm:pt modelId="{710AD4A0-656B-4897-830B-FF1188C41E12}" type="pres">
      <dgm:prSet presAssocID="{73E9BCAB-EB1E-40BB-A43D-064ABD8D0500}" presName="Accent" presStyleLbl="node1" presStyleIdx="4" presStyleCnt="5"/>
      <dgm:spPr/>
      <dgm:t>
        <a:bodyPr/>
        <a:p>
          <a:endParaRPr lang="zh-CN" altLang="en-US"/>
        </a:p>
      </dgm:t>
    </dgm:pt>
    <dgm:pt modelId="{2F1C14F1-5105-46C4-9E25-07817A5121E5}" type="pres">
      <dgm:prSet presAssocID="{73E9BCAB-EB1E-40BB-A43D-064ABD8D0500}" presName="Child5" presStyleLbl="revTx" presStyleIdx="8" presStyleCnt="10" custScaleX="114748">
        <dgm:presLayoutVars>
          <dgm:chMax val="0"/>
          <dgm:chPref val="0"/>
          <dgm:bulletEnabled val="1"/>
        </dgm:presLayoutVars>
      </dgm:prSet>
      <dgm:spPr/>
      <dgm:t>
        <a:bodyPr/>
        <a:p>
          <a:endParaRPr lang="zh-CN" altLang="en-US"/>
        </a:p>
      </dgm:t>
    </dgm:pt>
    <dgm:pt modelId="{F33E63CF-0CDC-44A4-BAB8-F1B52F601A09}" type="pres">
      <dgm:prSet presAssocID="{73E9BCAB-EB1E-40BB-A43D-064ABD8D0500}" presName="Parent5" presStyleLbl="revTx" presStyleIdx="9" presStyleCnt="10">
        <dgm:presLayoutVars>
          <dgm:chMax val="1"/>
          <dgm:chPref val="1"/>
          <dgm:bulletEnabled val="1"/>
        </dgm:presLayoutVars>
      </dgm:prSet>
      <dgm:spPr/>
      <dgm:t>
        <a:bodyPr/>
        <a:p>
          <a:endParaRPr lang="zh-CN" altLang="en-US"/>
        </a:p>
      </dgm:t>
    </dgm:pt>
  </dgm:ptLst>
  <dgm:cxnLst>
    <dgm:cxn modelId="{5CD9FB76-3C55-4F0D-A9F9-86BAFD4DD156}" type="presOf" srcId="{C4C90FEF-572A-4FBB-BCAE-C556E234B88A}" destId="{01587981-363B-423B-A13A-CB39378C4C17}" srcOrd="0" destOrd="1" presId="urn:microsoft.com/office/officeart/2009/layout/CircleArrowProcess"/>
    <dgm:cxn modelId="{A21FC094-8FC5-49C8-A4FE-2183BABE6CDF}" srcId="{038AA7F5-F408-486C-8527-0EB911F08310}" destId="{31B889EB-5C06-4C0A-A17F-A0C37F8F6E2D}" srcOrd="1" destOrd="0" parTransId="{35B3270E-787B-4F68-AE84-F3FB4495F069}" sibTransId="{8C33D55F-772B-41A7-ACD2-0BF3BADB3ADE}"/>
    <dgm:cxn modelId="{B8CE3DDA-95DC-42F8-9C8D-DA33BDD2500C}" srcId="{C68134C5-7BF7-4685-A1B7-7FF14A87E5D2}" destId="{68FC0FFE-DFCB-448A-A795-E5EFCCE08ED6}" srcOrd="0" destOrd="0" parTransId="{212B5EF3-08C6-4499-B29A-D2BFB852AF25}" sibTransId="{85EAC964-4FA0-4974-9099-EE3211A5C31E}"/>
    <dgm:cxn modelId="{B0CD07F1-360E-4E30-95EE-FAB51CE017A3}" srcId="{E69CC0DF-1E35-409A-9D07-35650C06A5CB}" destId="{88A69A05-FEE3-4278-ACC1-72C81D3E6675}" srcOrd="1" destOrd="0" parTransId="{3B37751E-8903-45AB-92F5-497E3A61BC0C}" sibTransId="{AB862497-9BA8-4C5B-8730-59662A7C0491}"/>
    <dgm:cxn modelId="{67AD6075-CE3C-4534-997D-8C445B0CED82}" srcId="{E69CC0DF-1E35-409A-9D07-35650C06A5CB}" destId="{C68134C5-7BF7-4685-A1B7-7FF14A87E5D2}" srcOrd="3" destOrd="0" parTransId="{85B78886-78AD-400B-905A-4C522E26E3D4}" sibTransId="{2A1064EC-D391-4933-A17B-ED68EDAF8A57}"/>
    <dgm:cxn modelId="{3AC9737B-E3AC-4B72-9E22-B73372DBC258}" type="presOf" srcId="{C68134C5-7BF7-4685-A1B7-7FF14A87E5D2}" destId="{BCC1CE6C-A110-4466-BD00-E58AC02B9DD3}" srcOrd="0" destOrd="0" presId="urn:microsoft.com/office/officeart/2009/layout/CircleArrowProcess"/>
    <dgm:cxn modelId="{78E6DEDA-018D-4BE9-BE6C-5E0D65A1F7A0}" srcId="{6709102C-F962-4F83-A95D-03A0F3E6C748}" destId="{23C6C3FB-D0FE-4453-B7A9-14AE83DEE130}" srcOrd="1" destOrd="0" parTransId="{FFE52DE1-BED7-49D4-B105-09888E71219A}" sibTransId="{B8AC3F80-93B2-412F-B218-6D3C90583B89}"/>
    <dgm:cxn modelId="{E3B6C466-F68A-4BA0-921D-415FA02BC7CA}" srcId="{E69CC0DF-1E35-409A-9D07-35650C06A5CB}" destId="{73E9BCAB-EB1E-40BB-A43D-064ABD8D0500}" srcOrd="4" destOrd="0" parTransId="{D3F76854-8EBE-4398-98EA-B336C50EE1FE}" sibTransId="{023B2BD2-2A81-46C5-82D1-45648E66BC7D}"/>
    <dgm:cxn modelId="{BB1E57FF-5A99-45AF-B2C8-CF6BBE1B394F}" type="presOf" srcId="{88A69A05-FEE3-4278-ACC1-72C81D3E6675}" destId="{9CAEBE00-D695-42F4-82A2-3F4BD267E8D6}" srcOrd="0" destOrd="0" presId="urn:microsoft.com/office/officeart/2009/layout/CircleArrowProcess"/>
    <dgm:cxn modelId="{5741D56D-3E63-4148-9930-C06DBD96DF9C}" srcId="{88A69A05-FEE3-4278-ACC1-72C81D3E6675}" destId="{C4C90FEF-572A-4FBB-BCAE-C556E234B88A}" srcOrd="1" destOrd="0" parTransId="{B7893A41-667C-49A5-AB2D-90EEF12BD1C1}" sibTransId="{C2D01D02-39BA-491B-B405-8B80D7DE3AD2}"/>
    <dgm:cxn modelId="{5D1FDF92-F6D4-40D3-8431-69372CC78AAA}" type="presOf" srcId="{CF1DD49B-5387-4608-8129-ABEDB73D99AF}" destId="{2F1C14F1-5105-46C4-9E25-07817A5121E5}" srcOrd="0" destOrd="0" presId="urn:microsoft.com/office/officeart/2009/layout/CircleArrowProcess"/>
    <dgm:cxn modelId="{9D9E11E3-8FBC-4FA0-8A7C-97EAF6B648AE}" srcId="{88A69A05-FEE3-4278-ACC1-72C81D3E6675}" destId="{CE13D14C-0CCF-4185-AD39-4AB029E351EB}" srcOrd="0" destOrd="0" parTransId="{06D0F98F-515D-4567-9B73-BBAE5A77FEC6}" sibTransId="{A23CFAAD-0EB9-4093-8572-BFEDFD542363}"/>
    <dgm:cxn modelId="{20F27058-CEFA-479E-BF98-CE53C77CC477}" type="presOf" srcId="{68FC0FFE-DFCB-448A-A795-E5EFCCE08ED6}" destId="{F33334AF-5512-493D-8099-CC4004DDC0D2}" srcOrd="0" destOrd="0" presId="urn:microsoft.com/office/officeart/2009/layout/CircleArrowProcess"/>
    <dgm:cxn modelId="{EA80704A-71AD-45E0-BC49-9D2917AB1506}" srcId="{73E9BCAB-EB1E-40BB-A43D-064ABD8D0500}" destId="{7670D1FC-A3D8-4440-BBA0-F748482447DA}" srcOrd="1" destOrd="0" parTransId="{B06AE87A-925E-40BA-99D5-56896D894FD3}" sibTransId="{F2DEA297-E6E4-4ED7-BD53-1AACE4F63FD9}"/>
    <dgm:cxn modelId="{270835E1-50B7-45E1-A1C7-2BA066CC07C6}" type="presOf" srcId="{23C6C3FB-D0FE-4453-B7A9-14AE83DEE130}" destId="{FF5CB57C-54AA-4197-94B0-DFBB1FA8B10C}" srcOrd="0" destOrd="1" presId="urn:microsoft.com/office/officeart/2009/layout/CircleArrowProcess"/>
    <dgm:cxn modelId="{16240D4E-325D-4DE8-9BFE-C999FABAC51C}" type="presOf" srcId="{73E9BCAB-EB1E-40BB-A43D-064ABD8D0500}" destId="{F33E63CF-0CDC-44A4-BAB8-F1B52F601A09}" srcOrd="0" destOrd="0" presId="urn:microsoft.com/office/officeart/2009/layout/CircleArrowProcess"/>
    <dgm:cxn modelId="{75783E17-8367-4E1F-A911-5F360799622C}" type="presOf" srcId="{31B889EB-5C06-4C0A-A17F-A0C37F8F6E2D}" destId="{32DA6570-A550-449D-B083-140F1D7AA48B}" srcOrd="0" destOrd="1" presId="urn:microsoft.com/office/officeart/2009/layout/CircleArrowProcess"/>
    <dgm:cxn modelId="{C406B996-FC72-47C6-AA0B-702AA4B4B1B1}" type="presOf" srcId="{038AA7F5-F408-486C-8527-0EB911F08310}" destId="{9FA207C8-A4CD-4F5F-97D2-FE86028BBA4A}" srcOrd="0" destOrd="0" presId="urn:microsoft.com/office/officeart/2009/layout/CircleArrowProcess"/>
    <dgm:cxn modelId="{EF8B00F7-0F07-4C8F-BCA4-62DF0CDA9690}" srcId="{6709102C-F962-4F83-A95D-03A0F3E6C748}" destId="{28B4F36C-18EF-4CD1-B1AD-1664B269B633}" srcOrd="0" destOrd="0" parTransId="{874A3927-7F46-4E3E-ADE1-BFE3046E93E4}" sibTransId="{B2E442C6-1678-4734-A32A-22F57EE6B9A1}"/>
    <dgm:cxn modelId="{73910261-8CBF-4FFF-A5DC-40AE5D515866}" type="presOf" srcId="{28B4F36C-18EF-4CD1-B1AD-1664B269B633}" destId="{FF5CB57C-54AA-4197-94B0-DFBB1FA8B10C}" srcOrd="0" destOrd="0" presId="urn:microsoft.com/office/officeart/2009/layout/CircleArrowProcess"/>
    <dgm:cxn modelId="{39AE5DAD-BA37-4834-9E0C-C865ADD8B48B}" srcId="{73E9BCAB-EB1E-40BB-A43D-064ABD8D0500}" destId="{CF1DD49B-5387-4608-8129-ABEDB73D99AF}" srcOrd="0" destOrd="0" parTransId="{20A68CBA-37DA-42D8-9D33-C8D17FDEA266}" sibTransId="{658A71C0-2D5D-47DA-9939-E2169FDC2544}"/>
    <dgm:cxn modelId="{2A84D9F6-CC4C-4A94-AB13-3A8EFCAD4E54}" srcId="{E69CC0DF-1E35-409A-9D07-35650C06A5CB}" destId="{038AA7F5-F408-486C-8527-0EB911F08310}" srcOrd="2" destOrd="0" parTransId="{1A4FB134-77D8-4415-A3AF-508A6360A9CB}" sibTransId="{E23CFB62-1FC3-42D4-A4D1-DC61FD978ADF}"/>
    <dgm:cxn modelId="{8FA60C30-F752-4A29-A76E-6C77BEA37008}" srcId="{E69CC0DF-1E35-409A-9D07-35650C06A5CB}" destId="{6709102C-F962-4F83-A95D-03A0F3E6C748}" srcOrd="0" destOrd="0" parTransId="{E8D43654-8D2E-4E6C-AD40-24C03808F4AD}" sibTransId="{DBA20D9E-A5BD-4E4E-987A-C81AA9A1E306}"/>
    <dgm:cxn modelId="{7289C835-5C72-4919-A90F-9FEBB68FDD5E}" type="presOf" srcId="{6709102C-F962-4F83-A95D-03A0F3E6C748}" destId="{74EDA46D-570C-44FD-A47F-9DC5D20A64AA}" srcOrd="0" destOrd="0" presId="urn:microsoft.com/office/officeart/2009/layout/CircleArrowProcess"/>
    <dgm:cxn modelId="{5311F235-C4DA-436F-9ECB-9A322950D6B6}" type="presOf" srcId="{E69CC0DF-1E35-409A-9D07-35650C06A5CB}" destId="{4249F5DB-C1DB-492A-9A84-A95C096A58C4}" srcOrd="0" destOrd="0" presId="urn:microsoft.com/office/officeart/2009/layout/CircleArrowProcess"/>
    <dgm:cxn modelId="{9A31B36F-0460-40B1-A5F5-82797C50DA2D}" type="presOf" srcId="{DA101525-2F13-4EE8-965F-002160DF19D3}" destId="{32DA6570-A550-449D-B083-140F1D7AA48B}" srcOrd="0" destOrd="0" presId="urn:microsoft.com/office/officeart/2009/layout/CircleArrowProcess"/>
    <dgm:cxn modelId="{9E538EA1-22C8-40BA-AE64-697046322D2A}" srcId="{038AA7F5-F408-486C-8527-0EB911F08310}" destId="{DA101525-2F13-4EE8-965F-002160DF19D3}" srcOrd="0" destOrd="0" parTransId="{6BB4DD67-BFD8-4CAE-A35D-6F82B2B3CAE7}" sibTransId="{DB53D7B1-48DC-4D6E-BB1F-34C2F4F95ABB}"/>
    <dgm:cxn modelId="{1654F004-84A2-413F-88A0-28834891E9BD}" type="presOf" srcId="{7670D1FC-A3D8-4440-BBA0-F748482447DA}" destId="{2F1C14F1-5105-46C4-9E25-07817A5121E5}" srcOrd="0" destOrd="1" presId="urn:microsoft.com/office/officeart/2009/layout/CircleArrowProcess"/>
    <dgm:cxn modelId="{F4DEF4AF-922A-42C7-8DA8-C43E750097D8}" type="presOf" srcId="{CE13D14C-0CCF-4185-AD39-4AB029E351EB}" destId="{01587981-363B-423B-A13A-CB39378C4C17}" srcOrd="0" destOrd="0" presId="urn:microsoft.com/office/officeart/2009/layout/CircleArrowProcess"/>
    <dgm:cxn modelId="{D1BA4359-6349-418F-9DA6-1408F1AAC0EE}" type="presParOf" srcId="{4249F5DB-C1DB-492A-9A84-A95C096A58C4}" destId="{2002C4DD-81D5-466B-91EB-386127BB42A9}" srcOrd="0" destOrd="0" presId="urn:microsoft.com/office/officeart/2009/layout/CircleArrowProcess"/>
    <dgm:cxn modelId="{CAE9C8F1-9A5D-46D5-8ABE-4CC2E47526BA}" type="presParOf" srcId="{2002C4DD-81D5-466B-91EB-386127BB42A9}" destId="{176BE099-EB5E-455B-929B-181A51DDBB70}" srcOrd="0" destOrd="0" presId="urn:microsoft.com/office/officeart/2009/layout/CircleArrowProcess"/>
    <dgm:cxn modelId="{BA7D0F44-6871-437E-B29C-FD5DDDC60569}" type="presParOf" srcId="{4249F5DB-C1DB-492A-9A84-A95C096A58C4}" destId="{FF5CB57C-54AA-4197-94B0-DFBB1FA8B10C}" srcOrd="1" destOrd="0" presId="urn:microsoft.com/office/officeart/2009/layout/CircleArrowProcess"/>
    <dgm:cxn modelId="{601DD9EF-269B-45A1-880D-7926E6ECE0A3}" type="presParOf" srcId="{4249F5DB-C1DB-492A-9A84-A95C096A58C4}" destId="{74EDA46D-570C-44FD-A47F-9DC5D20A64AA}" srcOrd="2" destOrd="0" presId="urn:microsoft.com/office/officeart/2009/layout/CircleArrowProcess"/>
    <dgm:cxn modelId="{83CE0398-87A2-491E-9142-BE2A192B4C4C}" type="presParOf" srcId="{4249F5DB-C1DB-492A-9A84-A95C096A58C4}" destId="{6FFB32BE-7DBD-4FE2-B7E6-84CE49976A9B}" srcOrd="3" destOrd="0" presId="urn:microsoft.com/office/officeart/2009/layout/CircleArrowProcess"/>
    <dgm:cxn modelId="{446B411B-3666-4E86-9079-1B87EE1372DA}" type="presParOf" srcId="{6FFB32BE-7DBD-4FE2-B7E6-84CE49976A9B}" destId="{E67FC738-6728-45E2-8F41-E5B740F3F8AB}" srcOrd="0" destOrd="0" presId="urn:microsoft.com/office/officeart/2009/layout/CircleArrowProcess"/>
    <dgm:cxn modelId="{0FD8ACEF-0C8B-4DD5-AF9C-290FFEAB4131}" type="presParOf" srcId="{4249F5DB-C1DB-492A-9A84-A95C096A58C4}" destId="{01587981-363B-423B-A13A-CB39378C4C17}" srcOrd="4" destOrd="0" presId="urn:microsoft.com/office/officeart/2009/layout/CircleArrowProcess"/>
    <dgm:cxn modelId="{E5E0BF6E-4A0F-4A7D-BB07-9023BDEA22C3}" type="presParOf" srcId="{4249F5DB-C1DB-492A-9A84-A95C096A58C4}" destId="{9CAEBE00-D695-42F4-82A2-3F4BD267E8D6}" srcOrd="5" destOrd="0" presId="urn:microsoft.com/office/officeart/2009/layout/CircleArrowProcess"/>
    <dgm:cxn modelId="{FA1D4EE8-CDB8-4BAC-B978-FCE2981E44F8}" type="presParOf" srcId="{4249F5DB-C1DB-492A-9A84-A95C096A58C4}" destId="{8BF85C71-FC62-44F1-B49D-A691DEAABCD0}" srcOrd="6" destOrd="0" presId="urn:microsoft.com/office/officeart/2009/layout/CircleArrowProcess"/>
    <dgm:cxn modelId="{AE1ADAF8-5D6C-4F86-8D11-EB2865DB42A1}" type="presParOf" srcId="{8BF85C71-FC62-44F1-B49D-A691DEAABCD0}" destId="{151808E1-D772-4D8B-9E2C-0F948D17D78E}" srcOrd="0" destOrd="0" presId="urn:microsoft.com/office/officeart/2009/layout/CircleArrowProcess"/>
    <dgm:cxn modelId="{2754A5BB-7DFE-4740-A081-5A818B2B7325}" type="presParOf" srcId="{4249F5DB-C1DB-492A-9A84-A95C096A58C4}" destId="{32DA6570-A550-449D-B083-140F1D7AA48B}" srcOrd="7" destOrd="0" presId="urn:microsoft.com/office/officeart/2009/layout/CircleArrowProcess"/>
    <dgm:cxn modelId="{C4CF9B78-4A60-42DF-930A-62DB4BF0046F}" type="presParOf" srcId="{4249F5DB-C1DB-492A-9A84-A95C096A58C4}" destId="{9FA207C8-A4CD-4F5F-97D2-FE86028BBA4A}" srcOrd="8" destOrd="0" presId="urn:microsoft.com/office/officeart/2009/layout/CircleArrowProcess"/>
    <dgm:cxn modelId="{0608C0DB-65A4-4EB0-8D3F-9DEE48BC7A4B}" type="presParOf" srcId="{4249F5DB-C1DB-492A-9A84-A95C096A58C4}" destId="{E7FA68C0-4F59-4FF5-B8E2-0323C1E64310}" srcOrd="9" destOrd="0" presId="urn:microsoft.com/office/officeart/2009/layout/CircleArrowProcess"/>
    <dgm:cxn modelId="{ED98EF64-CD34-449D-AB9A-975041B8221E}" type="presParOf" srcId="{E7FA68C0-4F59-4FF5-B8E2-0323C1E64310}" destId="{6E535CF1-A027-4FC9-BC1E-F9F3CA48756D}" srcOrd="0" destOrd="0" presId="urn:microsoft.com/office/officeart/2009/layout/CircleArrowProcess"/>
    <dgm:cxn modelId="{8228959E-CA02-4EEF-AE05-57825CB21038}" type="presParOf" srcId="{4249F5DB-C1DB-492A-9A84-A95C096A58C4}" destId="{F33334AF-5512-493D-8099-CC4004DDC0D2}" srcOrd="10" destOrd="0" presId="urn:microsoft.com/office/officeart/2009/layout/CircleArrowProcess"/>
    <dgm:cxn modelId="{BF351648-6704-4312-B33B-4E100A1151CD}" type="presParOf" srcId="{4249F5DB-C1DB-492A-9A84-A95C096A58C4}" destId="{BCC1CE6C-A110-4466-BD00-E58AC02B9DD3}" srcOrd="11" destOrd="0" presId="urn:microsoft.com/office/officeart/2009/layout/CircleArrowProcess"/>
    <dgm:cxn modelId="{F2C4F4B2-B632-43A7-B97A-53C082217AEF}" type="presParOf" srcId="{4249F5DB-C1DB-492A-9A84-A95C096A58C4}" destId="{B3220F31-C1E0-4773-B060-3A009C3E4D64}" srcOrd="12" destOrd="0" presId="urn:microsoft.com/office/officeart/2009/layout/CircleArrowProcess"/>
    <dgm:cxn modelId="{AB022016-7408-457A-9242-0332D5E18689}" type="presParOf" srcId="{B3220F31-C1E0-4773-B060-3A009C3E4D64}" destId="{710AD4A0-656B-4897-830B-FF1188C41E12}" srcOrd="0" destOrd="0" presId="urn:microsoft.com/office/officeart/2009/layout/CircleArrowProcess"/>
    <dgm:cxn modelId="{B012D5FF-0C7B-4E24-8A9F-00F5CFD000CC}" type="presParOf" srcId="{4249F5DB-C1DB-492A-9A84-A95C096A58C4}" destId="{2F1C14F1-5105-46C4-9E25-07817A5121E5}" srcOrd="13" destOrd="0" presId="urn:microsoft.com/office/officeart/2009/layout/CircleArrowProcess"/>
    <dgm:cxn modelId="{80E38BF9-DFDA-4C69-9C5F-792EB558844A}" type="presParOf" srcId="{4249F5DB-C1DB-492A-9A84-A95C096A58C4}" destId="{F33E63CF-0CDC-44A4-BAB8-F1B52F601A09}" srcOrd="14" destOrd="0" presId="urn:microsoft.com/office/officeart/2009/layout/CircleArrow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3520246" cy="6057900"/>
        <a:chOff x="0" y="0"/>
        <a:chExt cx="3520246" cy="6057900"/>
      </a:xfrm>
    </dsp:grpSpPr>
    <dsp:sp modelId="{176BE099-EB5E-455B-929B-181A51DDBB70}">
      <dsp:nvSpPr>
        <dsp:cNvPr id="3" name="环形箭头 2"/>
        <dsp:cNvSpPr/>
      </dsp:nvSpPr>
      <dsp:spPr bwMode="white">
        <a:xfrm>
          <a:off x="2185463" y="0"/>
          <a:ext cx="1876643" cy="1876737"/>
        </a:xfrm>
        <a:prstGeom prst="circularArrow">
          <a:avLst>
            <a:gd name="adj1" fmla="val 10980"/>
            <a:gd name="adj2" fmla="val 1142322"/>
            <a:gd name="adj3" fmla="val 4500000"/>
            <a:gd name="adj4" fmla="val 10800000"/>
            <a:gd name="adj5" fmla="val 12500"/>
          </a:avLst>
        </a:prstGeom>
      </dsp:spPr>
      <dsp:style>
        <a:lnRef idx="0">
          <a:sysClr val="window" lastClr="FFFFFF"/>
        </a:lnRef>
        <a:fillRef idx="3">
          <a:srgbClr val="4472C4">
            <a:hueOff val="0"/>
            <a:satOff val="0"/>
            <a:lumOff val="0"/>
            <a:alpha val="100000"/>
          </a:srgbClr>
        </a:fillRef>
        <a:effectRef idx="2">
          <a:scrgbClr r="0" g="0" b="0"/>
        </a:effectRef>
        <a:fontRef idx="minor">
          <a:sysClr val="window" lastClr="FFFFFF"/>
        </a:fontRef>
      </dsp:style>
      <dsp:txXfrm>
        <a:off x="2185463" y="0"/>
        <a:ext cx="1876643" cy="1876737"/>
      </dsp:txXfrm>
    </dsp:sp>
    <dsp:sp modelId="{FF5CB57C-54AA-4197-94B0-DFBB1FA8B10C}">
      <dsp:nvSpPr>
        <dsp:cNvPr id="4" name="矩形 3"/>
        <dsp:cNvSpPr/>
      </dsp:nvSpPr>
      <dsp:spPr bwMode="white">
        <a:xfrm>
          <a:off x="4059290" y="556721"/>
          <a:ext cx="1125071" cy="74633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6985" tIns="6985" rIns="6985" bIns="6985" anchor="ctr"/>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57150" lvl="1" indent="-57150">
            <a:lnSpc>
              <a:spcPct val="100000"/>
            </a:lnSpc>
            <a:spcBef>
              <a:spcPct val="0"/>
            </a:spcBef>
            <a:spcAft>
              <a:spcPct val="15000"/>
            </a:spcAft>
            <a:buChar char="•"/>
          </a:pPr>
          <a:r>
            <a:rPr lang="zh-CN" altLang="en-US" sz="1100">
              <a:solidFill>
                <a:sysClr val="windowText" lastClr="000000"/>
              </a:solidFill>
              <a:latin typeface="微软雅黑 Light" panose="020B0502040204020203" pitchFamily="2" charset="-122"/>
              <a:ea typeface="微软雅黑 Light" panose="020B0502040204020203" pitchFamily="2" charset="-122"/>
            </a:rPr>
            <a:t>基础信息确认</a:t>
          </a:r>
          <a:endParaRPr lang="zh-CN" altLang="en-US" sz="1100">
            <a:solidFill>
              <a:sysClr val="windowText" lastClr="000000"/>
            </a:solidFill>
            <a:latin typeface="微软雅黑 Light" panose="020B0502040204020203" pitchFamily="2" charset="-122"/>
            <a:ea typeface="微软雅黑 Light" panose="020B0502040204020203" pitchFamily="2" charset="-122"/>
          </a:endParaRPr>
        </a:p>
        <a:p>
          <a:pPr marL="57150" lvl="1" indent="-57150">
            <a:lnSpc>
              <a:spcPct val="100000"/>
            </a:lnSpc>
            <a:spcBef>
              <a:spcPct val="0"/>
            </a:spcBef>
            <a:spcAft>
              <a:spcPct val="15000"/>
            </a:spcAft>
            <a:buChar char="•"/>
          </a:pPr>
          <a:r>
            <a:rPr lang="zh-CN" altLang="en-US" sz="1100">
              <a:solidFill>
                <a:sysClr val="windowText" lastClr="000000"/>
              </a:solidFill>
              <a:latin typeface="微软雅黑 Light" panose="020B0502040204020203" pitchFamily="2" charset="-122"/>
              <a:ea typeface="微软雅黑 Light" panose="020B0502040204020203" pitchFamily="2" charset="-122"/>
            </a:rPr>
            <a:t>考核机构申请</a:t>
          </a:r>
          <a:endParaRPr>
            <a:solidFill>
              <a:sysClr val="windowText" lastClr="000000"/>
            </a:solidFill>
          </a:endParaRPr>
        </a:p>
      </dsp:txBody>
      <dsp:txXfrm>
        <a:off x="4059290" y="556721"/>
        <a:ext cx="1125071" cy="746333"/>
      </dsp:txXfrm>
    </dsp:sp>
    <dsp:sp modelId="{74EDA46D-570C-44FD-A47F-9DC5D20A64AA}">
      <dsp:nvSpPr>
        <dsp:cNvPr id="5" name="矩形 4"/>
        <dsp:cNvSpPr/>
      </dsp:nvSpPr>
      <dsp:spPr bwMode="white">
        <a:xfrm>
          <a:off x="2599796" y="679696"/>
          <a:ext cx="1047273" cy="52340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solidFill>
                <a:sysClr val="windowText" lastClr="000000"/>
              </a:solidFill>
              <a:latin typeface="微软雅黑 Light" panose="020B0502040204020203" pitchFamily="2" charset="-122"/>
              <a:ea typeface="微软雅黑 Light" panose="020B0502040204020203" pitchFamily="2" charset="-122"/>
            </a:rPr>
            <a:t>考核准备</a:t>
          </a:r>
          <a:endParaRPr lang="zh-CN" altLang="en-US" sz="1600" b="1">
            <a:solidFill>
              <a:sysClr val="windowText" lastClr="000000"/>
            </a:solidFill>
            <a:latin typeface="微软雅黑 Light" panose="020B0502040204020203" pitchFamily="2" charset="-122"/>
            <a:ea typeface="微软雅黑 Light" panose="020B0502040204020203" pitchFamily="2" charset="-122"/>
          </a:endParaRPr>
        </a:p>
      </dsp:txBody>
      <dsp:txXfrm>
        <a:off x="2599796" y="679696"/>
        <a:ext cx="1047273" cy="523403"/>
      </dsp:txXfrm>
    </dsp:sp>
    <dsp:sp modelId="{E67FC738-6728-45E2-8F41-E5B740F3F8AB}">
      <dsp:nvSpPr>
        <dsp:cNvPr id="6" name="形状 5"/>
        <dsp:cNvSpPr/>
      </dsp:nvSpPr>
      <dsp:spPr bwMode="white">
        <a:xfrm>
          <a:off x="1664115" y="1078306"/>
          <a:ext cx="1876643" cy="1876737"/>
        </a:xfrm>
        <a:prstGeom prst="leftCircularArrow">
          <a:avLst>
            <a:gd name="adj1" fmla="val 10980"/>
            <a:gd name="adj2" fmla="val 1142322"/>
            <a:gd name="adj3" fmla="val 6300000"/>
            <a:gd name="adj4" fmla="val 18900000"/>
            <a:gd name="adj5" fmla="val 12500"/>
          </a:avLst>
        </a:prstGeom>
      </dsp:spPr>
      <dsp:style>
        <a:lnRef idx="0">
          <a:sysClr val="window" lastClr="FFFFFF"/>
        </a:lnRef>
        <a:fillRef idx="3">
          <a:srgbClr val="4472C4">
            <a:hueOff val="-1845000"/>
            <a:satOff val="-2548"/>
            <a:lumOff val="-979"/>
            <a:alpha val="100000"/>
          </a:srgbClr>
        </a:fillRef>
        <a:effectRef idx="2">
          <a:scrgbClr r="0" g="0" b="0"/>
        </a:effectRef>
        <a:fontRef idx="minor">
          <a:sysClr val="window" lastClr="FFFFFF"/>
        </a:fontRef>
      </dsp:style>
      <dsp:txXfrm>
        <a:off x="1664115" y="1078306"/>
        <a:ext cx="1876643" cy="1876737"/>
      </dsp:txXfrm>
    </dsp:sp>
    <dsp:sp modelId="{01587981-363B-423B-A13A-CB39378C4C17}">
      <dsp:nvSpPr>
        <dsp:cNvPr id="7" name="矩形 6"/>
        <dsp:cNvSpPr/>
      </dsp:nvSpPr>
      <dsp:spPr bwMode="white">
        <a:xfrm>
          <a:off x="3546742" y="1648960"/>
          <a:ext cx="1125071" cy="74633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6985" tIns="6985" rIns="6985" bIns="6985" anchor="ctr"/>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57150" lvl="1" indent="-57150">
            <a:lnSpc>
              <a:spcPct val="100000"/>
            </a:lnSpc>
            <a:spcBef>
              <a:spcPct val="0"/>
            </a:spcBef>
            <a:spcAft>
              <a:spcPct val="15000"/>
            </a:spcAft>
            <a:buChar char="•"/>
          </a:pPr>
          <a:r>
            <a:rPr lang="zh-CN" altLang="en-US" sz="1100">
              <a:solidFill>
                <a:sysClr val="windowText" lastClr="000000"/>
              </a:solidFill>
              <a:latin typeface="微软雅黑 Light" panose="020B0502040204020203" pitchFamily="2" charset="-122"/>
              <a:ea typeface="微软雅黑 Light" panose="020B0502040204020203" pitchFamily="2" charset="-122"/>
            </a:rPr>
            <a:t>医师报名</a:t>
          </a:r>
          <a:endParaRPr lang="zh-CN" altLang="en-US" sz="1100">
            <a:solidFill>
              <a:sysClr val="windowText" lastClr="000000"/>
            </a:solidFill>
            <a:latin typeface="微软雅黑 Light" panose="020B0502040204020203" pitchFamily="2" charset="-122"/>
            <a:ea typeface="微软雅黑 Light" panose="020B0502040204020203" pitchFamily="2" charset="-122"/>
          </a:endParaRPr>
        </a:p>
        <a:p>
          <a:pPr marL="57150" lvl="1" indent="-57150">
            <a:lnSpc>
              <a:spcPct val="100000"/>
            </a:lnSpc>
            <a:spcBef>
              <a:spcPct val="0"/>
            </a:spcBef>
            <a:spcAft>
              <a:spcPct val="15000"/>
            </a:spcAft>
            <a:buChar char="•"/>
          </a:pPr>
          <a:r>
            <a:rPr lang="zh-CN" altLang="en-US" sz="1100">
              <a:solidFill>
                <a:sysClr val="windowText" lastClr="000000"/>
              </a:solidFill>
              <a:latin typeface="微软雅黑 Light" panose="020B0502040204020203" pitchFamily="2" charset="-122"/>
              <a:ea typeface="微软雅黑 Light" panose="020B0502040204020203" pitchFamily="2" charset="-122"/>
            </a:rPr>
            <a:t>报名跟踪</a:t>
          </a:r>
          <a:endParaRPr>
            <a:solidFill>
              <a:sysClr val="windowText" lastClr="000000"/>
            </a:solidFill>
          </a:endParaRPr>
        </a:p>
      </dsp:txBody>
      <dsp:txXfrm>
        <a:off x="3546742" y="1648960"/>
        <a:ext cx="1125071" cy="746333"/>
      </dsp:txXfrm>
    </dsp:sp>
    <dsp:sp modelId="{9CAEBE00-D695-42F4-82A2-3F4BD267E8D6}">
      <dsp:nvSpPr>
        <dsp:cNvPr id="8" name="矩形 7"/>
        <dsp:cNvSpPr/>
      </dsp:nvSpPr>
      <dsp:spPr bwMode="white">
        <a:xfrm>
          <a:off x="2076335" y="1760426"/>
          <a:ext cx="1047273" cy="52340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solidFill>
                <a:sysClr val="windowText" lastClr="000000"/>
              </a:solidFill>
              <a:latin typeface="微软雅黑 Light" panose="020B0502040204020203" pitchFamily="2" charset="-122"/>
              <a:ea typeface="微软雅黑 Light" panose="020B0502040204020203" pitchFamily="2" charset="-122"/>
            </a:rPr>
            <a:t>考核报名</a:t>
          </a:r>
          <a:endParaRPr>
            <a:solidFill>
              <a:sysClr val="windowText" lastClr="000000"/>
            </a:solidFill>
          </a:endParaRPr>
        </a:p>
      </dsp:txBody>
      <dsp:txXfrm>
        <a:off x="2076335" y="1760426"/>
        <a:ext cx="1047273" cy="523403"/>
      </dsp:txXfrm>
    </dsp:sp>
    <dsp:sp modelId="{151808E1-D772-4D8B-9E2C-0F948D17D78E}">
      <dsp:nvSpPr>
        <dsp:cNvPr id="9" name="环形箭头 8"/>
        <dsp:cNvSpPr/>
      </dsp:nvSpPr>
      <dsp:spPr bwMode="white">
        <a:xfrm>
          <a:off x="2185463" y="2161459"/>
          <a:ext cx="1876643" cy="1876737"/>
        </a:xfrm>
        <a:prstGeom prst="circularArrow">
          <a:avLst>
            <a:gd name="adj1" fmla="val 10980"/>
            <a:gd name="adj2" fmla="val 1142322"/>
            <a:gd name="adj3" fmla="val 4500000"/>
            <a:gd name="adj4" fmla="val 13500000"/>
            <a:gd name="adj5" fmla="val 12500"/>
          </a:avLst>
        </a:prstGeom>
      </dsp:spPr>
      <dsp:style>
        <a:lnRef idx="0">
          <a:sysClr val="window" lastClr="FFFFFF"/>
        </a:lnRef>
        <a:fillRef idx="3">
          <a:srgbClr val="4472C4">
            <a:hueOff val="-3690000"/>
            <a:satOff val="-5097"/>
            <a:lumOff val="-1960"/>
            <a:alpha val="100000"/>
          </a:srgbClr>
        </a:fillRef>
        <a:effectRef idx="2">
          <a:scrgbClr r="0" g="0" b="0"/>
        </a:effectRef>
        <a:fontRef idx="minor">
          <a:sysClr val="window" lastClr="FFFFFF"/>
        </a:fontRef>
      </dsp:style>
      <dsp:txXfrm>
        <a:off x="2185463" y="2161459"/>
        <a:ext cx="1876643" cy="1876737"/>
      </dsp:txXfrm>
    </dsp:sp>
    <dsp:sp modelId="{32DA6570-A550-449D-B083-140F1D7AA48B}">
      <dsp:nvSpPr>
        <dsp:cNvPr id="10" name="矩形 9"/>
        <dsp:cNvSpPr/>
      </dsp:nvSpPr>
      <dsp:spPr bwMode="white">
        <a:xfrm>
          <a:off x="4059290" y="2718180"/>
          <a:ext cx="1125071" cy="74633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6985" tIns="6985" rIns="6985" bIns="6985" anchor="ctr"/>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57150" lvl="1" indent="-57150">
            <a:lnSpc>
              <a:spcPct val="100000"/>
            </a:lnSpc>
            <a:spcBef>
              <a:spcPct val="0"/>
            </a:spcBef>
            <a:spcAft>
              <a:spcPct val="15000"/>
            </a:spcAft>
            <a:buChar char="•"/>
          </a:pPr>
          <a:r>
            <a:rPr lang="zh-CN" altLang="en-US" sz="1100">
              <a:solidFill>
                <a:sysClr val="windowText" lastClr="000000"/>
              </a:solidFill>
              <a:latin typeface="微软雅黑 Light" panose="020B0502040204020203" pitchFamily="2" charset="-122"/>
              <a:ea typeface="微软雅黑 Light" panose="020B0502040204020203" pitchFamily="2" charset="-122"/>
            </a:rPr>
            <a:t>所在机构评价</a:t>
          </a:r>
          <a:endParaRPr lang="zh-CN" altLang="en-US" sz="1100">
            <a:solidFill>
              <a:sysClr val="windowText" lastClr="000000"/>
            </a:solidFill>
            <a:latin typeface="微软雅黑 Light" panose="020B0502040204020203" pitchFamily="2" charset="-122"/>
            <a:ea typeface="微软雅黑 Light" panose="020B0502040204020203" pitchFamily="2" charset="-122"/>
          </a:endParaRPr>
        </a:p>
        <a:p>
          <a:pPr marL="57150" lvl="1" indent="-57150">
            <a:lnSpc>
              <a:spcPct val="100000"/>
            </a:lnSpc>
            <a:spcBef>
              <a:spcPct val="0"/>
            </a:spcBef>
            <a:spcAft>
              <a:spcPct val="15000"/>
            </a:spcAft>
            <a:buChar char="•"/>
          </a:pPr>
          <a:r>
            <a:rPr lang="zh-CN" altLang="en-US" sz="1100">
              <a:solidFill>
                <a:sysClr val="windowText" lastClr="000000"/>
              </a:solidFill>
              <a:latin typeface="微软雅黑 Light" panose="020B0502040204020203" pitchFamily="2" charset="-122"/>
              <a:ea typeface="微软雅黑 Light" panose="020B0502040204020203" pitchFamily="2" charset="-122"/>
            </a:rPr>
            <a:t>多点机构评价</a:t>
          </a:r>
          <a:endParaRPr>
            <a:solidFill>
              <a:sysClr val="windowText" lastClr="000000"/>
            </a:solidFill>
          </a:endParaRPr>
        </a:p>
      </dsp:txBody>
      <dsp:txXfrm>
        <a:off x="4059290" y="2718180"/>
        <a:ext cx="1125071" cy="746333"/>
      </dsp:txXfrm>
    </dsp:sp>
    <dsp:sp modelId="{9FA207C8-A4CD-4F5F-97D2-FE86028BBA4A}">
      <dsp:nvSpPr>
        <dsp:cNvPr id="11" name="矩形 10"/>
        <dsp:cNvSpPr/>
      </dsp:nvSpPr>
      <dsp:spPr bwMode="white">
        <a:xfrm>
          <a:off x="2599796" y="2840549"/>
          <a:ext cx="1047273" cy="52340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solidFill>
                <a:sysClr val="windowText" lastClr="000000"/>
              </a:solidFill>
              <a:latin typeface="微软雅黑 Light" panose="020B0502040204020203" pitchFamily="2" charset="-122"/>
              <a:ea typeface="微软雅黑 Light" panose="020B0502040204020203" pitchFamily="2" charset="-122"/>
            </a:rPr>
            <a:t>机构评价（执业道德、工作业绩）</a:t>
          </a:r>
          <a:endParaRPr>
            <a:solidFill>
              <a:sysClr val="windowText" lastClr="000000"/>
            </a:solidFill>
          </a:endParaRPr>
        </a:p>
      </dsp:txBody>
      <dsp:txXfrm>
        <a:off x="2599796" y="2840549"/>
        <a:ext cx="1047273" cy="523403"/>
      </dsp:txXfrm>
    </dsp:sp>
    <dsp:sp modelId="{6E535CF1-A027-4FC9-BC1E-F9F3CA48756D}">
      <dsp:nvSpPr>
        <dsp:cNvPr id="12" name="形状 11"/>
        <dsp:cNvSpPr/>
      </dsp:nvSpPr>
      <dsp:spPr bwMode="white">
        <a:xfrm>
          <a:off x="1664115" y="3241582"/>
          <a:ext cx="1876643" cy="1876737"/>
        </a:xfrm>
        <a:prstGeom prst="leftCircularArrow">
          <a:avLst>
            <a:gd name="adj1" fmla="val 10980"/>
            <a:gd name="adj2" fmla="val 1142322"/>
            <a:gd name="adj3" fmla="val 6300000"/>
            <a:gd name="adj4" fmla="val 18900000"/>
            <a:gd name="adj5" fmla="val 12500"/>
          </a:avLst>
        </a:prstGeom>
      </dsp:spPr>
      <dsp:style>
        <a:lnRef idx="0">
          <a:sysClr val="window" lastClr="FFFFFF"/>
        </a:lnRef>
        <a:fillRef idx="3">
          <a:srgbClr val="4472C4">
            <a:hueOff val="-5535000"/>
            <a:satOff val="-7646"/>
            <a:lumOff val="-2940"/>
            <a:alpha val="100000"/>
          </a:srgbClr>
        </a:fillRef>
        <a:effectRef idx="2">
          <a:scrgbClr r="0" g="0" b="0"/>
        </a:effectRef>
        <a:fontRef idx="minor">
          <a:sysClr val="window" lastClr="FFFFFF"/>
        </a:fontRef>
      </dsp:style>
      <dsp:txXfrm>
        <a:off x="1664115" y="3241582"/>
        <a:ext cx="1876643" cy="1876737"/>
      </dsp:txXfrm>
    </dsp:sp>
    <dsp:sp modelId="{F33334AF-5512-493D-8099-CC4004DDC0D2}">
      <dsp:nvSpPr>
        <dsp:cNvPr id="13" name="矩形 12"/>
        <dsp:cNvSpPr/>
      </dsp:nvSpPr>
      <dsp:spPr bwMode="white">
        <a:xfrm>
          <a:off x="3546742" y="3798909"/>
          <a:ext cx="1125071" cy="74633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6985" tIns="6985" rIns="6985" bIns="6985" anchor="ctr"/>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57150" lvl="1" indent="-57150">
            <a:lnSpc>
              <a:spcPct val="100000"/>
            </a:lnSpc>
            <a:spcBef>
              <a:spcPct val="0"/>
            </a:spcBef>
            <a:spcAft>
              <a:spcPct val="15000"/>
            </a:spcAft>
            <a:buChar char="•"/>
          </a:pPr>
          <a:r>
            <a:rPr lang="zh-CN" altLang="en-US" sz="1100" b="0">
              <a:solidFill>
                <a:sysClr val="windowText" lastClr="000000"/>
              </a:solidFill>
              <a:latin typeface="微软雅黑 Light" panose="020B0502040204020203" pitchFamily="2" charset="-122"/>
              <a:ea typeface="微软雅黑 Light" panose="020B0502040204020203" pitchFamily="2" charset="-122"/>
            </a:rPr>
            <a:t>参考进度跟踪</a:t>
          </a:r>
          <a:endParaRPr>
            <a:solidFill>
              <a:sysClr val="windowText" lastClr="000000"/>
            </a:solidFill>
          </a:endParaRPr>
        </a:p>
      </dsp:txBody>
      <dsp:txXfrm>
        <a:off x="3546742" y="3798909"/>
        <a:ext cx="1125071" cy="746333"/>
      </dsp:txXfrm>
    </dsp:sp>
    <dsp:sp modelId="{BCC1CE6C-A110-4466-BD00-E58AC02B9DD3}">
      <dsp:nvSpPr>
        <dsp:cNvPr id="14" name="矩形 13"/>
        <dsp:cNvSpPr/>
      </dsp:nvSpPr>
      <dsp:spPr bwMode="white">
        <a:xfrm>
          <a:off x="2076335" y="3921279"/>
          <a:ext cx="1047273" cy="52340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solidFill>
                <a:sysClr val="windowText" lastClr="000000"/>
              </a:solidFill>
              <a:latin typeface="微软雅黑 Light" panose="020B0502040204020203" pitchFamily="2" charset="-122"/>
              <a:ea typeface="微软雅黑 Light" panose="020B0502040204020203" pitchFamily="2" charset="-122"/>
            </a:rPr>
            <a:t>业务水平测评</a:t>
          </a:r>
          <a:endParaRPr>
            <a:solidFill>
              <a:sysClr val="windowText" lastClr="000000"/>
            </a:solidFill>
          </a:endParaRPr>
        </a:p>
      </dsp:txBody>
      <dsp:txXfrm>
        <a:off x="2076335" y="3921279"/>
        <a:ext cx="1047273" cy="523403"/>
      </dsp:txXfrm>
    </dsp:sp>
    <dsp:sp modelId="{710AD4A0-656B-4897-830B-FF1188C41E12}">
      <dsp:nvSpPr>
        <dsp:cNvPr id="15" name="空心弧 14"/>
        <dsp:cNvSpPr/>
      </dsp:nvSpPr>
      <dsp:spPr bwMode="white">
        <a:xfrm>
          <a:off x="2318880" y="4444681"/>
          <a:ext cx="1612273" cy="1613219"/>
        </a:xfrm>
        <a:prstGeom prst="blockArc">
          <a:avLst>
            <a:gd name="adj1" fmla="val 13500000"/>
            <a:gd name="adj2" fmla="val 10800000"/>
            <a:gd name="adj3" fmla="val 12740"/>
          </a:avLst>
        </a:prstGeom>
      </dsp:spPr>
      <dsp:style>
        <a:lnRef idx="0">
          <a:sysClr val="window" lastClr="FFFFFF"/>
        </a:lnRef>
        <a:fillRef idx="3">
          <a:srgbClr val="4472C4">
            <a:hueOff val="-7380000"/>
            <a:satOff val="-10195"/>
            <a:lumOff val="-3921"/>
            <a:alpha val="100000"/>
          </a:srgbClr>
        </a:fillRef>
        <a:effectRef idx="2">
          <a:scrgbClr r="0" g="0" b="0"/>
        </a:effectRef>
        <a:fontRef idx="minor">
          <a:sysClr val="window" lastClr="FFFFFF"/>
        </a:fontRef>
      </dsp:style>
      <dsp:txXfrm>
        <a:off x="2318880" y="4444681"/>
        <a:ext cx="1612273" cy="1613219"/>
      </dsp:txXfrm>
    </dsp:sp>
    <dsp:sp modelId="{2F1C14F1-5105-46C4-9E25-07817A5121E5}">
      <dsp:nvSpPr>
        <dsp:cNvPr id="16" name="矩形 15"/>
        <dsp:cNvSpPr/>
      </dsp:nvSpPr>
      <dsp:spPr bwMode="white">
        <a:xfrm>
          <a:off x="4059290" y="4890543"/>
          <a:ext cx="1125071" cy="74633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6985" tIns="6985" rIns="6985" bIns="6985" anchor="ctr"/>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57150" lvl="1" indent="-57150">
            <a:lnSpc>
              <a:spcPct val="100000"/>
            </a:lnSpc>
            <a:spcBef>
              <a:spcPct val="0"/>
            </a:spcBef>
            <a:spcAft>
              <a:spcPct val="15000"/>
            </a:spcAft>
            <a:buChar char="•"/>
          </a:pPr>
          <a:r>
            <a:rPr lang="zh-CN" altLang="en-US" sz="1100" b="0">
              <a:solidFill>
                <a:sysClr val="windowText" lastClr="000000"/>
              </a:solidFill>
              <a:latin typeface="微软雅黑 Light" panose="020B0502040204020203" pitchFamily="2" charset="-122"/>
              <a:ea typeface="微软雅黑 Light" panose="020B0502040204020203" pitchFamily="2" charset="-122"/>
            </a:rPr>
            <a:t>考核结果汇总</a:t>
          </a:r>
          <a:endParaRPr lang="zh-CN" altLang="en-US" sz="1100" b="0">
            <a:solidFill>
              <a:sysClr val="windowText" lastClr="000000"/>
            </a:solidFill>
            <a:latin typeface="微软雅黑 Light" panose="020B0502040204020203" pitchFamily="2" charset="-122"/>
            <a:ea typeface="微软雅黑 Light" panose="020B0502040204020203" pitchFamily="2" charset="-122"/>
          </a:endParaRPr>
        </a:p>
        <a:p>
          <a:pPr marL="57150" lvl="1" indent="-57150">
            <a:lnSpc>
              <a:spcPct val="100000"/>
            </a:lnSpc>
            <a:spcBef>
              <a:spcPct val="0"/>
            </a:spcBef>
            <a:spcAft>
              <a:spcPct val="15000"/>
            </a:spcAft>
            <a:buChar char="•"/>
          </a:pPr>
          <a:r>
            <a:rPr lang="zh-CN" altLang="en-US" sz="1100" b="0">
              <a:solidFill>
                <a:sysClr val="windowText" lastClr="000000"/>
              </a:solidFill>
              <a:latin typeface="微软雅黑 Light" panose="020B0502040204020203" pitchFamily="2" charset="-122"/>
              <a:ea typeface="微软雅黑 Light" panose="020B0502040204020203" pitchFamily="2" charset="-122"/>
            </a:rPr>
            <a:t>违规违法情况处理</a:t>
          </a:r>
          <a:endParaRPr>
            <a:solidFill>
              <a:sysClr val="windowText" lastClr="000000"/>
            </a:solidFill>
          </a:endParaRPr>
        </a:p>
      </dsp:txBody>
      <dsp:txXfrm>
        <a:off x="4059290" y="4890543"/>
        <a:ext cx="1125071" cy="746333"/>
      </dsp:txXfrm>
    </dsp:sp>
    <dsp:sp modelId="{F33E63CF-0CDC-44A4-BAB8-F1B52F601A09}">
      <dsp:nvSpPr>
        <dsp:cNvPr id="17" name="矩形 16"/>
        <dsp:cNvSpPr/>
      </dsp:nvSpPr>
      <dsp:spPr bwMode="white">
        <a:xfrm>
          <a:off x="2599796" y="5002008"/>
          <a:ext cx="1047273" cy="52340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solidFill>
                <a:sysClr val="windowText" lastClr="000000"/>
              </a:solidFill>
              <a:latin typeface="微软雅黑 Light" panose="020B0502040204020203" pitchFamily="2" charset="-122"/>
              <a:ea typeface="微软雅黑 Light" panose="020B0502040204020203" pitchFamily="2" charset="-122"/>
            </a:rPr>
            <a:t>考核结果汇总</a:t>
          </a:r>
          <a:endParaRPr>
            <a:solidFill>
              <a:sysClr val="windowText" lastClr="000000"/>
            </a:solidFill>
          </a:endParaRPr>
        </a:p>
      </dsp:txBody>
      <dsp:txXfrm>
        <a:off x="2599796" y="5002008"/>
        <a:ext cx="1047273" cy="523403"/>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2">
        <a:scrgbClr r="0" g="0" b="0"/>
      </a:effectRef>
      <a:fontRef idx="minor">
        <a:sysClr val="window" lastClr="FFFFFF"/>
      </a:fontRef>
    </dgm:style>
  </dgm:styleLbl>
  <dgm:styleLbl name="asst0">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asst1">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asst2">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asst3">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asst4">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callout">
    <dgm:scene3d>
      <a:camera prst="orthographicFront"/>
      <a:lightRig rig="threePt" dir="t"/>
    </dgm:scene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lnNode1">
    <dgm:scene3d>
      <a:camera prst="orthographicFront"/>
      <a:lightRig rig="threePt" dir="t"/>
    </dgm:scene3d>
    <dgm:txPr/>
    <dgm:style>
      <a:lnRef idx="1">
        <a:scrgbClr r="0" g="0" b="0"/>
      </a:lnRef>
      <a:fillRef idx="3">
        <a:scrgbClr r="0" g="0" b="0"/>
      </a:fillRef>
      <a:effectRef idx="2">
        <a:scrgbClr r="0" g="0" b="0"/>
      </a:effectRef>
      <a:fontRef idx="minor">
        <a:sysClr val="window" lastClr="FFFFFF"/>
      </a:fontRef>
    </dgm:style>
  </dgm:styleLbl>
  <dgm:styleLbl name="node0">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node1">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node2">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node3">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node4">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parCh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parChTrans2D2">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parChTrans2D3">
    <dgm:scene3d>
      <a:camera prst="orthographicFront"/>
      <a:lightRig rig="threePt" dir="t"/>
    </dgm:scene3d>
    <dgm:txPr/>
    <dgm:style>
      <a:lnRef idx="1">
        <a:scrgbClr r="0" g="0" b="0"/>
      </a:lnRef>
      <a:fillRef idx="3">
        <a:scrgbClr r="0" g="0" b="0"/>
      </a:fillRef>
      <a:effectRef idx="2">
        <a:scrgbClr r="0" g="0" b="0"/>
      </a:effectRef>
      <a:fontRef idx="minor">
        <a:sysClr val="window" lastClr="FFFFFF"/>
      </a:fontRef>
    </dgm:style>
  </dgm:styleLbl>
  <dgm:styleLbl name="parChTrans2D4">
    <dgm:scene3d>
      <a:camera prst="orthographicFront"/>
      <a:lightRig rig="threePt" dir="t"/>
    </dgm:scene3d>
    <dgm:txPr/>
    <dgm:style>
      <a:lnRef idx="1">
        <a:scrgbClr r="0" g="0" b="0"/>
      </a:lnRef>
      <a:fillRef idx="3">
        <a:scrgbClr r="0" g="0" b="0"/>
      </a:fillRef>
      <a:effectRef idx="2">
        <a:scrgbClr r="0" g="0" b="0"/>
      </a:effectRef>
      <a:fontRef idx="minor">
        <a:sysClr val="window" lastClr="FFFFFF"/>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0">
        <a:scrgbClr r="0" g="0" b="0"/>
      </a:effectRef>
      <a:fontRef idx="minor">
        <a:sysClr val="windowText" lastClr="000000"/>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38</Pages>
  <Words>6026</Words>
  <Characters>6596</Characters>
  <Lines>1</Lines>
  <Paragraphs>1</Paragraphs>
  <TotalTime>8</TotalTime>
  <ScaleCrop>false</ScaleCrop>
  <LinksUpToDate>false</LinksUpToDate>
  <CharactersWithSpaces>6720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2019-03-22T04:32:00Z</dcterms:created>
  <dc:creator>Admin</dc:creator>
  <cp:lastModifiedBy>王亚楠</cp:lastModifiedBy>
  <cp:lastPrinted>2019-03-22T04:33:00Z</cp:lastPrinted>
  <dcterms:modified xsi:type="dcterms:W3CDTF">2026-04-15T08:51:35Z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eyJoZGlkIjoiZWFmODEzMjhjYzAyOGQ2M2M1OWQ1ODAyZTg4N2UwN2UiLCJ1c2VySWQiOiIxNjE1MzA0NDk4In0=</vt:lpwstr>
  </property>
  <property fmtid="{D5CDD505-2E9C-101B-9397-08002B2CF9AE}" pid="4" name="ICV">
    <vt:lpwstr>66ACFD1C4A1646029142289C334D11F1_12</vt:lpwstr>
  </property>
</Properties>
</file>