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大兴区首届青少年学生体育大会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（击剑）项目竞赛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、比赛时间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2023年5月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、比赛地点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大兴区第一中学体育馆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男女花剑、重剑、佩剑个人赛。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、比赛分组和赛程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1、竞赛组别: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高中组：高一年级至高三年级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初中组：初一年级至初三年级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小学组：五年级至六年级（U12组）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三年级至四年级（U10组）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eastAsia="zh-CN"/>
        </w:rPr>
        <w:t>俱乐部组：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甲组：200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年1月1日至2007年12月31日出生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乙组：2008年1月1日至20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年12月31日出生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eastAsia="zh-CN"/>
        </w:rPr>
        <w:t>丙组：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2011年1月1日至2013年12月31日出生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：学校组所有比赛，具体日程安排见补充通知。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5月28日：俱乐部组所有比赛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，具体日程安排见补充通知。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五、运动员资格及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办法</w:t>
      </w:r>
    </w:p>
    <w:p>
      <w:pPr>
        <w:numPr>
          <w:ilvl w:val="0"/>
          <w:numId w:val="1"/>
        </w:num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本次比赛运动员资格审核办法及参赛办法参照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大兴区首届青少年学生体育大会竞赛规程总则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规定执行。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学校组：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（一）中华人民共和国公民。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（二）参赛运动员必须为具有北京市正式学籍的本区在校在读中小学生。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（三）凡参赛运动员须经医生检查确认身体健康。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俱乐部组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已注册运动员需符合北京市体育局《北京市青少年运动员注册管理办法（试行）》的有关要求，并代表大兴区完成2023年度青少年运动员注册。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未注册运动员需符合北京市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正式学籍并未注册在其它区。</w:t>
      </w:r>
    </w:p>
    <w:bookmarkEnd w:id="0"/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参赛运动员需经二级以上医院检查，证明身体健康。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参赛运动员需提供本人的、覆盖参赛日期的人身意外保险。</w:t>
      </w: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六、竞赛办法</w:t>
      </w:r>
    </w:p>
    <w:p>
      <w:pPr>
        <w:numPr>
          <w:ilvl w:val="0"/>
          <w:numId w:val="2"/>
        </w:numPr>
        <w:spacing w:line="560" w:lineRule="exact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竞赛采用中国击剑协会审译的国际剑联最新的击剑竞赛规则。</w:t>
      </w:r>
    </w:p>
    <w:p>
      <w:pPr>
        <w:numPr>
          <w:ilvl w:val="0"/>
          <w:numId w:val="2"/>
        </w:numPr>
        <w:spacing w:line="560" w:lineRule="exact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竞赛服装、器材由各单位自备，需符合中国击剑协会参赛要求。</w:t>
      </w:r>
    </w:p>
    <w:p>
      <w:pPr>
        <w:numPr>
          <w:ilvl w:val="0"/>
          <w:numId w:val="2"/>
        </w:numPr>
        <w:spacing w:line="560" w:lineRule="exact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器材必须经大会器材组检查，不符合要求者不能参加比赛。</w:t>
      </w:r>
    </w:p>
    <w:p>
      <w:pPr>
        <w:numPr>
          <w:ilvl w:val="0"/>
          <w:numId w:val="2"/>
        </w:numPr>
        <w:spacing w:line="560" w:lineRule="exact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报名参赛，学校组和俱乐部组不得同时报名。</w:t>
      </w:r>
    </w:p>
    <w:p>
      <w:pPr>
        <w:numPr>
          <w:ilvl w:val="0"/>
          <w:numId w:val="2"/>
        </w:numPr>
        <w:spacing w:line="560" w:lineRule="exact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本次比赛学校小学组及俱乐部组丙组需使用儿童剑，其他组别使用成人剑。</w:t>
      </w:r>
    </w:p>
    <w:p>
      <w:pPr>
        <w:numPr>
          <w:ilvl w:val="0"/>
          <w:numId w:val="2"/>
        </w:numPr>
        <w:spacing w:line="560" w:lineRule="exact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报名、参赛不足3人时，不进行比赛。</w:t>
      </w:r>
    </w:p>
    <w:p>
      <w:pPr>
        <w:numPr>
          <w:ilvl w:val="0"/>
          <w:numId w:val="2"/>
        </w:numPr>
        <w:spacing w:line="560" w:lineRule="exact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各组别参赛人数不足10人，不设小组淘汰。参赛达到或超过10人按照中国击剑协会规则小组赛后末位淘汰参赛人数的20%。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本次比赛第三、四名并列，记为并列第三名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第四名空出，后续从第五名记录名次。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运动员可以升年龄组报名参赛，不得降年龄组参赛，不得跨剑种报名，每人只可报名一个组别参赛。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运动员须持本人二代身份证原件参赛。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七、录取办法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各项目比赛均录取奖励前8名，参加决赛的人数不足8名的，递减1名录取奖励。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、奖励办法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各项目获得比赛前3名的运动员（队），分别颁发金、银、铜奖牌和证书；获得名次者分别颁发证书。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另设“体育道德风尚奖”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“优秀竞赛组织奖”。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、仲裁委员会和裁判员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比赛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设立仲裁委员会，并按国家体育总局相关要求对比赛进行仲裁判定。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各项目裁判员由大兴区体育局统一选派。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十、运动员资格审查及处罚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维护竞赛的严肃性和权威性，大兴区体育局、在各代表团报名参加资格赛或预选赛时进行资格审查，正式报名前对运动员资格进行公示，同时接受代表团关于运动员资格的举报和申诉，由大兴区青少年学生体育大会组委会受理，确定运动员参赛资格。凡违反运动员资格规定，一经查实，取消其参赛资格。（学校组按相关竞赛规程要求执行）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运动员参赛资格公示期结束后，不再受理各代表团对运动员资格的举报和申诉。在比赛中对违反赛风赛纪等规定，弄虚作假、冒名顶替，采用不正当手段获取名次者，将取消运动员所获比赛成绩及名次，并按赛风赛纪相关规定予以处罚，但对竞赛编排和其他运动员成绩、名次不再进行调整和更改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代表团对运动员资格审查和赛风赛纪管理负主责，凡涉及弄虚作假、冒名顶替、使用兴奋剂等行为，一经查实，不仅依据赛风赛纪相关规定对涉事运动员、教练员严肃处理，还要对相关单位和干部依纪依规坚决问责，如违反党纪国法移交纪检监察和司法机关处理。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报名办法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现场提交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：《报名表》、《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安全协议书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运动员身份证和学籍卡复印件。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电子版报名表发送邮箱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2263032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@qq.com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从比赛规程下载并打印报名表《附件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安全协议书《附件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加盖单位公章。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本次比赛不收取报名费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递交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材料时间：2023年 5 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日前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6、纸质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材料递交地点：北京市大兴区体育运动学校315室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、兴奋剂检查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兴奋剂检查和处罚将按照世界反兴奋剂条例、国家体育总局反兴奋剂规则及本市反兴奋剂相关规定，结合大兴区青少年学生体育大会的实际情况进行。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、本规程的最终解释权属大会组委会,未尽事宜，另行通知。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、联系人及联系电话：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办公室：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61210872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联系人：李立安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赛事负责人：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李侠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联系电话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13661014100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</w:t>
      </w:r>
    </w:p>
    <w:p>
      <w:pPr>
        <w:spacing w:line="400" w:lineRule="exact"/>
        <w:ind w:left="567" w:leftChars="270" w:firstLine="716" w:firstLineChars="224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spacing w:line="400" w:lineRule="exact"/>
        <w:ind w:left="567" w:leftChars="270" w:right="280" w:firstLine="716" w:firstLineChars="224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spacing w:line="400" w:lineRule="exact"/>
        <w:ind w:left="567" w:leftChars="270" w:right="280" w:firstLine="716" w:firstLineChars="224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8496300</wp:posOffset>
            </wp:positionH>
            <wp:positionV relativeFrom="paragraph">
              <wp:posOffset>120015</wp:posOffset>
            </wp:positionV>
            <wp:extent cx="1438275" cy="1438275"/>
            <wp:effectExtent l="0" t="0" r="9525" b="9525"/>
            <wp:wrapNone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击剑项目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组委会</w:t>
      </w:r>
    </w:p>
    <w:p>
      <w:pPr>
        <w:wordWrap w:val="0"/>
        <w:spacing w:line="400" w:lineRule="exact"/>
        <w:ind w:left="567" w:leftChars="270" w:firstLine="716" w:firstLineChars="224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2023年 4 月27 日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 1：首届大兴区青少年学生体育大会《安全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书》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 2：首届大兴区青少年学生体育大会《报名表》</w:t>
      </w:r>
    </w:p>
    <w:p>
      <w:pPr>
        <w:wordWrap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spacing w:line="400" w:lineRule="exact"/>
        <w:ind w:left="567" w:leftChars="270" w:firstLine="716" w:firstLineChars="22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首届大兴区青少年学生体育大会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安全协议书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人自愿报名参加首届大兴区青少年学生体育大会。在此已经清楚了解并同意比赛组委会对报名参赛的各项要求，特别是对报名参赛者身体和精神健康状况方面的要求，并确认自身情况和报名手续完全符合比赛规程中规定的各项要求，保证在参赛过程中服从裁判和赛事工作人员的管理和指挥。本人对参赛可能存在的各种风险和意外已做了审慎评估，办理比赛意外伤害保险，愿意自行承担由此产生的一切责任后果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本协议书随同纸质报名表一同上交。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参赛姓名：           性别：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参赛组别：          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身份证号码：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所在单位：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参赛人签字：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家长签字：                联系电话：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教练签字：                联系电话：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tabs>
          <w:tab w:val="left" w:pos="4680"/>
          <w:tab w:val="left" w:pos="5400"/>
          <w:tab w:val="left" w:pos="5580"/>
        </w:tabs>
        <w:spacing w:line="700" w:lineRule="exact"/>
        <w:ind w:firstLine="6080" w:firstLineChars="19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年   月   日</w:t>
      </w:r>
    </w:p>
    <w:p>
      <w:pPr>
        <w:spacing w:line="500" w:lineRule="exact"/>
        <w:jc w:val="center"/>
        <w:rPr>
          <w:rFonts w:ascii="宋体" w:hAnsi="宋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/>
          <w:b w:val="0"/>
          <w:bCs w:val="0"/>
          <w:color w:val="auto"/>
          <w:sz w:val="36"/>
          <w:szCs w:val="36"/>
        </w:rPr>
        <w:t>首届大兴区青少年学生体育大会</w:t>
      </w:r>
      <w:r>
        <w:rPr>
          <w:rFonts w:hint="eastAsia" w:ascii="宋体" w:hAnsi="宋体"/>
          <w:b w:val="0"/>
          <w:bCs w:val="0"/>
          <w:color w:val="auto"/>
          <w:sz w:val="36"/>
          <w:szCs w:val="36"/>
          <w:lang w:eastAsia="zh-CN"/>
        </w:rPr>
        <w:t>（击剑）</w:t>
      </w:r>
      <w:r>
        <w:rPr>
          <w:rFonts w:hint="eastAsia" w:ascii="Arial" w:hAnsi="Arial"/>
          <w:b w:val="0"/>
          <w:bCs w:val="0"/>
          <w:color w:val="auto"/>
          <w:sz w:val="36"/>
          <w:szCs w:val="36"/>
          <w:shd w:val="clear" w:color="auto" w:fill="FFFFFF"/>
        </w:rPr>
        <w:t>报名表</w:t>
      </w:r>
    </w:p>
    <w:tbl>
      <w:tblPr>
        <w:tblStyle w:val="2"/>
        <w:tblpPr w:leftFromText="180" w:rightFromText="180" w:vertAnchor="text" w:horzAnchor="page" w:tblpXSpec="center" w:tblpY="613"/>
        <w:tblOverlap w:val="never"/>
        <w:tblW w:w="50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7"/>
        <w:gridCol w:w="857"/>
        <w:gridCol w:w="1222"/>
        <w:gridCol w:w="1525"/>
        <w:gridCol w:w="183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学校组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/俱乐部组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剑种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组别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9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Arial" w:hAnsi="Arial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Arial" w:hAnsi="Arial"/>
          <w:b w:val="0"/>
          <w:bCs w:val="0"/>
          <w:color w:val="auto"/>
          <w:sz w:val="28"/>
          <w:szCs w:val="28"/>
          <w:shd w:val="clear" w:color="auto" w:fill="FFFFFF"/>
        </w:rPr>
        <w:t xml:space="preserve">参赛单位：（公章）                </w:t>
      </w:r>
    </w:p>
    <w:p>
      <w:pPr>
        <w:rPr>
          <w:rFonts w:ascii="Arial" w:hAnsi="Arial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Arial" w:hAnsi="Arial"/>
          <w:b w:val="0"/>
          <w:bCs w:val="0"/>
          <w:color w:val="auto"/>
          <w:sz w:val="28"/>
          <w:szCs w:val="28"/>
          <w:shd w:val="clear" w:color="auto" w:fill="FFFFFF"/>
        </w:rPr>
        <w:t xml:space="preserve">领队：           队医：            教练：                 </w:t>
      </w:r>
    </w:p>
    <w:p>
      <w:pPr>
        <w:ind w:right="800"/>
        <w:jc w:val="center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</w:rPr>
        <w:t xml:space="preserve">                   </w:t>
      </w:r>
      <w:r>
        <w:rPr>
          <w:rFonts w:hint="eastAsia"/>
          <w:b w:val="0"/>
          <w:bCs w:val="0"/>
          <w:color w:val="auto"/>
          <w:sz w:val="28"/>
          <w:szCs w:val="28"/>
        </w:rPr>
        <w:t xml:space="preserve"> 代表队负责人电话：</w:t>
      </w:r>
    </w:p>
    <w:p>
      <w:pPr>
        <w:ind w:right="26"/>
        <w:jc w:val="right"/>
        <w:rPr>
          <w:rFonts w:hint="eastAsia"/>
          <w:b w:val="0"/>
          <w:bCs w:val="0"/>
          <w:color w:val="auto"/>
          <w:sz w:val="28"/>
          <w:szCs w:val="28"/>
        </w:rPr>
      </w:pPr>
    </w:p>
    <w:p>
      <w:pPr>
        <w:ind w:right="26"/>
        <w:jc w:val="right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B996F"/>
    <w:multiLevelType w:val="singleLevel"/>
    <w:tmpl w:val="037B99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129400"/>
    <w:multiLevelType w:val="singleLevel"/>
    <w:tmpl w:val="3C1294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OGFiMDc0NjZjYzFhMDI2M2MzOGQwZmQxZThlNWMifQ=="/>
  </w:docVars>
  <w:rsids>
    <w:rsidRoot w:val="25473080"/>
    <w:rsid w:val="011B6997"/>
    <w:rsid w:val="02BD21E4"/>
    <w:rsid w:val="031E1CBB"/>
    <w:rsid w:val="03F34A44"/>
    <w:rsid w:val="068154EF"/>
    <w:rsid w:val="06FA2BAB"/>
    <w:rsid w:val="081E4FBF"/>
    <w:rsid w:val="09D65B51"/>
    <w:rsid w:val="0B7E024F"/>
    <w:rsid w:val="0BA27FF2"/>
    <w:rsid w:val="0CDD71F7"/>
    <w:rsid w:val="0D865199"/>
    <w:rsid w:val="0E1924B1"/>
    <w:rsid w:val="0E4D5CB6"/>
    <w:rsid w:val="12AD766B"/>
    <w:rsid w:val="1A467D64"/>
    <w:rsid w:val="1A9703C8"/>
    <w:rsid w:val="1B3C40A2"/>
    <w:rsid w:val="20CC6F0F"/>
    <w:rsid w:val="238E0DF3"/>
    <w:rsid w:val="24770BAD"/>
    <w:rsid w:val="25473080"/>
    <w:rsid w:val="2634739E"/>
    <w:rsid w:val="26CA3024"/>
    <w:rsid w:val="38DF7CCF"/>
    <w:rsid w:val="39D73F51"/>
    <w:rsid w:val="3D574A4B"/>
    <w:rsid w:val="3E5F540E"/>
    <w:rsid w:val="40B60FC7"/>
    <w:rsid w:val="450B1E4C"/>
    <w:rsid w:val="45513D03"/>
    <w:rsid w:val="486378A9"/>
    <w:rsid w:val="49051AF3"/>
    <w:rsid w:val="554E3DBB"/>
    <w:rsid w:val="57277849"/>
    <w:rsid w:val="589938DA"/>
    <w:rsid w:val="5A3F148C"/>
    <w:rsid w:val="5A490FF5"/>
    <w:rsid w:val="5BFE7BBD"/>
    <w:rsid w:val="60FE5F9F"/>
    <w:rsid w:val="6B32518D"/>
    <w:rsid w:val="6B8359E9"/>
    <w:rsid w:val="74587E1A"/>
    <w:rsid w:val="77E51F05"/>
    <w:rsid w:val="78485FF0"/>
    <w:rsid w:val="7F1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2211</Words>
  <Characters>2294</Characters>
  <Lines>0</Lines>
  <Paragraphs>0</Paragraphs>
  <TotalTime>33</TotalTime>
  <ScaleCrop>false</ScaleCrop>
  <LinksUpToDate>false</LinksUpToDate>
  <CharactersWithSpaces>2458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2023-04-23T07:51:00Z</dcterms:created>
  <dc:creator>张勇</dc:creator>
  <cp:lastModifiedBy>一諗乄徔間</cp:lastModifiedBy>
  <cp:lastPrinted>2023-05-04T03:58:28Z</cp:lastPrinted>
  <dcterms:modified xsi:type="dcterms:W3CDTF">2023-05-04T04:22:49Z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5DAD754B0625407FBD389F717937AA97</vt:lpwstr>
  </property>
</Properties>
</file>