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40" w:rightChars="400"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pStyle w:val="2"/>
        <w:rPr>
          <w:rFonts w:hint="eastAsia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年度《大兴区促进高精尖产业发展暂行办法（修订版）》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拟</w:t>
      </w:r>
      <w:r>
        <w:rPr>
          <w:rFonts w:hint="eastAsia" w:ascii="黑体" w:hAnsi="黑体" w:eastAsia="黑体" w:cs="黑体"/>
          <w:sz w:val="32"/>
          <w:szCs w:val="32"/>
        </w:rPr>
        <w:t>兑现企业名单</w:t>
      </w:r>
      <w:bookmarkEnd w:id="0"/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6"/>
        <w:gridCol w:w="67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北京铁路信号有限公司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北京捷科智诚科技有限公司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北京博泽汽车部件有限公司</w:t>
            </w:r>
          </w:p>
        </w:tc>
      </w:tr>
      <w:tr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北京格雷时尚科技有限公司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北京远东罗斯蒙特仪表有限公司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北京华科仪科技股份有限公司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北京霍里思特科技有限公司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中船数字信息技术有限公司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国药集团北京华邈药业有限公司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北京市阀门总厂股份有限公司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北京麦邦光电仪器有限公司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北京云中融信网络科技有限公司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北京新龙立智能科技有限公司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北京先进数通数字科技有限公司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北京华医圣杰科技有限公司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北京诚益通控制工程科技股份有限公司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北京星光创艺科技有限公司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北京顶佳世纪印刷有限公司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富思特新材料科技发展股份有限公司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北京三元基因药业股份有限公司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北京国科诚泰农牧设备有限公司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北京大兴智慧城市科技有限公司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北京京仪北方仪器仪表有限公司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北京联创智融信息技术有限公司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北京鑫方盛数字科技有限公司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北京康美制药有限公司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中粮丰通(北京)食品有限公司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北京均大制药有限公司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北京双鹤制药装备有限责任公司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北京诚益通科技有限公司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北京华逸飞科技发展有限公司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北京维瑞和医疗科技有限公司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景卓腾达(北京)网络科技有限公司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科赫生物科技(北京)有限公司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北京智源新能电气科技有限公司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波粒(北京)光电科技有限公司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北京领为军融科技有限公司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北京日光旭升精细化工技术研究所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北京中财万鑫科技有限公司</w:t>
            </w:r>
          </w:p>
        </w:tc>
      </w:tr>
    </w:tbl>
    <w:p>
      <w:pPr>
        <w:wordWrap w:val="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1DBA01EA"/>
    <w:rsid w:val="1DBA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2024-06-27T08:50:00Z</dcterms:created>
  <dc:creator>米露露</dc:creator>
  <cp:lastModifiedBy>米露露</cp:lastModifiedBy>
  <dcterms:modified xsi:type="dcterms:W3CDTF">2024-06-27T08:50:31Z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8CD7583F82FD4C929CE2C6ED2CBAC55F_11</vt:lpwstr>
  </property>
</Properties>
</file>