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lang w:val="en-US" w:eastAsia="zh-CN"/>
        </w:rPr>
      </w:pP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lang w:val="en-US" w:eastAsia="zh-CN"/>
        </w:rPr>
      </w:pP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关于开展2025北京民营企业百强调研</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与发布工作的通知</w:t>
      </w:r>
    </w:p>
    <w:p>
      <w:pPr>
        <w:widowControl w:val="0"/>
        <w:wordWrap/>
        <w:adjustRightInd/>
        <w:snapToGrid/>
        <w:spacing w:line="560" w:lineRule="exact"/>
        <w:textAlignment w:val="auto"/>
        <w:rPr>
          <w:rFonts w:hint="eastAsia" w:ascii="仿宋_GB2312" w:hAnsi="仿宋_GB2312" w:eastAsia="仿宋_GB2312" w:cs="仿宋_GB2312"/>
          <w:color w:val="000000"/>
          <w:lang w:val="en-US" w:eastAsia="zh-CN"/>
        </w:rPr>
      </w:pPr>
    </w:p>
    <w:p>
      <w:pPr>
        <w:widowControl w:val="0"/>
        <w:wordWrap/>
        <w:adjustRightInd/>
        <w:snapToGrid/>
        <w:spacing w:line="560" w:lineRule="exact"/>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北京民营企业：</w:t>
      </w:r>
    </w:p>
    <w:p>
      <w:pPr>
        <w:widowControl w:val="0"/>
        <w:wordWrap/>
        <w:adjustRightInd/>
        <w:snapToGrid/>
        <w:spacing w:line="560" w:lineRule="exact"/>
        <w:ind w:firstLine="64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北京民营企业百强调研与发布工作作为全市民营经济统战领域和工商联系统的一项重点工作，连续开展七年以来成果丰硕，社会影响力不断扩大。今年，继续开展2025北京民营企业百强调研工作，现将有关事项通知如下。</w:t>
      </w:r>
    </w:p>
    <w:p>
      <w:pPr>
        <w:widowControl w:val="0"/>
        <w:wordWrap/>
        <w:adjustRightInd/>
        <w:snapToGrid/>
        <w:spacing w:line="560" w:lineRule="exact"/>
        <w:ind w:firstLine="640"/>
        <w:textAlignment w:val="auto"/>
        <w:rPr>
          <w:rFonts w:hint="eastAsia" w:ascii="仿宋_GB2312" w:hAnsi="仿宋_GB2312" w:eastAsia="仿宋_GB2312" w:cs="仿宋_GB2312"/>
          <w:color w:val="000000"/>
          <w:lang w:val="en-US" w:eastAsia="zh-CN"/>
        </w:rPr>
      </w:pPr>
      <w:r>
        <w:rPr>
          <w:rFonts w:hint="eastAsia" w:ascii="黑体" w:hAnsi="黑体" w:eastAsia="黑体" w:cs="黑体"/>
          <w:color w:val="000000"/>
          <w:lang w:val="en-US" w:eastAsia="zh-CN"/>
        </w:rPr>
        <w:t>一、调研目的</w:t>
      </w:r>
    </w:p>
    <w:p>
      <w:pPr>
        <w:keepNext w:val="0"/>
        <w:keepLines w:val="0"/>
        <w:pageBreakBefore w:val="0"/>
        <w:widowControl w:val="0"/>
        <w:suppressLineNumbers w:val="0"/>
        <w:kinsoku/>
        <w:wordWrap/>
        <w:overflowPunct/>
        <w:topLinePunct w:val="0"/>
        <w:autoSpaceDE w:val="0"/>
        <w:autoSpaceDN/>
        <w:bidi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Calibri" w:eastAsia="仿宋_GB2312" w:cs="仿宋_GB2312"/>
          <w:b w:val="0"/>
          <w:bCs w:val="0"/>
          <w:color w:val="auto"/>
          <w:spacing w:val="0"/>
          <w:kern w:val="2"/>
          <w:sz w:val="32"/>
          <w:szCs w:val="32"/>
          <w:lang w:val="en-US" w:eastAsia="zh-CN" w:bidi="ar"/>
        </w:rPr>
        <w:t>通过开展百强工作，研究分析北京民营经济发展趋势、产业布局，了解民营企业家关切和诉求，梳理当前民营经济发展中存在的共性问题，为市委市政府制定相关政策提供参考。</w:t>
      </w:r>
      <w:r>
        <w:rPr>
          <w:rFonts w:hint="eastAsia" w:ascii="仿宋_GB2312" w:hAnsi="Calibri" w:eastAsia="仿宋_GB2312" w:cs="仿宋_GB2312"/>
          <w:color w:val="auto"/>
          <w:spacing w:val="0"/>
          <w:kern w:val="2"/>
          <w:sz w:val="32"/>
          <w:szCs w:val="32"/>
          <w:lang w:val="en-US" w:eastAsia="zh-CN" w:bidi="ar"/>
        </w:rPr>
        <w:t>发掘一批符合首都城市功能定位，契合“高精尖”经济结构，具有引领示范带动效应的</w:t>
      </w:r>
      <w:r>
        <w:rPr>
          <w:rFonts w:hint="eastAsia" w:ascii="仿宋_GB2312" w:hAnsi="Calibri" w:eastAsia="仿宋_GB2312" w:cs="仿宋_GB2312"/>
          <w:b w:val="0"/>
          <w:bCs w:val="0"/>
          <w:color w:val="auto"/>
          <w:spacing w:val="0"/>
          <w:kern w:val="2"/>
          <w:sz w:val="32"/>
          <w:szCs w:val="32"/>
          <w:lang w:val="en-US" w:eastAsia="zh-CN" w:bidi="ar"/>
        </w:rPr>
        <w:t>优质民营企业</w:t>
      </w:r>
      <w:r>
        <w:rPr>
          <w:rFonts w:hint="eastAsia" w:ascii="仿宋_GB2312" w:hAnsi="Calibri" w:eastAsia="仿宋_GB2312" w:cs="仿宋_GB2312"/>
          <w:b w:val="0"/>
          <w:color w:val="auto"/>
          <w:spacing w:val="0"/>
          <w:kern w:val="2"/>
          <w:sz w:val="32"/>
          <w:szCs w:val="32"/>
          <w:lang w:val="en-US" w:eastAsia="zh-CN" w:bidi="ar"/>
        </w:rPr>
        <w:t>。</w:t>
      </w:r>
      <w:r>
        <w:rPr>
          <w:rFonts w:hint="eastAsia" w:ascii="仿宋_GB2312" w:hAnsi="Calibri" w:eastAsia="仿宋_GB2312" w:cs="仿宋_GB2312"/>
          <w:b w:val="0"/>
          <w:bCs w:val="0"/>
          <w:color w:val="auto"/>
          <w:spacing w:val="0"/>
          <w:kern w:val="2"/>
          <w:sz w:val="32"/>
          <w:szCs w:val="32"/>
          <w:lang w:val="en-US" w:eastAsia="zh-CN" w:bidi="ar"/>
        </w:rPr>
        <w:t>鼓励引导民营企业践行新发展理念，主动融入新发展格局，履行好社会责任，助力国际科技创新中心、全球数字经济标杆城市和“两区”建设，为推进首都高质量发展贡献力量。</w:t>
      </w:r>
      <w:r>
        <w:rPr>
          <w:rFonts w:hint="eastAsia" w:ascii="仿宋_GB2312" w:hAnsi="Calibri" w:eastAsia="仿宋_GB2312" w:cs="仿宋_GB2312"/>
          <w:b w:val="0"/>
          <w:bCs w:val="0"/>
          <w:color w:val="000000"/>
          <w:kern w:val="2"/>
          <w:sz w:val="32"/>
          <w:szCs w:val="32"/>
          <w:lang w:val="en-US" w:eastAsia="zh-CN" w:bidi="ar"/>
        </w:rPr>
        <w:t xml:space="preserve"> </w:t>
      </w:r>
    </w:p>
    <w:p>
      <w:pPr>
        <w:widowControl w:val="0"/>
        <w:wordWrap/>
        <w:adjustRightInd/>
        <w:snapToGrid/>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二、调研范围和发布内容</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lang w:val="en-US" w:eastAsia="zh-CN"/>
        </w:rPr>
      </w:pPr>
      <w:r>
        <w:rPr>
          <w:rFonts w:hint="eastAsia" w:ascii="楷体_GB2312" w:hAnsi="楷体_GB2312" w:eastAsia="楷体_GB2312" w:cs="楷体_GB2312"/>
          <w:b w:val="0"/>
          <w:bCs w:val="0"/>
          <w:color w:val="000000"/>
          <w:kern w:val="2"/>
          <w:sz w:val="32"/>
          <w:szCs w:val="32"/>
          <w:lang w:val="en-US" w:eastAsia="zh-CN" w:bidi="ar-SA"/>
        </w:rPr>
        <w:t>（一）调研范围</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60" w:lineRule="exact"/>
        <w:ind w:right="0" w:rightChars="0" w:firstLine="640" w:firstLineChars="200"/>
        <w:jc w:val="both"/>
        <w:textAlignment w:val="auto"/>
        <w:rPr>
          <w:rFonts w:hint="default" w:ascii="仿宋_GB2312" w:hAnsi="Calibri" w:eastAsia="仿宋_GB2312" w:cs="仿宋_GB2312"/>
          <w:b w:val="0"/>
          <w:bCs w:val="0"/>
          <w:color w:val="auto"/>
          <w:spacing w:val="0"/>
          <w:kern w:val="2"/>
          <w:sz w:val="32"/>
          <w:szCs w:val="32"/>
          <w:lang w:val="en-US" w:eastAsia="zh-CN" w:bidi="ar"/>
        </w:rPr>
      </w:pPr>
      <w:r>
        <w:rPr>
          <w:rFonts w:hint="eastAsia" w:ascii="仿宋_GB2312" w:hAnsi="Calibri" w:eastAsia="仿宋_GB2312" w:cs="仿宋_GB2312"/>
          <w:b w:val="0"/>
          <w:bCs w:val="0"/>
          <w:color w:val="auto"/>
          <w:spacing w:val="0"/>
          <w:kern w:val="2"/>
          <w:sz w:val="32"/>
          <w:szCs w:val="32"/>
          <w:lang w:val="en-US" w:eastAsia="zh-CN" w:bidi="ar"/>
        </w:rPr>
        <w:t>调研数据的时间范围是2024年1月1日至12月31日。调研对象是在北京登记注册的私营企业、非公有制经济成分控股的有限责任公司和股份有限公司。国有绝对控股企业、外资绝对控股企业、港澳台资绝对控股企业不在调研范围内</w:t>
      </w:r>
      <w:r>
        <w:rPr>
          <w:rFonts w:hint="eastAsia" w:hAnsi="Calibri" w:cs="仿宋_GB2312"/>
          <w:b w:val="0"/>
          <w:bCs w:val="0"/>
          <w:color w:val="auto"/>
          <w:spacing w:val="0"/>
          <w:kern w:val="2"/>
          <w:sz w:val="32"/>
          <w:szCs w:val="32"/>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（二）调研内容</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调研内容分为主调研题目和分榜单调研题目，包括民营企业投资发展、公司治理、创新发展、标准化建设、数字化绿色化发展、国际化发展、营商环境等方面，完整的问卷</w:t>
      </w:r>
      <w:r>
        <w:rPr>
          <w:rFonts w:hint="eastAsia" w:ascii="仿宋_GB2312" w:hAnsi="仿宋_GB2312" w:eastAsia="仿宋_GB2312" w:cs="仿宋_GB2312"/>
          <w:b w:val="0"/>
          <w:bCs w:val="0"/>
          <w:color w:val="auto"/>
          <w:spacing w:val="0"/>
          <w:kern w:val="2"/>
          <w:sz w:val="32"/>
          <w:szCs w:val="32"/>
          <w:highlight w:val="none"/>
          <w:lang w:val="en-US" w:eastAsia="zh-CN" w:bidi="ar-SA"/>
        </w:rPr>
        <w:t>内容可在</w:t>
      </w:r>
      <w:r>
        <w:rPr>
          <w:rFonts w:hint="eastAsia" w:ascii="仿宋_GB2312" w:hAnsi="仿宋_GB2312" w:eastAsia="仿宋_GB2312" w:cs="仿宋_GB2312"/>
          <w:b w:val="0"/>
          <w:bCs w:val="0"/>
          <w:color w:val="auto"/>
          <w:spacing w:val="0"/>
          <w:kern w:val="2"/>
          <w:sz w:val="32"/>
          <w:szCs w:val="32"/>
          <w:lang w:val="en-US" w:eastAsia="zh-CN" w:bidi="ar-SA"/>
        </w:rPr>
        <w:t>申报系统“申报通知”栏目内</w:t>
      </w:r>
      <w:r>
        <w:rPr>
          <w:rFonts w:hint="eastAsia" w:ascii="仿宋_GB2312" w:hAnsi="仿宋_GB2312" w:eastAsia="仿宋_GB2312" w:cs="仿宋_GB2312"/>
          <w:b w:val="0"/>
          <w:bCs w:val="0"/>
          <w:color w:val="auto"/>
          <w:spacing w:val="0"/>
          <w:kern w:val="2"/>
          <w:sz w:val="32"/>
          <w:szCs w:val="32"/>
          <w:highlight w:val="none"/>
          <w:lang w:val="en-US" w:eastAsia="zh-CN" w:bidi="ar-SA"/>
        </w:rPr>
        <w:t>下载查看。</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default" w:ascii="仿宋_GB2312" w:hAnsi="仿宋_GB2312" w:eastAsia="仿宋_GB2312" w:cs="仿宋_GB2312"/>
          <w:color w:val="000000"/>
          <w:lang w:val="en-US" w:eastAsia="zh-CN"/>
        </w:rPr>
      </w:pPr>
      <w:r>
        <w:rPr>
          <w:rFonts w:hint="eastAsia" w:ascii="楷体_GB2312" w:hAnsi="楷体_GB2312" w:eastAsia="楷体_GB2312" w:cs="楷体_GB2312"/>
          <w:b w:val="0"/>
          <w:bCs w:val="0"/>
          <w:color w:val="000000"/>
          <w:kern w:val="2"/>
          <w:sz w:val="32"/>
          <w:szCs w:val="32"/>
          <w:lang w:val="en-US" w:eastAsia="zh-CN" w:bidi="ar-SA"/>
        </w:rPr>
        <w:t>（三）调研成果</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1.根据相关指标体系，产生并发布1个主榜单“北京民营企业100强”，3个分榜单“科技创新100强”“文化产业100强”“专精特新100强”，2个优秀案例“社会责任优秀案例”“投资优秀案例”。</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2.根据调研情况，形成“北京民营企业百强”“百强民营企业社会责任”2个调研报告，上报市委市政府。</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3.上榜企业及其他重点申报企业将纳入工商联服务体系，通过团结聚力、履职建言、赋能服务、融通发展、典型引领等五大行动，一企一策做好相关服务工作，具体内容可在</w:t>
      </w:r>
      <w:bookmarkStart w:id="0" w:name="OLE_LINK1"/>
      <w:r>
        <w:rPr>
          <w:rFonts w:hint="eastAsia" w:ascii="仿宋_GB2312" w:hAnsi="仿宋_GB2312" w:eastAsia="仿宋_GB2312" w:cs="仿宋_GB2312"/>
          <w:b w:val="0"/>
          <w:bCs w:val="0"/>
          <w:color w:val="auto"/>
          <w:spacing w:val="0"/>
          <w:kern w:val="2"/>
          <w:sz w:val="32"/>
          <w:szCs w:val="32"/>
          <w:lang w:val="en-US" w:eastAsia="zh-CN" w:bidi="ar-SA"/>
        </w:rPr>
        <w:t>申报系统“申报通知”栏目项下</w:t>
      </w:r>
      <w:bookmarkEnd w:id="0"/>
      <w:r>
        <w:rPr>
          <w:rFonts w:hint="eastAsia" w:ascii="仿宋_GB2312" w:hAnsi="仿宋_GB2312" w:eastAsia="仿宋_GB2312" w:cs="仿宋_GB2312"/>
          <w:b w:val="0"/>
          <w:bCs w:val="0"/>
          <w:color w:val="auto"/>
          <w:spacing w:val="0"/>
          <w:kern w:val="2"/>
          <w:sz w:val="32"/>
          <w:szCs w:val="32"/>
          <w:lang w:val="en-US" w:eastAsia="zh-CN" w:bidi="ar-SA"/>
        </w:rPr>
        <w:t>查看。</w:t>
      </w:r>
    </w:p>
    <w:p>
      <w:pPr>
        <w:widowControl w:val="0"/>
        <w:wordWrap/>
        <w:adjustRightInd/>
        <w:snapToGrid/>
        <w:spacing w:line="560" w:lineRule="exact"/>
        <w:ind w:firstLine="640" w:firstLineChars="200"/>
        <w:textAlignment w:val="auto"/>
        <w:rPr>
          <w:rFonts w:hint="default" w:ascii="仿宋_GB2312" w:hAnsi="仿宋_GB2312" w:eastAsia="仿宋_GB2312" w:cs="仿宋_GB2312"/>
          <w:color w:val="000000"/>
          <w:lang w:val="en-US" w:eastAsia="zh-CN"/>
        </w:rPr>
      </w:pPr>
      <w:r>
        <w:rPr>
          <w:rFonts w:hint="eastAsia" w:ascii="黑体" w:hAnsi="黑体" w:eastAsia="黑体" w:cs="黑体"/>
          <w:color w:val="000000"/>
          <w:lang w:val="en-US" w:eastAsia="zh-CN"/>
        </w:rPr>
        <w:t>三、申报流程</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000000"/>
          <w:u w:val="none"/>
          <w:lang w:val="en-US" w:eastAsia="zh-CN"/>
        </w:rPr>
      </w:pPr>
      <w:r>
        <w:rPr>
          <w:rFonts w:hint="eastAsia" w:ascii="仿宋_GB2312" w:hAnsi="仿宋_GB2312" w:eastAsia="仿宋_GB2312" w:cs="仿宋_GB2312"/>
          <w:color w:val="000000"/>
          <w:lang w:val="en-US" w:eastAsia="zh-CN"/>
        </w:rPr>
        <w:t>1.申报系统网址：</w:t>
      </w:r>
      <w:r>
        <w:rPr>
          <w:rFonts w:hint="default" w:ascii="Times New Roman" w:hAnsi="Times New Roman" w:eastAsia="仿宋_GB2312" w:cs="Times New Roman"/>
          <w:color w:val="000000"/>
          <w:u w:val="none"/>
          <w:lang w:val="en-US" w:eastAsia="zh-CN"/>
        </w:rPr>
        <w:t>https://wsgsl.bjgsl.org.cn/hundredLogin</w:t>
      </w:r>
      <w:r>
        <w:rPr>
          <w:rFonts w:hint="eastAsia" w:eastAsia="仿宋_GB2312" w:cs="Times New Roman"/>
          <w:color w:val="000000"/>
          <w:u w:val="none"/>
          <w:lang w:val="en-US" w:eastAsia="zh-CN"/>
        </w:rPr>
        <w:t>。</w:t>
      </w:r>
      <w:r>
        <w:rPr>
          <w:rFonts w:hint="eastAsia" w:ascii="仿宋_GB2312" w:hAnsi="仿宋_GB2312" w:eastAsia="仿宋_GB2312" w:cs="仿宋_GB2312"/>
          <w:b w:val="0"/>
          <w:bCs w:val="0"/>
          <w:color w:val="000000"/>
          <w:u w:val="none"/>
          <w:lang w:val="en-US" w:eastAsia="zh-CN"/>
        </w:rPr>
        <w:t>进入后点击“企业注册”，注册成功后，请妥善保管登录账号及密码，该账号将作为企业唯一登录凭证长期使用。</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u w:val="none"/>
          <w:lang w:val="en-US" w:eastAsia="zh-CN"/>
        </w:rPr>
        <w:t>2.登入系统后，请仔细阅读填报说明，勾选意向申报的榜单和优秀案例，按要求填写相应的问卷内容，并上传企业2024年度财务审计报告。若无审计报告，</w:t>
      </w:r>
      <w:r>
        <w:rPr>
          <w:rFonts w:hint="eastAsia" w:ascii="仿宋_GB2312" w:hAnsi="仿宋_GB2312" w:eastAsia="仿宋_GB2312" w:cs="仿宋_GB2312"/>
          <w:color w:val="000000"/>
          <w:lang w:val="en-US" w:eastAsia="zh-CN"/>
        </w:rPr>
        <w:t>请上传加盖企业公章的财务报表扫描件（资产负债表、利润表和现金流量表），报表中要包含2023年和2024年两个会计年度的期末财务数据。填报完毕确认无误后，点击“提交至区级审核”。</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3.提交后如需退回修改，请联系注册地所在区工商联进行退回，</w:t>
      </w:r>
      <w:r>
        <w:rPr>
          <w:rFonts w:hint="eastAsia" w:ascii="仿宋_GB2312" w:hAnsi="仿宋_GB2312" w:eastAsia="仿宋_GB2312" w:cs="仿宋_GB2312"/>
          <w:color w:val="000000"/>
          <w:u w:val="none"/>
          <w:lang w:val="en-US" w:eastAsia="zh-CN"/>
        </w:rPr>
        <w:t>如有系统操作问题请及时联系技术支持人员。</w:t>
      </w:r>
      <w:r>
        <w:rPr>
          <w:rFonts w:hint="eastAsia" w:ascii="仿宋_GB2312" w:hAnsi="仿宋_GB2312" w:eastAsia="仿宋_GB2312" w:cs="仿宋_GB2312"/>
          <w:color w:val="000000"/>
          <w:lang w:val="en-US" w:eastAsia="zh-CN"/>
        </w:rPr>
        <w:t>（联系方式见文末）</w:t>
      </w:r>
    </w:p>
    <w:p>
      <w:pPr>
        <w:widowControl w:val="0"/>
        <w:wordWrap/>
        <w:adjustRightInd/>
        <w:snapToGrid/>
        <w:spacing w:line="560" w:lineRule="exact"/>
        <w:textAlignment w:val="auto"/>
        <w:rPr>
          <w:rFonts w:hint="eastAsia" w:ascii="仿宋_GB2312" w:hAnsi="仿宋_GB2312" w:eastAsia="仿宋_GB2312" w:cs="仿宋_GB2312"/>
          <w:color w:val="000000"/>
          <w:u w:val="none"/>
          <w:lang w:val="en-US" w:eastAsia="zh-CN"/>
        </w:rPr>
      </w:pPr>
    </w:p>
    <w:p>
      <w:pPr>
        <w:widowControl w:val="0"/>
        <w:wordWrap/>
        <w:adjustRightInd/>
        <w:snapToGrid/>
        <w:spacing w:line="560" w:lineRule="exact"/>
        <w:jc w:val="center"/>
        <w:textAlignment w:val="auto"/>
        <w:rPr>
          <w:rFonts w:hint="eastAsia" w:ascii="仿宋_GB2312" w:hAnsi="仿宋_GB2312" w:eastAsia="仿宋_GB2312" w:cs="仿宋_GB2312"/>
          <w:i/>
          <w:iCs/>
          <w:color w:val="auto"/>
          <w:u w:val="single"/>
          <w:lang w:val="en-US" w:eastAsia="zh-CN"/>
        </w:rPr>
      </w:pPr>
      <w:r>
        <w:rPr>
          <w:rFonts w:hint="eastAsia" w:ascii="仿宋_GB2312" w:hAnsi="仿宋_GB2312" w:eastAsia="仿宋_GB2312" w:cs="仿宋_GB2312"/>
          <w:i/>
          <w:iCs/>
          <w:color w:val="auto"/>
          <w:u w:val="single"/>
          <w:lang w:val="en-US" w:eastAsia="zh-CN"/>
        </w:rPr>
        <w:t>插入：申报流程讲解小视频</w:t>
      </w:r>
    </w:p>
    <w:p>
      <w:pPr>
        <w:widowControl w:val="0"/>
        <w:wordWrap/>
        <w:adjustRightInd/>
        <w:snapToGrid/>
        <w:spacing w:line="560" w:lineRule="exact"/>
        <w:jc w:val="center"/>
        <w:textAlignment w:val="auto"/>
        <w:rPr>
          <w:rFonts w:hint="eastAsia" w:ascii="仿宋_GB2312" w:hAnsi="仿宋_GB2312" w:eastAsia="仿宋_GB2312" w:cs="仿宋_GB2312"/>
          <w:i/>
          <w:iCs/>
          <w:color w:val="auto"/>
          <w:u w:val="single"/>
          <w:lang w:val="en-US" w:eastAsia="zh-CN"/>
        </w:rPr>
      </w:pPr>
    </w:p>
    <w:p>
      <w:pPr>
        <w:widowControl w:val="0"/>
        <w:wordWrap/>
        <w:adjustRightInd/>
        <w:snapToGrid/>
        <w:spacing w:line="560" w:lineRule="exact"/>
        <w:jc w:val="center"/>
        <w:textAlignment w:val="auto"/>
        <w:rPr>
          <w:rFonts w:hint="eastAsia" w:ascii="仿宋_GB2312" w:hAnsi="仿宋_GB2312" w:eastAsia="仿宋_GB2312" w:cs="仿宋_GB2312"/>
          <w:i/>
          <w:iCs/>
          <w:color w:val="auto"/>
          <w:u w:val="single"/>
          <w:lang w:val="en-US" w:eastAsia="zh-CN"/>
        </w:rPr>
      </w:pPr>
      <w:r>
        <w:rPr>
          <w:rFonts w:hint="eastAsia" w:ascii="仿宋_GB2312" w:hAnsi="仿宋_GB2312" w:eastAsia="仿宋_GB2312" w:cs="仿宋_GB2312"/>
          <w:i/>
          <w:iCs/>
          <w:color w:val="auto"/>
          <w:u w:val="single"/>
          <w:lang w:val="en-US" w:eastAsia="zh-CN"/>
        </w:rPr>
        <w:t>插入：申报注意事项小视频</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p>
    <w:p>
      <w:pPr>
        <w:widowControl w:val="0"/>
        <w:wordWrap/>
        <w:adjustRightInd/>
        <w:snapToGrid/>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四、填报要求</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1.调研表一律通过百强申报系统线上提交，不接收线下寄送的打印件、手写件，避免数据因模糊不清出现差错。</w:t>
      </w:r>
    </w:p>
    <w:p>
      <w:pPr>
        <w:spacing w:line="60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2.申报企业应当确保所填报的各项数据真实、准确、完整，不得有任何虚假记载、误导性陈述或重大遗漏，并对数据内容承担相应责任。</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3.申报社会责任优秀案例、投资优秀案例的企业，请按照模板格式撰写并上传提交案例材料，</w:t>
      </w:r>
      <w:r>
        <w:rPr>
          <w:rFonts w:hint="eastAsia" w:ascii="仿宋_GB2312" w:hAnsi="仿宋_GB2312" w:eastAsia="仿宋_GB2312" w:cs="仿宋_GB2312"/>
          <w:color w:val="000000"/>
          <w:u w:val="none"/>
          <w:lang w:val="en-US" w:eastAsia="zh-CN"/>
        </w:rPr>
        <w:t>案例模板可从</w:t>
      </w:r>
      <w:r>
        <w:rPr>
          <w:rFonts w:hint="eastAsia" w:ascii="仿宋_GB2312" w:hAnsi="仿宋_GB2312" w:eastAsia="仿宋_GB2312" w:cs="仿宋_GB2312"/>
          <w:b w:val="0"/>
          <w:bCs w:val="0"/>
          <w:color w:val="auto"/>
          <w:spacing w:val="0"/>
          <w:kern w:val="2"/>
          <w:sz w:val="32"/>
          <w:szCs w:val="32"/>
          <w:lang w:val="en-US" w:eastAsia="zh-CN" w:bidi="ar-SA"/>
        </w:rPr>
        <w:t>申报系统“申报通知”栏目内</w:t>
      </w:r>
      <w:r>
        <w:rPr>
          <w:rFonts w:hint="eastAsia" w:ascii="仿宋_GB2312" w:hAnsi="仿宋_GB2312" w:eastAsia="仿宋_GB2312" w:cs="仿宋_GB2312"/>
          <w:b w:val="0"/>
          <w:bCs w:val="0"/>
          <w:color w:val="auto"/>
          <w:spacing w:val="0"/>
          <w:kern w:val="2"/>
          <w:sz w:val="32"/>
          <w:szCs w:val="32"/>
          <w:highlight w:val="none"/>
          <w:lang w:val="en-US" w:eastAsia="zh-CN" w:bidi="ar-SA"/>
        </w:rPr>
        <w:t>下载</w:t>
      </w:r>
      <w:r>
        <w:rPr>
          <w:rFonts w:hint="eastAsia" w:ascii="仿宋_GB2312" w:hAnsi="仿宋_GB2312" w:eastAsia="仿宋_GB2312" w:cs="仿宋_GB2312"/>
          <w:color w:val="000000"/>
          <w:lang w:val="en-US" w:eastAsia="zh-CN"/>
        </w:rPr>
        <w:t>。</w:t>
      </w:r>
    </w:p>
    <w:p>
      <w:pPr>
        <w:widowControl w:val="0"/>
        <w:wordWrap/>
        <w:adjustRightInd/>
        <w:snapToGrid/>
        <w:spacing w:line="560" w:lineRule="exact"/>
        <w:ind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4.集团企业下设多个子公司的，其各项经济指标应按照国家企业会计制度中有关合并报表的规定上报。已合并报表进入集团公司的子公司，若集团公司已报，子公司不再进入调研排序。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五、有关说明</w:t>
      </w:r>
    </w:p>
    <w:p>
      <w:pPr>
        <w:widowControl w:val="0"/>
        <w:wordWrap/>
        <w:adjustRightInd/>
        <w:snapToGrid/>
        <w:spacing w:line="560" w:lineRule="exact"/>
        <w:ind w:firstLine="643" w:firstLineChars="200"/>
        <w:textAlignment w:val="auto"/>
        <w:rPr>
          <w:rFonts w:hint="eastAsia" w:ascii="仿宋_GB2312" w:hAnsi="仿宋_GB2312" w:eastAsia="仿宋_GB2312" w:cs="仿宋_GB2312"/>
          <w:b/>
          <w:bCs/>
          <w:color w:val="000000"/>
          <w:lang w:val="en-US" w:eastAsia="zh-CN"/>
        </w:rPr>
      </w:pPr>
      <w:r>
        <w:rPr>
          <w:rFonts w:hint="eastAsia" w:ascii="仿宋_GB2312" w:hAnsi="仿宋_GB2312" w:eastAsia="仿宋_GB2312" w:cs="仿宋_GB2312"/>
          <w:b/>
          <w:bCs/>
          <w:color w:val="000000"/>
          <w:lang w:val="en-US" w:eastAsia="zh-CN"/>
        </w:rPr>
        <w:t>1.此调研及相关发布活动不向企业收取任何费用。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2.此项工作结合2025中国民营企业500强调研同步进行，</w:t>
      </w:r>
      <w:r>
        <w:rPr>
          <w:rFonts w:hint="eastAsia" w:ascii="仿宋_GB2312" w:eastAsia="仿宋_GB2312" w:cs="仿宋_GB2312"/>
          <w:b w:val="0"/>
          <w:bCs w:val="0"/>
        </w:rPr>
        <w:t>202</w:t>
      </w:r>
      <w:r>
        <w:rPr>
          <w:rFonts w:hint="eastAsia" w:ascii="仿宋_GB2312" w:eastAsia="仿宋_GB2312" w:cs="仿宋_GB2312"/>
          <w:b w:val="0"/>
          <w:bCs w:val="0"/>
          <w:lang w:val="en-US" w:eastAsia="zh-CN"/>
        </w:rPr>
        <w:t>4</w:t>
      </w:r>
      <w:r>
        <w:rPr>
          <w:rFonts w:hint="eastAsia" w:ascii="仿宋_GB2312" w:eastAsia="仿宋_GB2312" w:cs="仿宋_GB2312"/>
          <w:b w:val="0"/>
          <w:bCs w:val="0"/>
        </w:rPr>
        <w:t>年度营收总额在</w:t>
      </w:r>
      <w:r>
        <w:rPr>
          <w:rFonts w:hint="eastAsia" w:ascii="仿宋_GB2312" w:eastAsia="仿宋_GB2312" w:cs="仿宋_GB2312"/>
          <w:b w:val="0"/>
          <w:bCs w:val="0"/>
          <w:lang w:val="en-US" w:eastAsia="zh-CN"/>
        </w:rPr>
        <w:t>100</w:t>
      </w:r>
      <w:r>
        <w:rPr>
          <w:rFonts w:hint="eastAsia" w:ascii="仿宋_GB2312" w:eastAsia="仿宋_GB2312" w:cs="仿宋_GB2312"/>
          <w:b w:val="0"/>
          <w:bCs w:val="0"/>
        </w:rPr>
        <w:t>亿元以上的企业以及</w:t>
      </w:r>
      <w:r>
        <w:rPr>
          <w:rFonts w:hint="eastAsia" w:ascii="仿宋_GB2312" w:eastAsia="仿宋_GB2312"/>
          <w:b w:val="0"/>
          <w:bCs w:val="0"/>
        </w:rPr>
        <w:t>研发费用超过1亿元的企业，</w:t>
      </w:r>
      <w:r>
        <w:rPr>
          <w:rFonts w:hint="eastAsia" w:ascii="仿宋_GB2312" w:eastAsia="仿宋_GB2312"/>
          <w:b w:val="0"/>
          <w:bCs w:val="0"/>
          <w:lang w:val="en-US" w:eastAsia="zh-CN"/>
        </w:rPr>
        <w:t>将直接推荐给全国工商联参与500强调研，无需另行填报全国工商联上规模民营企业调研系统。</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000000"/>
          <w:lang w:val="en-US" w:eastAsia="zh-CN"/>
        </w:rPr>
        <w:t>申报截止时间为</w:t>
      </w:r>
      <w:r>
        <w:rPr>
          <w:rFonts w:hint="eastAsia" w:ascii="仿宋_GB2312" w:hAnsi="仿宋_GB2312" w:eastAsia="仿宋_GB2312" w:cs="仿宋_GB2312"/>
          <w:color w:val="000000"/>
          <w:highlight w:val="none"/>
          <w:lang w:val="en-US" w:eastAsia="zh-CN"/>
        </w:rPr>
        <w:t>6月30日24：00，</w:t>
      </w:r>
      <w:r>
        <w:rPr>
          <w:rFonts w:hint="eastAsia" w:ascii="仿宋_GB2312" w:hAnsi="仿宋_GB2312" w:eastAsia="仿宋_GB2312" w:cs="仿宋_GB2312"/>
          <w:color w:val="000000"/>
          <w:lang w:val="en-US" w:eastAsia="zh-CN"/>
        </w:rPr>
        <w:t xml:space="preserve">请在此日期前完成线上申报、提交工作。  </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lang w:val="en-US" w:eastAsia="zh-CN"/>
        </w:rPr>
      </w:pPr>
      <w:r>
        <w:rPr>
          <w:rFonts w:hint="eastAsia" w:ascii="方正小标宋_GBK" w:hAnsi="方正小标宋_GBK" w:eastAsia="方正小标宋_GBK" w:cs="方正小标宋_GBK"/>
          <w:b w:val="0"/>
          <w:bCs w:val="0"/>
          <w:color w:val="000000"/>
          <w:lang w:val="en-US" w:eastAsia="zh-CN"/>
        </w:rPr>
        <w:t xml:space="preserve"> </w:t>
      </w:r>
    </w:p>
    <w:tbl>
      <w:tblPr>
        <w:tblStyle w:val="6"/>
        <w:tblW w:w="7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800"/>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90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百强申报咨询电话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8" w:space="0"/>
              <w:left w:val="single" w:color="000000" w:sz="8" w:space="0"/>
              <w:bottom w:val="nil"/>
              <w:right w:val="single" w:color="000000" w:sz="4" w:space="0"/>
            </w:tcBorders>
            <w:shd w:val="clear" w:color="auto" w:fill="E7E6E6"/>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3800" w:type="dxa"/>
            <w:tcBorders>
              <w:top w:val="single" w:color="000000" w:sz="8" w:space="0"/>
              <w:left w:val="single" w:color="000000" w:sz="4" w:space="0"/>
              <w:bottom w:val="nil"/>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单位</w:t>
            </w:r>
          </w:p>
        </w:tc>
        <w:tc>
          <w:tcPr>
            <w:tcW w:w="3140" w:type="dxa"/>
            <w:tcBorders>
              <w:top w:val="single" w:color="000000" w:sz="8" w:space="0"/>
              <w:left w:val="single" w:color="000000" w:sz="4" w:space="0"/>
              <w:bottom w:val="nil"/>
              <w:right w:val="single" w:color="000000" w:sz="8" w:space="0"/>
            </w:tcBorders>
            <w:shd w:val="clear" w:color="auto" w:fill="E7E6E6"/>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8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系统技术支持</w:t>
            </w:r>
          </w:p>
        </w:tc>
        <w:tc>
          <w:tcPr>
            <w:tcW w:w="314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18939365911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8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18062598001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8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问卷内容咨询</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13910852920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left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8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18519055478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88810708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社会责任优秀案例咨询</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55583873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80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投资优秀案例咨询</w:t>
            </w:r>
          </w:p>
        </w:tc>
        <w:tc>
          <w:tcPr>
            <w:tcW w:w="314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55583887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0"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东城区工商联</w:t>
            </w:r>
          </w:p>
        </w:tc>
        <w:tc>
          <w:tcPr>
            <w:tcW w:w="3140"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51270937</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51270936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西城区工商联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83495765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朝阳区工商联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65094914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海淀区工商联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82666496</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15901105765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丰台区工商联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63803957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石景山区工商联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68863137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门头沟区工商联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69852380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房山区工商联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13611299110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通州区工商联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13811205963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顺义区工商联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69441974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昌平区工商联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69716350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大兴区工商联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81298370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怀柔区工商联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69647446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平谷区工商联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69969081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密云区工商联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69045763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延庆区工商联</w:t>
            </w:r>
          </w:p>
        </w:tc>
        <w:tc>
          <w:tcPr>
            <w:tcW w:w="314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69103626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380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经开区工商联</w:t>
            </w:r>
          </w:p>
        </w:tc>
        <w:tc>
          <w:tcPr>
            <w:tcW w:w="314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67871894</w:t>
            </w:r>
          </w:p>
        </w:tc>
      </w:tr>
    </w:tbl>
    <w:p>
      <w:pPr>
        <w:widowControl w:val="0"/>
        <w:wordWrap/>
        <w:adjustRightInd/>
        <w:snapToGrid/>
        <w:spacing w:line="560" w:lineRule="exact"/>
        <w:textAlignment w:val="auto"/>
        <w:rPr>
          <w:rFonts w:hint="eastAsia" w:ascii="仿宋_GB2312" w:hAnsi="仿宋_GB2312" w:eastAsia="仿宋_GB2312" w:cs="仿宋_GB2312"/>
          <w:color w:val="000000"/>
          <w:lang w:val="en-US" w:eastAsia="zh-CN"/>
        </w:rPr>
      </w:pPr>
    </w:p>
    <w:p>
      <w:pPr>
        <w:widowControl w:val="0"/>
        <w:wordWrap/>
        <w:adjustRightInd/>
        <w:snapToGrid/>
        <w:spacing w:line="560" w:lineRule="exact"/>
        <w:ind w:firstLine="5440" w:firstLineChars="17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北京市工商业联合会</w:t>
      </w:r>
    </w:p>
    <w:p>
      <w:pPr>
        <w:widowControl w:val="0"/>
        <w:wordWrap/>
        <w:adjustRightInd/>
        <w:snapToGrid/>
        <w:spacing w:line="560" w:lineRule="exact"/>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2025年5月13</w:t>
      </w:r>
      <w:bookmarkStart w:id="1" w:name="_GoBack"/>
      <w:bookmarkEnd w:id="1"/>
      <w:r>
        <w:rPr>
          <w:rFonts w:hint="eastAsia" w:ascii="仿宋_GB2312" w:hAnsi="仿宋_GB2312" w:eastAsia="仿宋_GB2312" w:cs="仿宋_GB2312"/>
          <w:color w:val="000000"/>
          <w:lang w:val="en-US" w:eastAsia="zh-CN"/>
        </w:rPr>
        <w:t>日</w:t>
      </w:r>
    </w:p>
    <w:sectPr>
      <w:footerReference r:id="rId3" w:type="default"/>
      <w:pgSz w:w="11906" w:h="16838"/>
      <w:pgMar w:top="1984" w:right="1474" w:bottom="1474" w:left="1587" w:header="851" w:footer="709"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- 2 -</w:t>
                          </w:r>
                          <w:r>
                            <w:rPr>
                              <w:rFonts w:hint="eastAsia" w:asciiTheme="minorEastAsia" w:hAnsiTheme="minorEastAsia" w:eastAsiaTheme="minorEastAsia" w:cstheme="minorEastAsia"/>
                              <w:sz w:val="28"/>
                              <w:szCs w:val="52"/>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74QjbUAQAApg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e+EI21AEAAKYDAAAOAAAAAAAAAAEAIAAA&#10;ACIBAABkcnMvZTJvRG9jLnhtbFBLBQYAAAAABgAGAFkBAABoBQAAAAA=&#10;">
              <v:fill on="f" focussize="0,0"/>
              <v:stroke on="f" weight="1.2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- 2 -</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5CE29CD"/>
    <w:rsid w:val="13806C3B"/>
    <w:rsid w:val="13BB623B"/>
    <w:rsid w:val="15D1182B"/>
    <w:rsid w:val="195B7AE8"/>
    <w:rsid w:val="1BA641E3"/>
    <w:rsid w:val="1EC27FFB"/>
    <w:rsid w:val="20FE0C2D"/>
    <w:rsid w:val="24934F3B"/>
    <w:rsid w:val="27FF312E"/>
    <w:rsid w:val="3BDE27CE"/>
    <w:rsid w:val="3C16166D"/>
    <w:rsid w:val="3FFD2E8C"/>
    <w:rsid w:val="442B2198"/>
    <w:rsid w:val="47906D05"/>
    <w:rsid w:val="4CC27294"/>
    <w:rsid w:val="4F02606E"/>
    <w:rsid w:val="55183BAC"/>
    <w:rsid w:val="57831D16"/>
    <w:rsid w:val="5D042FB1"/>
    <w:rsid w:val="631671BF"/>
    <w:rsid w:val="64D4595F"/>
    <w:rsid w:val="65CE29CD"/>
    <w:rsid w:val="6848469A"/>
    <w:rsid w:val="6BBFC524"/>
    <w:rsid w:val="6E004906"/>
    <w:rsid w:val="71B74249"/>
    <w:rsid w:val="74B91CA3"/>
    <w:rsid w:val="77FF4CB5"/>
    <w:rsid w:val="79492739"/>
    <w:rsid w:val="7B937FF4"/>
    <w:rsid w:val="7D9FDF7B"/>
    <w:rsid w:val="7E655B4E"/>
    <w:rsid w:val="977F5E65"/>
    <w:rsid w:val="BDAF1951"/>
    <w:rsid w:val="CDEFF278"/>
    <w:rsid w:val="FD7F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ind w:firstLine="640"/>
    </w:pPr>
    <w:rPr>
      <w:rFonts w:ascii="Times New Roman" w:hAnsi="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autoRedefine/>
    <w:qFormat/>
    <w:uiPriority w:val="0"/>
    <w:pPr>
      <w:ind w:firstLine="720" w:firstLineChars="200"/>
    </w:pPr>
    <w:rPr>
      <w:rFonts w:ascii="仿宋_GB2312" w:hAnsi="仿宋_GB2312" w:eastAsia="仿宋_GB2312"/>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2023-05-14T09:35:00Z</dcterms:created>
  <dc:creator>凪</dc:creator>
  <cp:lastModifiedBy>凪</cp:lastModifiedBy>
  <cp:lastPrinted>2024-05-16T11:38:00Z</cp:lastPrinted>
  <dcterms:modified xsi:type="dcterms:W3CDTF">2025-05-12T09:03:48Z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7868F0890C0646BEA430439E4B78BFB6_11</vt:lpwstr>
  </property>
</Properties>
</file>