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1C265">
      <w:pPr>
        <w:widowControl w:val="0"/>
        <w:wordWrap/>
        <w:adjustRightInd/>
        <w:snapToGrid/>
        <w:spacing w:before="0" w:after="0" w:line="700" w:lineRule="exact"/>
        <w:ind w:left="0" w:leftChars="0" w:right="0" w:firstLine="0" w:firstLineChars="0"/>
        <w:jc w:val="center"/>
        <w:textAlignment w:val="auto"/>
        <w:outlineLvl w:val="9"/>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797A7ECA">
      <w:pPr>
        <w:widowControl w:val="0"/>
        <w:wordWrap/>
        <w:adjustRightInd/>
        <w:snapToGrid/>
        <w:spacing w:before="0" w:after="0" w:line="700" w:lineRule="exact"/>
        <w:ind w:left="0" w:leftChars="0" w:right="0" w:firstLine="0" w:firstLineChars="0"/>
        <w:jc w:val="center"/>
        <w:textAlignment w:val="auto"/>
        <w:outlineLvl w:val="9"/>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3A33C396">
      <w:pPr>
        <w:widowControl w:val="0"/>
        <w:wordWrap/>
        <w:adjustRightInd/>
        <w:snapToGrid/>
        <w:spacing w:before="0" w:after="0" w:line="700" w:lineRule="exact"/>
        <w:ind w:left="0" w:leftChars="0" w:right="0" w:firstLine="0" w:firstLineChars="0"/>
        <w:jc w:val="center"/>
        <w:textAlignment w:val="auto"/>
        <w:outlineLvl w:val="9"/>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关于开展2026北京民营企业百强调研</w:t>
      </w:r>
    </w:p>
    <w:p w14:paraId="3FA628D1">
      <w:pPr>
        <w:widowControl w:val="0"/>
        <w:wordWrap/>
        <w:adjustRightInd/>
        <w:snapToGrid/>
        <w:spacing w:before="0" w:after="0" w:line="700" w:lineRule="exact"/>
        <w:ind w:left="0" w:leftChars="0" w:right="0" w:firstLine="0" w:firstLineChars="0"/>
        <w:jc w:val="center"/>
        <w:textAlignment w:val="auto"/>
        <w:outlineLvl w:val="9"/>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与发布工作的通知</w:t>
      </w:r>
    </w:p>
    <w:p w14:paraId="12A1F217">
      <w:pPr>
        <w:widowControl w:val="0"/>
        <w:wordWrap/>
        <w:adjustRightInd/>
        <w:snapToGrid/>
        <w:spacing w:line="560" w:lineRule="exac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p>
    <w:p w14:paraId="38C0B764">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北京民营企业：</w:t>
      </w:r>
    </w:p>
    <w:p w14:paraId="6AA80ED2">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2"/>
          <w:sz w:val="32"/>
          <w:szCs w:val="32"/>
          <w:lang w:val="en-US" w:eastAsia="zh-CN"/>
          <w14:textFill>
            <w14:solidFill>
              <w14:schemeClr w14:val="tx1"/>
            </w14:solidFill>
          </w14:textFill>
        </w:rPr>
        <w:t>为深入贯彻党的二十届四中全会精神及习近平总书记在民营企业座谈会上的重要讲话精神，全面落实中央、市委关于促进民营经济发展壮大和加强新时代工商联工作的部署要求，</w:t>
      </w:r>
      <w:r>
        <w:rPr>
          <w:rFonts w:hint="eastAsia" w:ascii="仿宋_GB2312" w:hAnsi="仿宋_GB2312" w:eastAsia="仿宋_GB2312" w:cs="仿宋_GB2312"/>
          <w:color w:val="000000" w:themeColor="text1"/>
          <w:lang w:val="en-US" w:eastAsia="zh-CN"/>
          <w14:textFill>
            <w14:solidFill>
              <w14:schemeClr w14:val="tx1"/>
            </w14:solidFill>
          </w14:textFill>
        </w:rPr>
        <w:t>贯彻实施《中华人民共和国民营经济促进法》，今年，继续开展2026北京民营企业百强调研工作。现将有关事项通知如下：</w:t>
      </w:r>
    </w:p>
    <w:p w14:paraId="12E7CF6C">
      <w:pPr>
        <w:keepNext w:val="0"/>
        <w:keepLines w:val="0"/>
        <w:pageBreakBefore w:val="0"/>
        <w:widowControl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一、调研目的</w:t>
      </w:r>
    </w:p>
    <w:p w14:paraId="0517EF8C">
      <w:pPr>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left="0" w:leftChars="0" w:right="0" w:firstLine="64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2"/>
          <w:sz w:val="32"/>
          <w:szCs w:val="32"/>
          <w:lang w:val="en-US" w:eastAsia="zh-CN"/>
          <w14:textFill>
            <w14:solidFill>
              <w14:schemeClr w14:val="tx1"/>
            </w14:solidFill>
          </w14:textFill>
        </w:rPr>
        <w:t>通过开展百强调研与发布，研究分析北京民营经济发展新趋势与新动能，精准分析产业布局结构，了解民营企业家关切和诉求，梳理当前民营经济发展中存在的问题，为市委、市政府制定相关政策提供决策参考。发掘一批符合首都城市功能定位，契合高质量发展要求，具有引领示范带动效应的优质民营企业，为打造高质量民营经济代表人士队伍提供源头活水。切实提升工商联工作的针对性和实效性，鼓励引导民营企业践行新发展理念，主动融入新发展格局，以培育新质生产力为导向，助力“四个中心”建设，为推进首都高质量发展贡献力量。</w:t>
      </w:r>
    </w:p>
    <w:p w14:paraId="12B881E0">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二、调研范围和发布内容</w:t>
      </w:r>
    </w:p>
    <w:p w14:paraId="71D0B891">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（一）调研范围</w:t>
      </w:r>
    </w:p>
    <w:p w14:paraId="055EC34F">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3" w:firstLineChars="200"/>
        <w:jc w:val="both"/>
        <w:textAlignment w:val="auto"/>
        <w:outlineLvl w:val="9"/>
        <w:rPr>
          <w:rFonts w:hint="eastAsia" w:ascii="仿宋_GB2312" w:hAnsi="Calibri" w:eastAsia="仿宋_GB2312" w:cs="仿宋_GB2312"/>
          <w:b w:val="0"/>
          <w:bCs w:val="0"/>
          <w:color w:val="000000" w:themeColor="text1"/>
          <w:spacing w:val="0"/>
          <w:kern w:val="2"/>
          <w:sz w:val="32"/>
          <w:szCs w:val="32"/>
          <w:lang w:val="en-US" w:eastAsia="zh-CN" w:bidi="ar"/>
          <w14:textFill>
            <w14:solidFill>
              <w14:schemeClr w14:val="tx1"/>
            </w14:solidFill>
          </w14:textFill>
        </w:rPr>
      </w:pPr>
      <w:r>
        <w:rPr>
          <w:rFonts w:hint="eastAsia" w:ascii="仿宋_GB2312" w:hAnsi="Calibri" w:eastAsia="仿宋_GB2312" w:cs="仿宋_GB2312"/>
          <w:b/>
          <w:bCs/>
          <w:color w:val="000000" w:themeColor="text1"/>
          <w:spacing w:val="0"/>
          <w:kern w:val="2"/>
          <w:sz w:val="32"/>
          <w:szCs w:val="32"/>
          <w:lang w:val="en-US" w:eastAsia="zh-CN" w:bidi="ar"/>
          <w14:textFill>
            <w14:solidFill>
              <w14:schemeClr w14:val="tx1"/>
            </w14:solidFill>
          </w14:textFill>
        </w:rPr>
        <w:t>1.对象范围：</w:t>
      </w:r>
      <w:r>
        <w:rPr>
          <w:rFonts w:hint="eastAsia" w:ascii="仿宋_GB2312" w:hAnsi="Calibri" w:eastAsia="仿宋_GB2312" w:cs="仿宋_GB2312"/>
          <w:b w:val="0"/>
          <w:bCs w:val="0"/>
          <w:color w:val="000000" w:themeColor="text1"/>
          <w:spacing w:val="0"/>
          <w:kern w:val="2"/>
          <w:sz w:val="32"/>
          <w:szCs w:val="32"/>
          <w:lang w:val="en-US" w:eastAsia="zh-CN" w:bidi="ar"/>
          <w14:textFill>
            <w14:solidFill>
              <w14:schemeClr w14:val="tx1"/>
            </w14:solidFill>
          </w14:textFill>
        </w:rPr>
        <w:t>在北京登记注册的私营企业、非公有制经济成分控股的有限责任公司和股份有限公司（国有绝对控股企业、外资绝对控股企业、港澳台资绝对控股企业不在调研范围内)。</w:t>
      </w:r>
    </w:p>
    <w:p w14:paraId="75853B8A">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3" w:firstLineChars="200"/>
        <w:jc w:val="both"/>
        <w:textAlignment w:val="auto"/>
        <w:outlineLvl w:val="9"/>
        <w:rPr>
          <w:rFonts w:hint="eastAsia" w:ascii="仿宋_GB2312" w:hAnsi="Calibri" w:eastAsia="仿宋_GB2312" w:cs="仿宋_GB2312"/>
          <w:b w:val="0"/>
          <w:bCs w:val="0"/>
          <w:color w:val="000000" w:themeColor="text1"/>
          <w:spacing w:val="0"/>
          <w:kern w:val="2"/>
          <w:sz w:val="32"/>
          <w:szCs w:val="32"/>
          <w:lang w:val="en-US" w:eastAsia="zh-CN" w:bidi="ar"/>
          <w14:textFill>
            <w14:solidFill>
              <w14:schemeClr w14:val="tx1"/>
            </w14:solidFill>
          </w14:textFill>
        </w:rPr>
      </w:pPr>
      <w:r>
        <w:rPr>
          <w:rFonts w:hint="eastAsia" w:ascii="仿宋_GB2312" w:hAnsi="Calibri" w:eastAsia="仿宋_GB2312" w:cs="仿宋_GB2312"/>
          <w:b/>
          <w:bCs/>
          <w:color w:val="000000" w:themeColor="text1"/>
          <w:spacing w:val="0"/>
          <w:kern w:val="2"/>
          <w:sz w:val="32"/>
          <w:szCs w:val="32"/>
          <w:lang w:val="en-US" w:eastAsia="zh-CN" w:bidi="ar"/>
          <w14:textFill>
            <w14:solidFill>
              <w14:schemeClr w14:val="tx1"/>
            </w14:solidFill>
          </w14:textFill>
        </w:rPr>
        <w:t>2.时间范围：</w:t>
      </w:r>
      <w:r>
        <w:rPr>
          <w:rFonts w:hint="eastAsia" w:ascii="仿宋_GB2312" w:hAnsi="Calibri" w:eastAsia="仿宋_GB2312" w:cs="仿宋_GB2312"/>
          <w:b w:val="0"/>
          <w:bCs w:val="0"/>
          <w:color w:val="000000" w:themeColor="text1"/>
          <w:spacing w:val="0"/>
          <w:kern w:val="2"/>
          <w:sz w:val="32"/>
          <w:szCs w:val="32"/>
          <w:lang w:val="en-US" w:eastAsia="zh-CN" w:bidi="ar"/>
          <w14:textFill>
            <w14:solidFill>
              <w14:schemeClr w14:val="tx1"/>
            </w14:solidFill>
          </w14:textFill>
        </w:rPr>
        <w:t>调研数据的时间范围为2025年1月1日至12月31日。</w:t>
      </w:r>
    </w:p>
    <w:p w14:paraId="1AF342CA">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outlineLvl w:val="9"/>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（二）</w:t>
      </w:r>
      <w:r>
        <w:rPr>
          <w:rFonts w:hint="eastAsia" w:ascii="楷体_GB2312" w:hAnsi="Calibri" w:eastAsia="楷体_GB2312" w:cs="楷体_GB2312"/>
          <w:b w:val="0"/>
          <w:bCs w:val="0"/>
          <w:color w:val="000000" w:themeColor="text1"/>
          <w:spacing w:val="0"/>
          <w:kern w:val="2"/>
          <w:sz w:val="32"/>
          <w:szCs w:val="32"/>
          <w:lang w:val="en-US" w:eastAsia="zh-CN"/>
          <w14:textFill>
            <w14:solidFill>
              <w14:schemeClr w14:val="tx1"/>
            </w14:solidFill>
          </w14:textFill>
        </w:rPr>
        <w:t>发布内容</w:t>
      </w:r>
    </w:p>
    <w:p w14:paraId="19219E96">
      <w:pPr>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val="0"/>
          <w:bCs w:val="0"/>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1.榜单体系：</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发布</w:t>
      </w:r>
      <w:r>
        <w:rPr>
          <w:rFonts w:hint="eastAsia" w:ascii="仿宋_GB2312" w:hAnsi="Calibri" w:eastAsia="仿宋_GB2312" w:cs="仿宋_GB2312"/>
          <w:b w:val="0"/>
          <w:bCs w:val="0"/>
          <w:color w:val="000000" w:themeColor="text1"/>
          <w:spacing w:val="-6"/>
          <w:kern w:val="2"/>
          <w:sz w:val="32"/>
          <w:szCs w:val="32"/>
          <w:lang w:val="en-US" w:eastAsia="zh-CN"/>
          <w14:textFill>
            <w14:solidFill>
              <w14:schemeClr w14:val="tx1"/>
            </w14:solidFill>
          </w14:textFill>
        </w:rPr>
        <w:t>北京民营企业百强“1+3+1”榜单。</w:t>
      </w:r>
      <w:r>
        <w:rPr>
          <w:rFonts w:hint="eastAsia" w:ascii="仿宋_GB2312" w:hAnsi="仿宋_GB2312" w:eastAsia="仿宋_GB2312" w:cs="仿宋_GB2312"/>
          <w:b w:val="0"/>
          <w:bCs w:val="0"/>
          <w:color w:val="000000" w:themeColor="text1"/>
          <w:spacing w:val="-6"/>
          <w:kern w:val="2"/>
          <w:sz w:val="32"/>
          <w:szCs w:val="32"/>
          <w:lang w:val="en-US" w:eastAsia="zh-CN" w:bidi="ar-SA"/>
          <w14:textFill>
            <w14:solidFill>
              <w14:schemeClr w14:val="tx1"/>
            </w14:solidFill>
          </w14:textFill>
        </w:rPr>
        <w:t>即1个主榜单“北京民营企业百强”，3个特色榜单“科技创新百强”“文化产业百强”“专精特新百强”，1个前瞻榜单“未来产业先锋榜”。</w:t>
      </w:r>
    </w:p>
    <w:p w14:paraId="494F6AF1">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3" w:firstLineChars="200"/>
        <w:jc w:val="both"/>
        <w:textAlignment w:val="auto"/>
        <w:outlineLvl w:val="9"/>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2.调研报告：</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分析调研数据，编制</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《北京民营企业百强调研分析报告》《北京未来产业民营企业创新调研分析报告》</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两份调研报告，上报市委、市政府。</w:t>
      </w:r>
    </w:p>
    <w:p w14:paraId="0C332E0D">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outlineLvl w:val="9"/>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（三）赋能服务</w:t>
      </w:r>
    </w:p>
    <w:p w14:paraId="30F52FD5">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outlineLvl w:val="9"/>
        <w:rPr>
          <w:rFonts w:hint="default"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上榜企业及其他重点申报企业将纳入工商联服务体系，通过团结聚力、履职建言、赋能服务、融通发展、典型引领等五大行动，一企一策做好相关服务工作。</w:t>
      </w:r>
    </w:p>
    <w:p w14:paraId="44198495">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三、申报流程</w:t>
      </w:r>
    </w:p>
    <w:p w14:paraId="390CD5D2">
      <w:pPr>
        <w:spacing w:line="560" w:lineRule="exact"/>
        <w:ind w:firstLine="643" w:firstLineChars="200"/>
        <w:jc w:val="left"/>
        <w:rPr>
          <w:rFonts w:hint="default" w:ascii="仿宋_GB2312" w:hAnsi="仿宋" w:eastAsia="仿宋_GB2312" w:cs="仿宋"/>
          <w:b w:val="0"/>
          <w:bCs w:val="0"/>
          <w:color w:val="000000" w:themeColor="text1"/>
          <w:sz w:val="32"/>
          <w:szCs w:val="32"/>
          <w:highlight w:val="yellow"/>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1.申报系统网址：</w:t>
      </w:r>
      <w:r>
        <w:rPr>
          <w:rStyle w:val="9"/>
          <w:rFonts w:hint="default" w:ascii="Times New Roman" w:hAnsi="Times New Roman" w:eastAsia="仿宋_GB2312" w:cs="Times New Roman"/>
          <w:color w:val="000000" w:themeColor="text1"/>
          <w:u w:val="none"/>
          <w:lang w:val="en-US" w:eastAsia="zh-CN"/>
          <w14:textFill>
            <w14:solidFill>
              <w14:schemeClr w14:val="tx1"/>
            </w14:solidFill>
          </w14:textFill>
        </w:rPr>
        <w:t>https://wsgsl.bjgsl.gov.cn/#/hundredLogin</w:t>
      </w:r>
      <w:r>
        <w:rPr>
          <w:rFonts w:hint="eastAsia" w:eastAsia="仿宋_GB2312" w:cs="Times New Roman"/>
          <w:color w:val="000000" w:themeColor="text1"/>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注册后请妥善保管登录账号及密码，该账号将作为企业唯一登录凭证长期使用</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w:t>
      </w:r>
      <w:r>
        <w:rPr>
          <w:rFonts w:hint="default" w:ascii="仿宋_GB2312" w:hAnsi="仿宋" w:eastAsia="仿宋_GB2312" w:cs="仿宋"/>
          <w:b w:val="0"/>
          <w:bCs w:val="0"/>
          <w:color w:val="000000" w:themeColor="text1"/>
          <w:sz w:val="32"/>
          <w:szCs w:val="32"/>
          <w:highlight w:val="none"/>
          <w14:textFill>
            <w14:solidFill>
              <w14:schemeClr w14:val="tx1"/>
            </w14:solidFill>
          </w14:textFill>
        </w:rPr>
        <w:t>如忘记密码，请点击登录页“忘记密码”，凭企业统一社会信用代码及注册手机号/邮箱完成身份验证后进行重置。详细操作流程，</w:t>
      </w:r>
      <w:r>
        <w:rPr>
          <w:rFonts w:hint="eastAsia" w:ascii="仿宋_GB2312" w:hAnsi="仿宋" w:eastAsia="仿宋_GB2312" w:cs="仿宋"/>
          <w:b w:val="0"/>
          <w:bCs w:val="0"/>
          <w:color w:val="000000" w:themeColor="text1"/>
          <w:sz w:val="32"/>
          <w:szCs w:val="32"/>
          <w:highlight w:val="none"/>
          <w:lang w:val="en-US" w:eastAsia="zh-CN"/>
          <w14:textFill>
            <w14:solidFill>
              <w14:schemeClr w14:val="tx1"/>
            </w14:solidFill>
          </w14:textFill>
        </w:rPr>
        <w:t>可</w:t>
      </w:r>
      <w:r>
        <w:rPr>
          <w:rFonts w:hint="default" w:ascii="仿宋_GB2312" w:hAnsi="仿宋" w:eastAsia="仿宋_GB2312" w:cs="仿宋"/>
          <w:b w:val="0"/>
          <w:bCs w:val="0"/>
          <w:color w:val="000000" w:themeColor="text1"/>
          <w:sz w:val="32"/>
          <w:szCs w:val="32"/>
          <w:highlight w:val="none"/>
          <w14:textFill>
            <w14:solidFill>
              <w14:schemeClr w14:val="tx1"/>
            </w14:solidFill>
          </w14:textFill>
        </w:rPr>
        <w:t>在登录界面下载说明手册查看</w:t>
      </w:r>
      <w:r>
        <w:rPr>
          <w:rFonts w:hint="eastAsia" w:ascii="仿宋_GB2312" w:hAnsi="仿宋" w:eastAsia="仿宋_GB2312" w:cs="仿宋"/>
          <w:b w:val="0"/>
          <w:bCs w:val="0"/>
          <w:color w:val="000000" w:themeColor="text1"/>
          <w:sz w:val="32"/>
          <w:szCs w:val="32"/>
          <w:highlight w:val="none"/>
          <w:lang w:eastAsia="zh-CN"/>
          <w14:textFill>
            <w14:solidFill>
              <w14:schemeClr w14:val="tx1"/>
            </w14:solidFill>
          </w14:textFill>
        </w:rPr>
        <w:t>）</w:t>
      </w:r>
      <w:r>
        <w:rPr>
          <w:rFonts w:hint="default" w:ascii="仿宋_GB2312" w:hAnsi="仿宋" w:eastAsia="仿宋_GB2312" w:cs="仿宋"/>
          <w:b w:val="0"/>
          <w:bCs w:val="0"/>
          <w:color w:val="000000" w:themeColor="text1"/>
          <w:sz w:val="32"/>
          <w:szCs w:val="32"/>
          <w:highlight w:val="none"/>
          <w14:textFill>
            <w14:solidFill>
              <w14:schemeClr w14:val="tx1"/>
            </w14:solidFill>
          </w14:textFill>
        </w:rPr>
        <w:t>。</w:t>
      </w:r>
    </w:p>
    <w:p w14:paraId="71DF5833">
      <w:pPr>
        <w:spacing w:line="560" w:lineRule="exact"/>
        <w:ind w:firstLine="640" w:firstLineChars="200"/>
        <w:jc w:val="left"/>
        <w:rPr>
          <w:rFonts w:hint="default" w:ascii="仿宋_GB2312" w:hAnsi="仿宋_GB2312" w:eastAsia="仿宋_GB2312" w:cs="仿宋_GB2312"/>
          <w:b w:val="0"/>
          <w:bCs w:val="0"/>
          <w:color w:val="000000" w:themeColor="text1"/>
          <w:u w:val="none"/>
          <w:lang w:val="en-US" w:eastAsia="zh-CN"/>
          <w14:textFill>
            <w14:solidFill>
              <w14:schemeClr w14:val="tx1"/>
            </w14:solidFill>
          </w14:textFill>
        </w:rPr>
      </w:pPr>
    </w:p>
    <w:p w14:paraId="7D1042ED">
      <w:pPr>
        <w:keepNext w:val="0"/>
        <w:keepLines w:val="0"/>
        <w:pageBreakBefore w:val="0"/>
        <w:widowControl w:val="0"/>
        <w:kinsoku/>
        <w:wordWrap/>
        <w:overflowPunct/>
        <w:topLinePunct w:val="0"/>
        <w:autoSpaceDN/>
        <w:bidi w:val="0"/>
        <w:adjustRightInd/>
        <w:snapToGrid/>
        <w:spacing w:line="550" w:lineRule="exact"/>
        <w:ind w:firstLine="643"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u w:val="none"/>
          <w:lang w:val="en-US" w:eastAsia="zh-CN"/>
          <w14:textFill>
            <w14:solidFill>
              <w14:schemeClr w14:val="tx1"/>
            </w14:solidFill>
          </w14:textFill>
        </w:rPr>
        <w:t>2.在线填报：</w:t>
      </w:r>
      <w:r>
        <w:rPr>
          <w:rFonts w:hint="eastAsia" w:ascii="仿宋_GB2312" w:hAnsi="仿宋_GB2312" w:eastAsia="仿宋_GB2312" w:cs="仿宋_GB2312"/>
          <w:color w:val="000000" w:themeColor="text1"/>
          <w:u w:val="none"/>
          <w:lang w:val="en-US" w:eastAsia="zh-CN"/>
          <w14:textFill>
            <w14:solidFill>
              <w14:schemeClr w14:val="tx1"/>
            </w14:solidFill>
          </w14:textFill>
        </w:rPr>
        <w:t>登录系统后，请先</w:t>
      </w:r>
      <w:r>
        <w:rPr>
          <w:rFonts w:hint="default" w:ascii="仿宋_GB2312" w:hAnsi="仿宋_GB2312" w:eastAsia="仿宋_GB2312" w:cs="仿宋_GB2312"/>
          <w:b w:val="0"/>
          <w:bCs w:val="0"/>
          <w:color w:val="000000" w:themeColor="text1"/>
          <w:spacing w:val="0"/>
          <w:kern w:val="2"/>
          <w:sz w:val="32"/>
          <w:szCs w:val="32"/>
          <w:highlight w:val="none"/>
          <w:lang w:val="en-US" w:eastAsia="zh-CN" w:bidi="ar-SA"/>
          <w14:textFill>
            <w14:solidFill>
              <w14:schemeClr w14:val="tx1"/>
            </w14:solidFill>
          </w14:textFill>
        </w:rPr>
        <w:t>至“申报通知”栏目内下载</w:t>
      </w:r>
      <w:r>
        <w:rPr>
          <w:rFonts w:hint="eastAsia" w:ascii="仿宋_GB2312" w:hAnsi="仿宋_GB2312" w:eastAsia="仿宋_GB2312" w:cs="仿宋_GB2312"/>
          <w:b w:val="0"/>
          <w:bCs w:val="0"/>
          <w:color w:val="000000" w:themeColor="text1"/>
          <w:spacing w:val="0"/>
          <w:kern w:val="2"/>
          <w:sz w:val="32"/>
          <w:szCs w:val="32"/>
          <w:highlight w:val="none"/>
          <w:lang w:val="en-US" w:eastAsia="zh-CN" w:bidi="ar-SA"/>
          <w14:textFill>
            <w14:solidFill>
              <w14:schemeClr w14:val="tx1"/>
            </w14:solidFill>
          </w14:textFill>
        </w:rPr>
        <w:t>查看</w:t>
      </w:r>
      <w:r>
        <w:rPr>
          <w:rFonts w:hint="default" w:ascii="仿宋_GB2312" w:hAnsi="仿宋_GB2312" w:eastAsia="仿宋_GB2312" w:cs="仿宋_GB2312"/>
          <w:b w:val="0"/>
          <w:bCs w:val="0"/>
          <w:color w:val="000000" w:themeColor="text1"/>
          <w:spacing w:val="0"/>
          <w:kern w:val="2"/>
          <w:sz w:val="32"/>
          <w:szCs w:val="32"/>
          <w:highlight w:val="none"/>
          <w:lang w:val="en-US" w:eastAsia="zh-CN" w:bidi="ar-SA"/>
          <w14:textFill>
            <w14:solidFill>
              <w14:schemeClr w14:val="tx1"/>
            </w14:solidFill>
          </w14:textFill>
        </w:rPr>
        <w:t>完整问卷</w:t>
      </w:r>
      <w:r>
        <w:rPr>
          <w:rFonts w:hint="eastAsia" w:ascii="仿宋_GB2312" w:hAnsi="仿宋_GB2312" w:eastAsia="仿宋_GB2312" w:cs="仿宋_GB2312"/>
          <w:b w:val="0"/>
          <w:bCs w:val="0"/>
          <w:color w:val="000000" w:themeColor="text1"/>
          <w:spacing w:val="0"/>
          <w:kern w:val="2"/>
          <w:sz w:val="32"/>
          <w:szCs w:val="32"/>
          <w:highlight w:val="none"/>
          <w:lang w:val="en-US" w:eastAsia="zh-CN" w:bidi="ar-SA"/>
          <w14:textFill>
            <w14:solidFill>
              <w14:schemeClr w14:val="tx1"/>
            </w14:solidFill>
          </w14:textFill>
        </w:rPr>
        <w:t>，并</w:t>
      </w:r>
      <w:r>
        <w:rPr>
          <w:rFonts w:hint="eastAsia" w:ascii="仿宋_GB2312" w:hAnsi="仿宋_GB2312" w:eastAsia="仿宋_GB2312" w:cs="仿宋_GB2312"/>
          <w:color w:val="000000" w:themeColor="text1"/>
          <w:u w:val="none"/>
          <w:lang w:val="en-US" w:eastAsia="zh-CN"/>
          <w14:textFill>
            <w14:solidFill>
              <w14:schemeClr w14:val="tx1"/>
            </w14:solidFill>
          </w14:textFill>
        </w:rPr>
        <w:t>仔细阅读</w:t>
      </w: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填报说明</w:t>
      </w:r>
      <w:r>
        <w:rPr>
          <w:rFonts w:hint="eastAsia" w:ascii="仿宋_GB2312" w:hAnsi="仿宋_GB2312" w:eastAsia="仿宋_GB2312" w:cs="仿宋_GB2312"/>
          <w:color w:val="000000" w:themeColor="text1"/>
          <w:u w:val="none"/>
          <w:lang w:val="en-US" w:eastAsia="zh-CN"/>
          <w14:textFill>
            <w14:solidFill>
              <w14:schemeClr w14:val="tx1"/>
            </w14:solidFill>
          </w14:textFill>
        </w:rPr>
        <w:t>。勾选意向申报的榜单后，按要求填写相应的问卷内容，并上传企</w:t>
      </w:r>
      <w:bookmarkStart w:id="0" w:name="_GoBack"/>
      <w:bookmarkEnd w:id="0"/>
      <w:r>
        <w:rPr>
          <w:rFonts w:hint="eastAsia" w:ascii="仿宋_GB2312" w:hAnsi="仿宋_GB2312" w:eastAsia="仿宋_GB2312" w:cs="仿宋_GB2312"/>
          <w:color w:val="000000" w:themeColor="text1"/>
          <w:u w:val="none"/>
          <w:lang w:val="en-US" w:eastAsia="zh-CN"/>
          <w14:textFill>
            <w14:solidFill>
              <w14:schemeClr w14:val="tx1"/>
            </w14:solidFill>
          </w14:textFill>
        </w:rPr>
        <w:t>业2025年度财务审计报告。若无审计报告，</w:t>
      </w:r>
      <w:r>
        <w:rPr>
          <w:rFonts w:hint="eastAsia" w:ascii="仿宋_GB2312" w:hAnsi="仿宋_GB2312" w:eastAsia="仿宋_GB2312" w:cs="仿宋_GB2312"/>
          <w:color w:val="000000" w:themeColor="text1"/>
          <w:lang w:val="en-US" w:eastAsia="zh-CN"/>
          <w14:textFill>
            <w14:solidFill>
              <w14:schemeClr w14:val="tx1"/>
            </w14:solidFill>
          </w14:textFill>
        </w:rPr>
        <w:t>须上传加盖企业公章的财务报表扫描件（资产负债表、利润表和现金流量表），报表中需包含2024年和2025年两个会计年度的期末财务数据。填报完毕确认无误后，点击“提交至区级审核”按钮完成申报。</w:t>
      </w:r>
    </w:p>
    <w:p w14:paraId="428467CB">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3.退回修改：</w:t>
      </w:r>
      <w:r>
        <w:rPr>
          <w:rFonts w:hint="eastAsia" w:ascii="仿宋_GB2312" w:hAnsi="仿宋_GB2312" w:eastAsia="仿宋_GB2312" w:cs="仿宋_GB2312"/>
          <w:color w:val="000000" w:themeColor="text1"/>
          <w:lang w:val="en-US" w:eastAsia="zh-CN"/>
          <w14:textFill>
            <w14:solidFill>
              <w14:schemeClr w14:val="tx1"/>
            </w14:solidFill>
          </w14:textFill>
        </w:rPr>
        <w:t>提交后如需修改，请联系注册地所在区工商联进行退回；</w:t>
      </w:r>
      <w:r>
        <w:rPr>
          <w:rFonts w:hint="eastAsia" w:ascii="仿宋_GB2312" w:hAnsi="仿宋_GB2312" w:eastAsia="仿宋_GB2312" w:cs="仿宋_GB2312"/>
          <w:color w:val="000000" w:themeColor="text1"/>
          <w:u w:val="none"/>
          <w:lang w:val="en-US" w:eastAsia="zh-CN"/>
          <w14:textFill>
            <w14:solidFill>
              <w14:schemeClr w14:val="tx1"/>
            </w14:solidFill>
          </w14:textFill>
        </w:rPr>
        <w:t>如有系统操作问题，请及时联系技术支持人员</w:t>
      </w:r>
      <w:r>
        <w:rPr>
          <w:rFonts w:hint="eastAsia" w:ascii="仿宋_GB2312" w:hAnsi="仿宋_GB2312" w:eastAsia="仿宋_GB2312" w:cs="仿宋_GB2312"/>
          <w:color w:val="000000" w:themeColor="text1"/>
          <w:lang w:val="en-US" w:eastAsia="zh-CN"/>
          <w14:textFill>
            <w14:solidFill>
              <w14:schemeClr w14:val="tx1"/>
            </w14:solidFill>
          </w14:textFill>
        </w:rPr>
        <w:t>（联系方式附后）</w:t>
      </w:r>
      <w:r>
        <w:rPr>
          <w:rFonts w:hint="eastAsia" w:ascii="仿宋_GB2312" w:hAnsi="仿宋_GB2312" w:eastAsia="仿宋_GB2312" w:cs="仿宋_GB2312"/>
          <w:color w:val="000000" w:themeColor="text1"/>
          <w:u w:val="none"/>
          <w:lang w:val="en-US" w:eastAsia="zh-CN"/>
          <w14:textFill>
            <w14:solidFill>
              <w14:schemeClr w14:val="tx1"/>
            </w14:solidFill>
          </w14:textFill>
        </w:rPr>
        <w:t>。</w:t>
      </w:r>
    </w:p>
    <w:p w14:paraId="3C1DF441">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p>
    <w:p w14:paraId="5663F5E0">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仿宋_GB2312" w:hAnsi="仿宋_GB2312" w:eastAsia="仿宋_GB2312" w:cs="仿宋_GB2312"/>
          <w:i/>
          <w:iCs/>
          <w:color w:val="000000" w:themeColor="text1"/>
          <w:u w:val="single"/>
          <w:lang w:val="en-US" w:eastAsia="zh-CN"/>
          <w14:textFill>
            <w14:solidFill>
              <w14:schemeClr w14:val="tx1"/>
            </w14:solidFill>
          </w14:textFill>
        </w:rPr>
      </w:pPr>
      <w:r>
        <w:rPr>
          <w:rFonts w:hint="eastAsia" w:ascii="仿宋_GB2312" w:hAnsi="仿宋_GB2312" w:eastAsia="仿宋_GB2312" w:cs="仿宋_GB2312"/>
          <w:i/>
          <w:iCs/>
          <w:color w:val="000000" w:themeColor="text1"/>
          <w:u w:val="single"/>
          <w:lang w:val="en-US" w:eastAsia="zh-CN"/>
          <w14:textFill>
            <w14:solidFill>
              <w14:schemeClr w14:val="tx1"/>
            </w14:solidFill>
          </w14:textFill>
        </w:rPr>
        <w:t>此处插入：申报注意事项视频</w:t>
      </w:r>
    </w:p>
    <w:p w14:paraId="5571C796">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p>
    <w:p w14:paraId="5D801852">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四、填报要求</w:t>
      </w:r>
    </w:p>
    <w:p w14:paraId="210E6D1C">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1.调研表一律通过百强申报系统线上提交。</w:t>
      </w:r>
    </w:p>
    <w:p w14:paraId="2F9DA439">
      <w:pPr>
        <w:keepNext w:val="0"/>
        <w:keepLines w:val="0"/>
        <w:pageBreakBefore w:val="0"/>
        <w:widowControl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2.申报企业应当确保所填报的各项数据真实、准确、完整，不得有任何虚假记载、误导性陈述或重大遗漏，并对数据内容承担相应责任。</w:t>
      </w:r>
    </w:p>
    <w:p w14:paraId="45E7049D">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3.集团企业下设多个子公司的，各项经济指标应按照国家企业会计制度中有关合并报表的规定上报。已合并报表进入集团公司的子公司，若集团公司已报，子公司不再进入调研排序。</w:t>
      </w:r>
    </w:p>
    <w:p w14:paraId="51CA92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五、有关说明</w:t>
      </w:r>
    </w:p>
    <w:p w14:paraId="65787F56">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1.此调研及相关发布活动不向企业收取任何费用。</w:t>
      </w:r>
    </w:p>
    <w:p w14:paraId="0AB89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2.此项工作结合2026中国民营企业500强调研同步进行。</w:t>
      </w:r>
      <w:r>
        <w:rPr>
          <w:rFonts w:hint="eastAsia" w:ascii="仿宋_GB2312" w:eastAsia="仿宋_GB2312" w:cs="仿宋_GB2312"/>
          <w:b w:val="0"/>
          <w:bCs w:val="0"/>
          <w:color w:val="000000" w:themeColor="text1"/>
          <w14:textFill>
            <w14:solidFill>
              <w14:schemeClr w14:val="tx1"/>
            </w14:solidFill>
          </w14:textFill>
        </w:rPr>
        <w:t>202</w:t>
      </w:r>
      <w:r>
        <w:rPr>
          <w:rFonts w:hint="eastAsia" w:ascii="仿宋_GB2312" w:eastAsia="仿宋_GB2312" w:cs="仿宋_GB2312"/>
          <w:b w:val="0"/>
          <w:bCs w:val="0"/>
          <w:color w:val="000000" w:themeColor="text1"/>
          <w:lang w:val="en-US" w:eastAsia="zh-CN"/>
          <w14:textFill>
            <w14:solidFill>
              <w14:schemeClr w14:val="tx1"/>
            </w14:solidFill>
          </w14:textFill>
        </w:rPr>
        <w:t>5</w:t>
      </w:r>
      <w:r>
        <w:rPr>
          <w:rFonts w:hint="eastAsia" w:ascii="仿宋_GB2312" w:eastAsia="仿宋_GB2312" w:cs="仿宋_GB2312"/>
          <w:b w:val="0"/>
          <w:bCs w:val="0"/>
          <w:color w:val="000000" w:themeColor="text1"/>
          <w14:textFill>
            <w14:solidFill>
              <w14:schemeClr w14:val="tx1"/>
            </w14:solidFill>
          </w14:textFill>
        </w:rPr>
        <w:t>年度营收总额在</w:t>
      </w:r>
      <w:r>
        <w:rPr>
          <w:rFonts w:hint="eastAsia" w:ascii="仿宋_GB2312" w:eastAsia="仿宋_GB2312" w:cs="仿宋_GB2312"/>
          <w:b w:val="0"/>
          <w:bCs w:val="0"/>
          <w:color w:val="000000" w:themeColor="text1"/>
          <w:lang w:val="en-US" w:eastAsia="zh-CN"/>
          <w14:textFill>
            <w14:solidFill>
              <w14:schemeClr w14:val="tx1"/>
            </w14:solidFill>
          </w14:textFill>
        </w:rPr>
        <w:t>100</w:t>
      </w:r>
      <w:r>
        <w:rPr>
          <w:rFonts w:hint="eastAsia" w:ascii="仿宋_GB2312" w:eastAsia="仿宋_GB2312" w:cs="仿宋_GB2312"/>
          <w:b w:val="0"/>
          <w:bCs w:val="0"/>
          <w:color w:val="000000" w:themeColor="text1"/>
          <w14:textFill>
            <w14:solidFill>
              <w14:schemeClr w14:val="tx1"/>
            </w14:solidFill>
          </w14:textFill>
        </w:rPr>
        <w:t>亿元以上</w:t>
      </w:r>
      <w:r>
        <w:rPr>
          <w:rFonts w:hint="eastAsia" w:ascii="仿宋_GB2312" w:eastAsia="仿宋_GB2312" w:cs="仿宋_GB2312"/>
          <w:b w:val="0"/>
          <w:bCs w:val="0"/>
          <w:color w:val="000000" w:themeColor="text1"/>
          <w:lang w:eastAsia="zh-CN"/>
          <w14:textFill>
            <w14:solidFill>
              <w14:schemeClr w14:val="tx1"/>
            </w14:solidFill>
          </w14:textFill>
        </w:rPr>
        <w:t>，</w:t>
      </w:r>
      <w:r>
        <w:rPr>
          <w:rFonts w:hint="eastAsia" w:ascii="仿宋_GB2312" w:eastAsia="仿宋_GB2312" w:cs="仿宋_GB2312"/>
          <w:b w:val="0"/>
          <w:bCs w:val="0"/>
          <w:color w:val="000000" w:themeColor="text1"/>
          <w:lang w:val="en-US" w:eastAsia="zh-CN"/>
          <w14:textFill>
            <w14:solidFill>
              <w14:schemeClr w14:val="tx1"/>
            </w14:solidFill>
          </w14:textFill>
        </w:rPr>
        <w:t>或</w:t>
      </w:r>
      <w:r>
        <w:rPr>
          <w:rFonts w:hint="eastAsia" w:ascii="仿宋_GB2312" w:eastAsia="仿宋_GB2312"/>
          <w:b w:val="0"/>
          <w:bCs w:val="0"/>
          <w:color w:val="000000" w:themeColor="text1"/>
          <w14:textFill>
            <w14:solidFill>
              <w14:schemeClr w14:val="tx1"/>
            </w14:solidFill>
          </w14:textFill>
        </w:rPr>
        <w:t>研发费用超过1亿元的企业，</w:t>
      </w:r>
      <w:r>
        <w:rPr>
          <w:rFonts w:hint="eastAsia" w:ascii="仿宋_GB2312" w:eastAsia="仿宋_GB2312"/>
          <w:b w:val="0"/>
          <w:bCs w:val="0"/>
          <w:color w:val="000000" w:themeColor="text1"/>
          <w:lang w:val="en-US" w:eastAsia="zh-CN"/>
          <w14:textFill>
            <w14:solidFill>
              <w14:schemeClr w14:val="tx1"/>
            </w14:solidFill>
          </w14:textFill>
        </w:rPr>
        <w:t>市工商联将直接推荐参加500强调研，企业无需再填报全国工商联上规模民营企业调研系统。</w:t>
      </w:r>
    </w:p>
    <w:p w14:paraId="6B51BBA2">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3.申报截止时间为6月30日24:00，请务必按时完成线上申报与提交。</w:t>
      </w:r>
    </w:p>
    <w:p w14:paraId="4FA84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Calibri" w:eastAsia="仿宋_GB2312" w:cs="仿宋_GB2312"/>
          <w:color w:val="000000" w:themeColor="text1"/>
          <w:spacing w:val="0"/>
          <w:szCs w:val="32"/>
          <w:lang w:val="en-US" w:eastAsia="zh-CN"/>
          <w14:textFill>
            <w14:solidFill>
              <w14:schemeClr w14:val="tx1"/>
            </w14:solidFill>
          </w14:textFill>
        </w:rPr>
        <w:t>4</w:t>
      </w:r>
      <w:r>
        <w:rPr>
          <w:rFonts w:hint="eastAsia" w:ascii="仿宋_GB2312" w:hAnsi="Calibri" w:eastAsia="仿宋_GB2312" w:cs="仿宋_GB2312"/>
          <w:color w:val="000000" w:themeColor="text1"/>
          <w:spacing w:val="0"/>
          <w:szCs w:val="32"/>
          <w14:textFill>
            <w14:solidFill>
              <w14:schemeClr w14:val="tx1"/>
            </w14:solidFill>
          </w14:textFill>
        </w:rPr>
        <w:t>.</w:t>
      </w:r>
      <w:r>
        <w:rPr>
          <w:rFonts w:hint="eastAsia" w:ascii="仿宋_GB2312" w:hAnsi="Calibri" w:eastAsia="仿宋_GB2312" w:cs="仿宋_GB2312"/>
          <w:color w:val="000000" w:themeColor="text1"/>
          <w:spacing w:val="0"/>
          <w:szCs w:val="32"/>
          <w:lang w:val="en-US" w:eastAsia="zh-CN"/>
          <w14:textFill>
            <w14:solidFill>
              <w14:schemeClr w14:val="tx1"/>
            </w14:solidFill>
          </w14:textFill>
        </w:rPr>
        <w:t>北京</w:t>
      </w:r>
      <w:r>
        <w:rPr>
          <w:rFonts w:hint="eastAsia" w:ascii="仿宋_GB2312" w:hAnsi="Calibri" w:eastAsia="仿宋_GB2312" w:cs="仿宋_GB2312"/>
          <w:color w:val="000000" w:themeColor="text1"/>
          <w:spacing w:val="0"/>
          <w:szCs w:val="32"/>
          <w14:textFill>
            <w14:solidFill>
              <w14:schemeClr w14:val="tx1"/>
            </w14:solidFill>
          </w14:textFill>
        </w:rPr>
        <w:t>民营企业</w:t>
      </w:r>
      <w:r>
        <w:rPr>
          <w:rFonts w:hint="eastAsia" w:ascii="仿宋_GB2312" w:hAnsi="Calibri" w:eastAsia="仿宋_GB2312" w:cs="仿宋_GB2312"/>
          <w:color w:val="000000" w:themeColor="text1"/>
          <w:spacing w:val="0"/>
          <w:szCs w:val="32"/>
          <w:lang w:val="en-US" w:eastAsia="zh-CN"/>
          <w14:textFill>
            <w14:solidFill>
              <w14:schemeClr w14:val="tx1"/>
            </w14:solidFill>
          </w14:textFill>
        </w:rPr>
        <w:t>百</w:t>
      </w:r>
      <w:r>
        <w:rPr>
          <w:rFonts w:hint="eastAsia" w:ascii="仿宋_GB2312" w:hAnsi="Calibri" w:eastAsia="仿宋_GB2312" w:cs="仿宋_GB2312"/>
          <w:color w:val="000000" w:themeColor="text1"/>
          <w:spacing w:val="0"/>
          <w:szCs w:val="32"/>
          <w14:textFill>
            <w14:solidFill>
              <w14:schemeClr w14:val="tx1"/>
            </w14:solidFill>
          </w14:textFill>
        </w:rPr>
        <w:t>强系列榜单</w:t>
      </w:r>
      <w:r>
        <w:rPr>
          <w:rFonts w:hint="eastAsia" w:ascii="仿宋_GB2312" w:hAnsi="Calibri" w:eastAsia="仿宋_GB2312" w:cs="仿宋_GB2312"/>
          <w:color w:val="000000" w:themeColor="text1"/>
          <w:spacing w:val="0"/>
          <w:szCs w:val="32"/>
          <w:lang w:eastAsia="zh-CN"/>
          <w14:textFill>
            <w14:solidFill>
              <w14:schemeClr w14:val="tx1"/>
            </w14:solidFill>
          </w14:textFill>
        </w:rPr>
        <w:t>及相关</w:t>
      </w:r>
      <w:r>
        <w:rPr>
          <w:rFonts w:hint="eastAsia" w:ascii="仿宋_GB2312" w:hAnsi="Calibri" w:eastAsia="仿宋_GB2312" w:cs="仿宋_GB2312"/>
          <w:color w:val="000000" w:themeColor="text1"/>
          <w:spacing w:val="0"/>
          <w:szCs w:val="32"/>
          <w:lang w:val="en-US" w:eastAsia="zh-CN"/>
          <w14:textFill>
            <w14:solidFill>
              <w14:schemeClr w14:val="tx1"/>
            </w14:solidFill>
          </w14:textFill>
        </w:rPr>
        <w:t>调研</w:t>
      </w:r>
      <w:r>
        <w:rPr>
          <w:rFonts w:hint="eastAsia" w:ascii="仿宋_GB2312" w:hAnsi="Calibri" w:eastAsia="仿宋_GB2312" w:cs="仿宋_GB2312"/>
          <w:color w:val="000000" w:themeColor="text1"/>
          <w:spacing w:val="0"/>
          <w:szCs w:val="32"/>
          <w:lang w:eastAsia="zh-CN"/>
          <w14:textFill>
            <w14:solidFill>
              <w14:schemeClr w14:val="tx1"/>
            </w14:solidFill>
          </w14:textFill>
        </w:rPr>
        <w:t>报告，</w:t>
      </w:r>
      <w:r>
        <w:rPr>
          <w:rFonts w:hint="eastAsia" w:ascii="仿宋_GB2312" w:hAnsi="Calibri" w:eastAsia="仿宋_GB2312" w:cs="仿宋_GB2312"/>
          <w:color w:val="000000" w:themeColor="text1"/>
          <w:spacing w:val="0"/>
          <w:szCs w:val="32"/>
          <w:lang w:val="en-US" w:eastAsia="zh-CN"/>
          <w14:textFill>
            <w14:solidFill>
              <w14:schemeClr w14:val="tx1"/>
            </w14:solidFill>
          </w14:textFill>
        </w:rPr>
        <w:t>后续</w:t>
      </w:r>
      <w:r>
        <w:rPr>
          <w:rFonts w:hint="eastAsia" w:ascii="仿宋_GB2312" w:hAnsi="Calibri" w:eastAsia="仿宋_GB2312" w:cs="仿宋_GB2312"/>
          <w:color w:val="000000" w:themeColor="text1"/>
          <w:spacing w:val="0"/>
          <w:szCs w:val="32"/>
          <w14:textFill>
            <w14:solidFill>
              <w14:schemeClr w14:val="tx1"/>
            </w14:solidFill>
          </w14:textFill>
        </w:rPr>
        <w:t>将以召开发布活动的形式</w:t>
      </w:r>
      <w:r>
        <w:rPr>
          <w:rFonts w:hint="eastAsia" w:ascii="仿宋_GB2312" w:hAnsi="Calibri" w:eastAsia="仿宋_GB2312" w:cs="仿宋_GB2312"/>
          <w:color w:val="000000" w:themeColor="text1"/>
          <w:spacing w:val="0"/>
          <w:szCs w:val="32"/>
          <w:lang w:val="en-US" w:eastAsia="zh-CN"/>
          <w14:textFill>
            <w14:solidFill>
              <w14:schemeClr w14:val="tx1"/>
            </w14:solidFill>
          </w14:textFill>
        </w:rPr>
        <w:t>正式</w:t>
      </w:r>
      <w:r>
        <w:rPr>
          <w:rFonts w:hint="eastAsia" w:ascii="仿宋_GB2312" w:hAnsi="Calibri" w:eastAsia="仿宋_GB2312" w:cs="仿宋_GB2312"/>
          <w:color w:val="000000" w:themeColor="text1"/>
          <w:spacing w:val="0"/>
          <w:szCs w:val="32"/>
          <w14:textFill>
            <w14:solidFill>
              <w14:schemeClr w14:val="tx1"/>
            </w14:solidFill>
          </w14:textFill>
        </w:rPr>
        <w:t>公布。</w:t>
      </w:r>
    </w:p>
    <w:p w14:paraId="6F83404F">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方正小标宋_GBK" w:hAnsi="方正小标宋_GBK" w:eastAsia="方正小标宋_GBK" w:cs="方正小标宋_GBK"/>
          <w:b w:val="0"/>
          <w:bCs w:val="0"/>
          <w:color w:val="000000" w:themeColor="text1"/>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lang w:val="en-US" w:eastAsia="zh-CN"/>
          <w14:textFill>
            <w14:solidFill>
              <w14:schemeClr w14:val="tx1"/>
            </w14:solidFill>
          </w14:textFill>
        </w:rPr>
        <w:t xml:space="preserve"> </w:t>
      </w:r>
    </w:p>
    <w:tbl>
      <w:tblPr>
        <w:tblStyle w:val="6"/>
        <w:tblW w:w="7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3850"/>
        <w:gridCol w:w="3140"/>
      </w:tblGrid>
      <w:tr w14:paraId="48FC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860" w:type="dxa"/>
            <w:gridSpan w:val="3"/>
            <w:tcBorders>
              <w:top w:val="nil"/>
              <w:left w:val="nil"/>
              <w:bottom w:val="nil"/>
              <w:right w:val="nil"/>
            </w:tcBorders>
            <w:shd w:val="clear" w:color="auto" w:fill="auto"/>
            <w:vAlign w:val="center"/>
          </w:tcPr>
          <w:p w14:paraId="6111D737">
            <w:pPr>
              <w:keepNext w:val="0"/>
              <w:keepLines w:val="0"/>
              <w:widowControl/>
              <w:suppressLineNumbers w:val="0"/>
              <w:jc w:val="center"/>
              <w:textAlignment w:val="center"/>
              <w:rPr>
                <w:rFonts w:ascii="方正小标宋_GBK" w:hAnsi="方正小标宋_GBK" w:eastAsia="方正小标宋_GBK" w:cs="方正小标宋_GBK"/>
                <w:i w:val="0"/>
                <w:iCs w:val="0"/>
                <w:color w:val="000000" w:themeColor="text1"/>
                <w:sz w:val="32"/>
                <w:szCs w:val="32"/>
                <w:u w:val="none"/>
                <w14:textFill>
                  <w14:solidFill>
                    <w14:schemeClr w14:val="tx1"/>
                  </w14:solidFill>
                </w14:textFill>
              </w:rPr>
            </w:pPr>
            <w:r>
              <w:rPr>
                <w:rFonts w:hint="eastAsia" w:ascii="方正小标宋_GBK" w:hAnsi="方正小标宋_GBK" w:eastAsia="方正小标宋_GBK" w:cs="方正小标宋_GBK"/>
                <w:i w:val="0"/>
                <w:iCs w:val="0"/>
                <w:color w:val="000000" w:themeColor="text1"/>
                <w:kern w:val="0"/>
                <w:sz w:val="32"/>
                <w:szCs w:val="32"/>
                <w:u w:val="none"/>
                <w:lang w:val="en-US" w:eastAsia="zh-CN" w:bidi="ar"/>
                <w14:textFill>
                  <w14:solidFill>
                    <w14:schemeClr w14:val="tx1"/>
                  </w14:solidFill>
                </w14:textFill>
              </w:rPr>
              <w:t>百强申报咨询电话</w:t>
            </w:r>
          </w:p>
        </w:tc>
      </w:tr>
      <w:tr w14:paraId="67DD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tcBorders>
              <w:top w:val="single" w:color="000000" w:sz="8" w:space="0"/>
              <w:left w:val="single" w:color="000000" w:sz="8" w:space="0"/>
              <w:bottom w:val="single" w:color="000000" w:sz="4" w:space="0"/>
              <w:right w:val="single" w:color="000000" w:sz="4" w:space="0"/>
            </w:tcBorders>
            <w:shd w:val="clear" w:color="auto" w:fill="E7E6E6"/>
            <w:vAlign w:val="center"/>
          </w:tcPr>
          <w:p w14:paraId="653F8F34">
            <w:pPr>
              <w:keepNext w:val="0"/>
              <w:keepLines w:val="0"/>
              <w:widowControl/>
              <w:suppressLineNumbers w:val="0"/>
              <w:jc w:val="center"/>
              <w:textAlignment w:val="center"/>
              <w:rPr>
                <w:rFonts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序号</w:t>
            </w:r>
          </w:p>
        </w:tc>
        <w:tc>
          <w:tcPr>
            <w:tcW w:w="3850" w:type="dxa"/>
            <w:tcBorders>
              <w:top w:val="single" w:color="000000" w:sz="8" w:space="0"/>
              <w:left w:val="single" w:color="000000" w:sz="4" w:space="0"/>
              <w:bottom w:val="single" w:color="000000" w:sz="4" w:space="0"/>
              <w:right w:val="single" w:color="000000" w:sz="4" w:space="0"/>
            </w:tcBorders>
            <w:shd w:val="clear" w:color="auto" w:fill="E7E6E6"/>
            <w:vAlign w:val="center"/>
          </w:tcPr>
          <w:p w14:paraId="5020C4A1">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单位</w:t>
            </w:r>
          </w:p>
        </w:tc>
        <w:tc>
          <w:tcPr>
            <w:tcW w:w="3140" w:type="dxa"/>
            <w:tcBorders>
              <w:top w:val="single" w:color="000000" w:sz="8" w:space="0"/>
              <w:left w:val="single" w:color="000000" w:sz="4" w:space="0"/>
              <w:bottom w:val="single" w:color="000000" w:sz="4" w:space="0"/>
              <w:right w:val="single" w:color="000000" w:sz="8" w:space="0"/>
            </w:tcBorders>
            <w:shd w:val="clear" w:color="auto" w:fill="E7E6E6"/>
            <w:vAlign w:val="center"/>
          </w:tcPr>
          <w:p w14:paraId="0C6E7264">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6"/>
                <w:szCs w:val="26"/>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6"/>
                <w:szCs w:val="26"/>
                <w:u w:val="none"/>
                <w:lang w:val="en-US" w:eastAsia="zh-CN" w:bidi="ar"/>
                <w14:textFill>
                  <w14:solidFill>
                    <w14:schemeClr w14:val="tx1"/>
                  </w14:solidFill>
                </w14:textFill>
              </w:rPr>
              <w:t>咨询电话</w:t>
            </w:r>
          </w:p>
        </w:tc>
      </w:tr>
      <w:tr w14:paraId="6CE5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1EEB334">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1</w:t>
            </w:r>
          </w:p>
        </w:tc>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87B5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系统技术支持</w:t>
            </w: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991FF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19107136612</w:t>
            </w:r>
          </w:p>
        </w:tc>
      </w:tr>
      <w:tr w14:paraId="272C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3629C8">
            <w:pPr>
              <w:jc w:val="center"/>
              <w:rPr>
                <w:rFonts w:hint="eastAsia" w:ascii="宋体" w:hAnsi="宋体" w:eastAsia="宋体" w:cs="宋体"/>
                <w:i w:val="0"/>
                <w:iCs w:val="0"/>
                <w:color w:val="000000" w:themeColor="text1"/>
                <w:sz w:val="26"/>
                <w:szCs w:val="26"/>
                <w:u w:val="none"/>
                <w14:textFill>
                  <w14:solidFill>
                    <w14:schemeClr w14:val="tx1"/>
                  </w14:solidFill>
                </w14:textFill>
              </w:rPr>
            </w:pPr>
          </w:p>
        </w:tc>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820F8">
            <w:pPr>
              <w:jc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A1D4A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18107269959</w:t>
            </w:r>
          </w:p>
        </w:tc>
      </w:tr>
      <w:tr w14:paraId="5EB2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0"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222E8F6">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2</w:t>
            </w:r>
          </w:p>
        </w:tc>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5985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主榜、科技、文化、专精特新</w:t>
            </w: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问卷内容咨询</w:t>
            </w: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D1B14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13910852920</w:t>
            </w:r>
          </w:p>
        </w:tc>
      </w:tr>
      <w:tr w14:paraId="3F4F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0CEF74">
            <w:pPr>
              <w:jc w:val="center"/>
              <w:rPr>
                <w:rFonts w:hint="eastAsia" w:ascii="宋体" w:hAnsi="宋体" w:eastAsia="宋体" w:cs="宋体"/>
                <w:i w:val="0"/>
                <w:iCs w:val="0"/>
                <w:color w:val="000000" w:themeColor="text1"/>
                <w:sz w:val="26"/>
                <w:szCs w:val="26"/>
                <w:u w:val="none"/>
                <w14:textFill>
                  <w14:solidFill>
                    <w14:schemeClr w14:val="tx1"/>
                  </w14:solidFill>
                </w14:textFill>
              </w:rPr>
            </w:pPr>
          </w:p>
        </w:tc>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A659">
            <w:pPr>
              <w:jc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274E9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18519055478</w:t>
            </w:r>
          </w:p>
        </w:tc>
      </w:tr>
      <w:tr w14:paraId="3687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B14378">
            <w:pPr>
              <w:jc w:val="center"/>
              <w:rPr>
                <w:rFonts w:hint="eastAsia" w:ascii="宋体" w:hAnsi="宋体" w:eastAsia="宋体" w:cs="宋体"/>
                <w:i w:val="0"/>
                <w:iCs w:val="0"/>
                <w:color w:val="000000" w:themeColor="text1"/>
                <w:sz w:val="26"/>
                <w:szCs w:val="26"/>
                <w:u w:val="none"/>
                <w14:textFill>
                  <w14:solidFill>
                    <w14:schemeClr w14:val="tx1"/>
                  </w14:solidFill>
                </w14:textFill>
              </w:rPr>
            </w:pPr>
          </w:p>
        </w:tc>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FCA5">
            <w:pPr>
              <w:jc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05DC0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88810708</w:t>
            </w:r>
          </w:p>
        </w:tc>
      </w:tr>
      <w:tr w14:paraId="214C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6E90A43">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3</w:t>
            </w:r>
          </w:p>
        </w:tc>
        <w:tc>
          <w:tcPr>
            <w:tcW w:w="385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F508D7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未来产业问卷内容咨询</w:t>
            </w:r>
          </w:p>
        </w:tc>
        <w:tc>
          <w:tcPr>
            <w:tcW w:w="314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75A63BE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13391878026</w:t>
            </w:r>
          </w:p>
        </w:tc>
      </w:tr>
      <w:tr w14:paraId="62AC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70" w:type="dxa"/>
            <w:tcBorders>
              <w:top w:val="nil"/>
              <w:left w:val="single" w:color="000000" w:sz="8" w:space="0"/>
              <w:bottom w:val="single" w:color="000000" w:sz="4" w:space="0"/>
              <w:right w:val="single" w:color="000000" w:sz="4" w:space="0"/>
            </w:tcBorders>
            <w:shd w:val="clear" w:color="auto" w:fill="auto"/>
            <w:vAlign w:val="center"/>
          </w:tcPr>
          <w:p w14:paraId="7915D666">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4</w:t>
            </w:r>
          </w:p>
        </w:tc>
        <w:tc>
          <w:tcPr>
            <w:tcW w:w="3850" w:type="dxa"/>
            <w:tcBorders>
              <w:top w:val="nil"/>
              <w:left w:val="single" w:color="000000" w:sz="4" w:space="0"/>
              <w:bottom w:val="single" w:color="000000" w:sz="4" w:space="0"/>
              <w:right w:val="single" w:color="000000" w:sz="4" w:space="0"/>
            </w:tcBorders>
            <w:shd w:val="clear" w:color="auto" w:fill="auto"/>
            <w:noWrap/>
            <w:vAlign w:val="center"/>
          </w:tcPr>
          <w:p w14:paraId="6A559784">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东城区工商联</w:t>
            </w:r>
          </w:p>
        </w:tc>
        <w:tc>
          <w:tcPr>
            <w:tcW w:w="3140" w:type="dxa"/>
            <w:tcBorders>
              <w:top w:val="nil"/>
              <w:left w:val="single" w:color="000000" w:sz="4" w:space="0"/>
              <w:bottom w:val="single" w:color="000000" w:sz="4" w:space="0"/>
              <w:right w:val="single" w:color="000000" w:sz="8" w:space="0"/>
            </w:tcBorders>
            <w:shd w:val="clear" w:color="auto" w:fill="auto"/>
            <w:vAlign w:val="center"/>
          </w:tcPr>
          <w:p w14:paraId="3E9202D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51270937</w:t>
            </w: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51270936</w:t>
            </w:r>
          </w:p>
        </w:tc>
      </w:tr>
      <w:tr w14:paraId="3F6B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B789A6">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5</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AB5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西城区工商联</w:t>
            </w:r>
          </w:p>
        </w:tc>
        <w:tc>
          <w:tcPr>
            <w:tcW w:w="314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3EB28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83495765</w:t>
            </w:r>
          </w:p>
        </w:tc>
      </w:tr>
      <w:tr w14:paraId="12D2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ECB955">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6</w:t>
            </w:r>
          </w:p>
        </w:tc>
        <w:tc>
          <w:tcPr>
            <w:tcW w:w="3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7B37">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朝阳区工商联</w:t>
            </w:r>
          </w:p>
        </w:tc>
        <w:tc>
          <w:tcPr>
            <w:tcW w:w="314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CAD8F2">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65094914</w:t>
            </w:r>
          </w:p>
        </w:tc>
      </w:tr>
      <w:tr w14:paraId="42B0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5A9FCE">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7</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6CF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海淀区工商联</w:t>
            </w:r>
          </w:p>
        </w:tc>
        <w:tc>
          <w:tcPr>
            <w:tcW w:w="314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B5BA5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82666496</w:t>
            </w:r>
          </w:p>
        </w:tc>
      </w:tr>
      <w:tr w14:paraId="4321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B3BB53">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8</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4DF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丰台区工商联</w:t>
            </w:r>
          </w:p>
        </w:tc>
        <w:tc>
          <w:tcPr>
            <w:tcW w:w="314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7C8A8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63803957</w:t>
            </w:r>
          </w:p>
        </w:tc>
      </w:tr>
      <w:tr w14:paraId="0731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33C2E7">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9</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9C25">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石景山区工商联</w:t>
            </w: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806726">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68863137</w:t>
            </w:r>
          </w:p>
        </w:tc>
      </w:tr>
      <w:tr w14:paraId="3546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CFD7A9">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10</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374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门头沟区工商联</w:t>
            </w: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49E7A1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69852380</w:t>
            </w:r>
          </w:p>
        </w:tc>
      </w:tr>
      <w:tr w14:paraId="7424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BF36BA">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11</w:t>
            </w:r>
          </w:p>
        </w:tc>
        <w:tc>
          <w:tcPr>
            <w:tcW w:w="3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0F0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房山区工商联</w:t>
            </w: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44854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13611299110</w:t>
            </w:r>
          </w:p>
        </w:tc>
      </w:tr>
      <w:tr w14:paraId="6DA8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7F3B55">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12</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2FD1">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通州区工商联</w:t>
            </w: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7725EF">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13811205963</w:t>
            </w:r>
          </w:p>
        </w:tc>
      </w:tr>
      <w:tr w14:paraId="29D8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911743">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13</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315C">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顺义区工商联</w:t>
            </w: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0DA32A">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69432005</w:t>
            </w:r>
          </w:p>
        </w:tc>
      </w:tr>
      <w:tr w14:paraId="3C0E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EB1EFC">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14</w:t>
            </w:r>
          </w:p>
        </w:tc>
        <w:tc>
          <w:tcPr>
            <w:tcW w:w="3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3AB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昌平区工商联</w:t>
            </w: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5AE2D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69716350</w:t>
            </w:r>
          </w:p>
        </w:tc>
      </w:tr>
      <w:tr w14:paraId="03A0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545C9C">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15</w:t>
            </w:r>
          </w:p>
        </w:tc>
        <w:tc>
          <w:tcPr>
            <w:tcW w:w="3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1AC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大兴区工商联</w:t>
            </w: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36BBA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81298370</w:t>
            </w:r>
          </w:p>
        </w:tc>
      </w:tr>
      <w:tr w14:paraId="6C6B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95D95B">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16</w:t>
            </w:r>
          </w:p>
        </w:tc>
        <w:tc>
          <w:tcPr>
            <w:tcW w:w="3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ACA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怀柔区工商联</w:t>
            </w: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5E89B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69647446</w:t>
            </w:r>
          </w:p>
        </w:tc>
      </w:tr>
      <w:tr w14:paraId="7517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F9B6CB">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17</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DA0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平谷区工商联</w:t>
            </w: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E60F29">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69969081</w:t>
            </w:r>
          </w:p>
        </w:tc>
      </w:tr>
      <w:tr w14:paraId="3A8F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233563">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18</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9D48">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密云区工商联</w:t>
            </w: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23886D">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69045763</w:t>
            </w:r>
          </w:p>
        </w:tc>
      </w:tr>
      <w:tr w14:paraId="1383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09752E">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19</w:t>
            </w:r>
          </w:p>
        </w:tc>
        <w:tc>
          <w:tcPr>
            <w:tcW w:w="3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0F30">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延庆区工商联</w:t>
            </w:r>
          </w:p>
        </w:tc>
        <w:tc>
          <w:tcPr>
            <w:tcW w:w="314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38EA3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69103626</w:t>
            </w:r>
          </w:p>
        </w:tc>
      </w:tr>
      <w:tr w14:paraId="452E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70" w:type="dxa"/>
            <w:tcBorders>
              <w:top w:val="single" w:color="000000" w:sz="4" w:space="0"/>
              <w:left w:val="single" w:color="000000" w:sz="8" w:space="0"/>
              <w:bottom w:val="single" w:color="000000" w:sz="8" w:space="0"/>
              <w:right w:val="single" w:color="000000" w:sz="4" w:space="0"/>
            </w:tcBorders>
            <w:shd w:val="clear" w:color="auto" w:fill="auto"/>
            <w:vAlign w:val="center"/>
          </w:tcPr>
          <w:p w14:paraId="337A9692">
            <w:pPr>
              <w:keepNext w:val="0"/>
              <w:keepLines w:val="0"/>
              <w:widowControl/>
              <w:suppressLineNumbers w:val="0"/>
              <w:jc w:val="center"/>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20</w:t>
            </w:r>
          </w:p>
        </w:tc>
        <w:tc>
          <w:tcPr>
            <w:tcW w:w="385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BCA2DB3">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经开区工商联</w:t>
            </w:r>
          </w:p>
        </w:tc>
        <w:tc>
          <w:tcPr>
            <w:tcW w:w="314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1CF2134B">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6"/>
                <w:szCs w:val="26"/>
                <w:u w:val="none"/>
                <w14:textFill>
                  <w14:solidFill>
                    <w14:schemeClr w14:val="tx1"/>
                  </w14:solidFill>
                </w14:textFill>
              </w:rPr>
            </w:pPr>
            <w:r>
              <w:rPr>
                <w:rFonts w:hint="eastAsia" w:ascii="仿宋_GB2312" w:hAnsi="宋体" w:eastAsia="仿宋_GB2312" w:cs="仿宋_GB2312"/>
                <w:i w:val="0"/>
                <w:iCs w:val="0"/>
                <w:color w:val="000000" w:themeColor="text1"/>
                <w:kern w:val="0"/>
                <w:sz w:val="26"/>
                <w:szCs w:val="26"/>
                <w:u w:val="none"/>
                <w:lang w:val="en-US" w:eastAsia="zh-CN" w:bidi="ar"/>
                <w14:textFill>
                  <w14:solidFill>
                    <w14:schemeClr w14:val="tx1"/>
                  </w14:solidFill>
                </w14:textFill>
              </w:rPr>
              <w:t>83508110</w:t>
            </w:r>
          </w:p>
        </w:tc>
      </w:tr>
    </w:tbl>
    <w:p w14:paraId="0912715F">
      <w:pPr>
        <w:widowControl w:val="0"/>
        <w:wordWrap/>
        <w:adjustRightInd/>
        <w:snapToGrid/>
        <w:spacing w:line="560" w:lineRule="exac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p>
    <w:p w14:paraId="400FAA2A">
      <w:pPr>
        <w:widowControl w:val="0"/>
        <w:wordWrap/>
        <w:adjustRightInd/>
        <w:snapToGrid/>
        <w:spacing w:line="560" w:lineRule="exact"/>
        <w:ind w:firstLine="5440" w:firstLineChars="1700"/>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北京市工商业联合会</w:t>
      </w:r>
    </w:p>
    <w:p w14:paraId="1B036C6E">
      <w:pPr>
        <w:widowControl w:val="0"/>
        <w:wordWrap/>
        <w:adjustRightInd/>
        <w:snapToGrid/>
        <w:spacing w:line="560" w:lineRule="exac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 xml:space="preserve">                                    2026年5月18日</w:t>
      </w:r>
    </w:p>
    <w:sectPr>
      <w:footerReference r:id="rId3" w:type="default"/>
      <w:pgSz w:w="11906" w:h="16838"/>
      <w:pgMar w:top="1984" w:right="1474" w:bottom="1474" w:left="1587" w:header="851" w:footer="709"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297B1">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590C8E5">
                          <w:pPr>
                            <w:pStyle w:val="3"/>
                            <w:rPr>
                              <w:rFonts w:hint="eastAsia" w:asciiTheme="minorEastAsia" w:hAnsiTheme="minorEastAsia" w:eastAsiaTheme="minorEastAsia" w:cstheme="minorEastAsia"/>
                              <w:sz w:val="28"/>
                              <w:szCs w:val="52"/>
                            </w:rPr>
                          </w:pPr>
                          <w:r>
                            <w:rPr>
                              <w:rFonts w:hint="eastAsia" w:asciiTheme="minorEastAsia" w:hAnsiTheme="minorEastAsia" w:eastAsiaTheme="minorEastAsia" w:cstheme="minorEastAsia"/>
                              <w:sz w:val="28"/>
                              <w:szCs w:val="52"/>
                            </w:rPr>
                            <w:fldChar w:fldCharType="begin"/>
                          </w:r>
                          <w:r>
                            <w:rPr>
                              <w:rFonts w:hint="eastAsia" w:asciiTheme="minorEastAsia" w:hAnsiTheme="minorEastAsia" w:eastAsiaTheme="minorEastAsia" w:cstheme="minorEastAsia"/>
                              <w:sz w:val="28"/>
                              <w:szCs w:val="52"/>
                            </w:rPr>
                            <w:instrText xml:space="preserve"> PAGE  \* MERGEFORMAT </w:instrText>
                          </w:r>
                          <w:r>
                            <w:rPr>
                              <w:rFonts w:hint="eastAsia" w:asciiTheme="minorEastAsia" w:hAnsiTheme="minorEastAsia" w:eastAsiaTheme="minorEastAsia" w:cstheme="minorEastAsia"/>
                              <w:sz w:val="28"/>
                              <w:szCs w:val="52"/>
                            </w:rPr>
                            <w:fldChar w:fldCharType="separate"/>
                          </w:r>
                          <w:r>
                            <w:rPr>
                              <w:rFonts w:hint="eastAsia" w:asciiTheme="minorEastAsia" w:hAnsiTheme="minorEastAsia" w:eastAsiaTheme="minorEastAsia" w:cstheme="minorEastAsia"/>
                              <w:sz w:val="28"/>
                              <w:szCs w:val="52"/>
                            </w:rPr>
                            <w:t>- 2 -</w:t>
                          </w:r>
                          <w:r>
                            <w:rPr>
                              <w:rFonts w:hint="eastAsia" w:asciiTheme="minorEastAsia" w:hAnsiTheme="minorEastAsia" w:eastAsiaTheme="minorEastAsia" w:cstheme="minorEastAsia"/>
                              <w:sz w:val="28"/>
                              <w:szCs w:val="52"/>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74QjbUAQAApg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blqkoK9R5qTHz0mBqHD27AvZnvAS8T8UEGk75IiWAc9T1d9BVDJDw9qlZVVWKIY2x2EL94&#10;eu4DxDvhDElGQwMOMOvKjg8Qx9Q5JVWz7lZpnYeoLekR9ap6d5VfXEKIri0WSSzGbpMVh90wUdu5&#10;9oTMetyChlpcekr0vUWR08LMRpiN3WwcfFD7Lm9UagX8+0PEdnKXqcIIOxXG8WWe06ql/fjbz1lP&#10;v9fm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e+EI21AEAAKYDAAAOAAAAAAAAAAEAIAAA&#10;ACIBAABkcnMvZTJvRG9jLnhtbFBLBQYAAAAABgAGAFkBAABoBQAAAAA=&#10;">
              <v:fill on="f" focussize="0,0"/>
              <v:stroke on="f" weight="1.25pt"/>
              <v:imagedata o:title=""/>
              <o:lock v:ext="edit" aspectratio="f"/>
              <v:textbox inset="0mm,0mm,0mm,0mm" style="mso-fit-shape-to-text:t;">
                <w:txbxContent>
                  <w:p w14:paraId="1590C8E5">
                    <w:pPr>
                      <w:pStyle w:val="3"/>
                      <w:rPr>
                        <w:rFonts w:hint="eastAsia" w:asciiTheme="minorEastAsia" w:hAnsiTheme="minorEastAsia" w:eastAsiaTheme="minorEastAsia" w:cstheme="minorEastAsia"/>
                        <w:sz w:val="28"/>
                        <w:szCs w:val="52"/>
                      </w:rPr>
                    </w:pPr>
                    <w:r>
                      <w:rPr>
                        <w:rFonts w:hint="eastAsia" w:asciiTheme="minorEastAsia" w:hAnsiTheme="minorEastAsia" w:eastAsiaTheme="minorEastAsia" w:cstheme="minorEastAsia"/>
                        <w:sz w:val="28"/>
                        <w:szCs w:val="52"/>
                      </w:rPr>
                      <w:fldChar w:fldCharType="begin"/>
                    </w:r>
                    <w:r>
                      <w:rPr>
                        <w:rFonts w:hint="eastAsia" w:asciiTheme="minorEastAsia" w:hAnsiTheme="minorEastAsia" w:eastAsiaTheme="minorEastAsia" w:cstheme="minorEastAsia"/>
                        <w:sz w:val="28"/>
                        <w:szCs w:val="52"/>
                      </w:rPr>
                      <w:instrText xml:space="preserve"> PAGE  \* MERGEFORMAT </w:instrText>
                    </w:r>
                    <w:r>
                      <w:rPr>
                        <w:rFonts w:hint="eastAsia" w:asciiTheme="minorEastAsia" w:hAnsiTheme="minorEastAsia" w:eastAsiaTheme="minorEastAsia" w:cstheme="minorEastAsia"/>
                        <w:sz w:val="28"/>
                        <w:szCs w:val="52"/>
                      </w:rPr>
                      <w:fldChar w:fldCharType="separate"/>
                    </w:r>
                    <w:r>
                      <w:rPr>
                        <w:rFonts w:hint="eastAsia" w:asciiTheme="minorEastAsia" w:hAnsiTheme="minorEastAsia" w:eastAsiaTheme="minorEastAsia" w:cstheme="minorEastAsia"/>
                        <w:sz w:val="28"/>
                        <w:szCs w:val="52"/>
                      </w:rPr>
                      <w:t>- 2 -</w:t>
                    </w:r>
                    <w:r>
                      <w:rPr>
                        <w:rFonts w:hint="eastAsia" w:asciiTheme="minorEastAsia" w:hAnsiTheme="minorEastAsia" w:eastAsiaTheme="minorEastAsia" w:cstheme="minorEastAsia"/>
                        <w:sz w:val="28"/>
                        <w:szCs w:val="5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5CE29CD"/>
    <w:rsid w:val="039D202E"/>
    <w:rsid w:val="110665EB"/>
    <w:rsid w:val="13806C3B"/>
    <w:rsid w:val="13BB623B"/>
    <w:rsid w:val="15D1182B"/>
    <w:rsid w:val="183E5460"/>
    <w:rsid w:val="195B7AE8"/>
    <w:rsid w:val="1B865E5B"/>
    <w:rsid w:val="1BA641E3"/>
    <w:rsid w:val="1DC12AB8"/>
    <w:rsid w:val="1EC27FFB"/>
    <w:rsid w:val="202A63C7"/>
    <w:rsid w:val="20FE0C2D"/>
    <w:rsid w:val="24934F3B"/>
    <w:rsid w:val="27846B2E"/>
    <w:rsid w:val="27FF312E"/>
    <w:rsid w:val="2B343767"/>
    <w:rsid w:val="38940E42"/>
    <w:rsid w:val="3BDE27CE"/>
    <w:rsid w:val="3C16166D"/>
    <w:rsid w:val="3CE03992"/>
    <w:rsid w:val="3DD822F9"/>
    <w:rsid w:val="3FFD2E8C"/>
    <w:rsid w:val="425F3A3E"/>
    <w:rsid w:val="442B2198"/>
    <w:rsid w:val="47906D05"/>
    <w:rsid w:val="489525A0"/>
    <w:rsid w:val="49C07962"/>
    <w:rsid w:val="4CC27294"/>
    <w:rsid w:val="4F02606E"/>
    <w:rsid w:val="50801F81"/>
    <w:rsid w:val="55183BAC"/>
    <w:rsid w:val="57831D16"/>
    <w:rsid w:val="59734549"/>
    <w:rsid w:val="5D042FB1"/>
    <w:rsid w:val="631671BF"/>
    <w:rsid w:val="64D4595F"/>
    <w:rsid w:val="65884D60"/>
    <w:rsid w:val="65CE29CD"/>
    <w:rsid w:val="6848469A"/>
    <w:rsid w:val="69197DC1"/>
    <w:rsid w:val="6A400198"/>
    <w:rsid w:val="6BBFC524"/>
    <w:rsid w:val="6E004906"/>
    <w:rsid w:val="6ED50C51"/>
    <w:rsid w:val="70970501"/>
    <w:rsid w:val="71B74249"/>
    <w:rsid w:val="74B91CA3"/>
    <w:rsid w:val="77FF270C"/>
    <w:rsid w:val="77FF4CB5"/>
    <w:rsid w:val="79492739"/>
    <w:rsid w:val="7B937FF4"/>
    <w:rsid w:val="7D9FDF7B"/>
    <w:rsid w:val="7E655B4E"/>
    <w:rsid w:val="977F5E65"/>
    <w:rsid w:val="BDAF1951"/>
    <w:rsid w:val="CDEFF278"/>
    <w:rsid w:val="FD7F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firstLine="64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720" w:firstLineChars="200"/>
    </w:pPr>
    <w:rPr>
      <w:rFonts w:ascii="仿宋_GB2312" w:hAnsi="仿宋_GB2312" w:eastAsia="仿宋_GB2312"/>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1706</Words>
  <Characters>2006</Characters>
  <Lines>0</Lines>
  <Paragraphs>0</Paragraphs>
  <TotalTime>0</TotalTime>
  <ScaleCrop>false</ScaleCrop>
  <LinksUpToDate>false</LinksUpToDate>
  <CharactersWithSpaces>2043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2023-05-14T17:35:00Z</dcterms:created>
  <dc:creator>凪</dc:creator>
  <cp:lastModifiedBy>凪</cp:lastModifiedBy>
  <cp:lastPrinted>2024-05-16T19:38:00Z</cp:lastPrinted>
  <dcterms:modified xsi:type="dcterms:W3CDTF">2026-05-11T09:18:17Z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7868F0890C0646BEA430439E4B78BFB6_11</vt:lpwstr>
  </property>
  <property fmtid="{D5CDD505-2E9C-101B-9397-08002B2CF9AE}" pid="4" name="KSOTemplateDocerSaveRecord">
    <vt:lpwstr>eyJoZGlkIjoiN2YzNjBkOTgyNWQ1YTMxYzM3MzMwNWFiODNmOWIzYWMiLCJ1c2VySWQiOiIyOTMxNDA2NjAifQ==</vt:lpwstr>
  </property>
</Properties>
</file>