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00D" w:rsidRDefault="00E2200D">
      <w:pPr>
        <w:spacing w:line="560" w:lineRule="exact"/>
        <w:jc w:val="left"/>
        <w:rPr>
          <w:rFonts w:ascii="仿宋_GB2312" w:hAnsi="仿宋_GB2312" w:cs="仿宋_GB2312" w:hint="eastAsia"/>
          <w:bCs/>
          <w:szCs w:val="32"/>
        </w:rPr>
        <w:sectPr w:rsidR="00E2200D">
          <w:footerReference w:type="default" r:id="rId8"/>
          <w:pgSz w:w="11906" w:h="16838"/>
          <w:pgMar w:top="2098" w:right="1474" w:bottom="1701" w:left="1587" w:header="851" w:footer="1134" w:gutter="0"/>
          <w:pgNumType w:fmt="numberInDash"/>
          <w:cols w:space="0"/>
          <w:docGrid w:type="linesAndChars" w:linePitch="579" w:charSpace="-842"/>
        </w:sectPr>
      </w:pPr>
      <w:bookmarkStart w:id="0" w:name="_GoBack"/>
      <w:bookmarkEnd w:id="0"/>
    </w:p>
    <w:tbl>
      <w:tblPr>
        <w:tblpPr w:leftFromText="180" w:rightFromText="180" w:vertAnchor="text" w:horzAnchor="page" w:tblpXSpec="center" w:tblpY="155"/>
        <w:tblOverlap w:val="never"/>
        <w:tblW w:w="14180" w:type="dxa"/>
        <w:jc w:val="center"/>
        <w:tblLayout w:type="fixed"/>
        <w:tblCellMar>
          <w:left w:w="0" w:type="dxa"/>
          <w:right w:w="0" w:type="dxa"/>
        </w:tblCellMar>
        <w:tblLook w:val="04A0" w:firstRow="1" w:lastRow="0" w:firstColumn="1" w:lastColumn="0" w:noHBand="0" w:noVBand="1"/>
      </w:tblPr>
      <w:tblGrid>
        <w:gridCol w:w="1682"/>
        <w:gridCol w:w="4944"/>
        <w:gridCol w:w="4224"/>
        <w:gridCol w:w="1491"/>
        <w:gridCol w:w="1839"/>
      </w:tblGrid>
      <w:tr w:rsidR="00E2200D">
        <w:trPr>
          <w:trHeight w:val="90"/>
          <w:jc w:val="center"/>
        </w:trPr>
        <w:tc>
          <w:tcPr>
            <w:tcW w:w="1682" w:type="dxa"/>
            <w:tcBorders>
              <w:top w:val="nil"/>
              <w:left w:val="nil"/>
              <w:bottom w:val="nil"/>
              <w:right w:val="nil"/>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黑体" w:eastAsia="黑体" w:hAnsi="黑体" w:cs="黑体" w:hint="eastAsia"/>
                <w:color w:val="000000"/>
                <w:kern w:val="0"/>
                <w:szCs w:val="32"/>
              </w:rPr>
              <w:lastRenderedPageBreak/>
              <w:t>附件</w:t>
            </w:r>
            <w:r>
              <w:rPr>
                <w:rFonts w:ascii="黑体" w:eastAsia="黑体" w:hAnsi="黑体" w:cs="黑体" w:hint="eastAsia"/>
                <w:color w:val="000000"/>
                <w:kern w:val="0"/>
                <w:szCs w:val="32"/>
              </w:rPr>
              <w:t>2</w:t>
            </w:r>
          </w:p>
        </w:tc>
        <w:tc>
          <w:tcPr>
            <w:tcW w:w="4944" w:type="dxa"/>
            <w:tcBorders>
              <w:top w:val="nil"/>
              <w:left w:val="nil"/>
              <w:bottom w:val="nil"/>
              <w:right w:val="nil"/>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nil"/>
              <w:left w:val="nil"/>
              <w:bottom w:val="nil"/>
              <w:right w:val="nil"/>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tcBorders>
              <w:top w:val="nil"/>
              <w:left w:val="nil"/>
              <w:bottom w:val="nil"/>
              <w:right w:val="nil"/>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839" w:type="dxa"/>
            <w:tcBorders>
              <w:top w:val="nil"/>
              <w:left w:val="nil"/>
              <w:bottom w:val="nil"/>
              <w:right w:val="nil"/>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r>
      <w:tr w:rsidR="00E2200D">
        <w:trPr>
          <w:trHeight w:val="560"/>
          <w:jc w:val="center"/>
        </w:trPr>
        <w:tc>
          <w:tcPr>
            <w:tcW w:w="14180" w:type="dxa"/>
            <w:gridSpan w:val="5"/>
            <w:tcBorders>
              <w:top w:val="nil"/>
              <w:left w:val="nil"/>
              <w:bottom w:val="nil"/>
              <w:right w:val="nil"/>
            </w:tcBorders>
            <w:tcMar>
              <w:top w:w="15" w:type="dxa"/>
              <w:left w:w="15" w:type="dxa"/>
              <w:right w:w="15" w:type="dxa"/>
            </w:tcMar>
            <w:vAlign w:val="center"/>
          </w:tcPr>
          <w:p w:rsidR="00E2200D" w:rsidRDefault="005A1C1D">
            <w:pPr>
              <w:widowControl/>
              <w:spacing w:line="420" w:lineRule="exact"/>
              <w:jc w:val="center"/>
              <w:textAlignment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采育镇创建国家卫生区工作任务分解表</w:t>
            </w:r>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b/>
                <w:bCs/>
                <w:color w:val="000000"/>
                <w:sz w:val="24"/>
                <w:szCs w:val="24"/>
              </w:rPr>
            </w:pPr>
            <w:r>
              <w:rPr>
                <w:rFonts w:ascii="仿宋_GB2312" w:hAnsi="宋体" w:cs="仿宋_GB2312" w:hint="eastAsia"/>
                <w:b/>
                <w:bCs/>
                <w:color w:val="000000"/>
                <w:kern w:val="0"/>
                <w:sz w:val="24"/>
                <w:szCs w:val="24"/>
              </w:rPr>
              <w:t>指标项目组别</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b/>
                <w:bCs/>
                <w:color w:val="000000"/>
                <w:sz w:val="24"/>
                <w:szCs w:val="24"/>
              </w:rPr>
            </w:pPr>
            <w:r>
              <w:rPr>
                <w:rFonts w:ascii="仿宋_GB2312" w:hAnsi="宋体" w:cs="仿宋_GB2312" w:hint="eastAsia"/>
                <w:b/>
                <w:bCs/>
                <w:color w:val="000000"/>
                <w:kern w:val="0"/>
                <w:sz w:val="24"/>
                <w:szCs w:val="24"/>
              </w:rPr>
              <w:t>标准原文</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b/>
                <w:bCs/>
                <w:color w:val="000000"/>
                <w:sz w:val="24"/>
                <w:szCs w:val="24"/>
              </w:rPr>
            </w:pPr>
            <w:r>
              <w:rPr>
                <w:rFonts w:ascii="仿宋_GB2312" w:hAnsi="宋体" w:cs="仿宋_GB2312" w:hint="eastAsia"/>
                <w:b/>
                <w:bCs/>
                <w:color w:val="000000"/>
                <w:kern w:val="0"/>
                <w:sz w:val="24"/>
                <w:szCs w:val="24"/>
              </w:rPr>
              <w:t>任务要求</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b/>
                <w:bCs/>
                <w:color w:val="000000"/>
                <w:sz w:val="24"/>
                <w:szCs w:val="24"/>
              </w:rPr>
            </w:pPr>
            <w:r>
              <w:rPr>
                <w:rFonts w:ascii="仿宋_GB2312" w:hAnsi="宋体" w:cs="仿宋_GB2312" w:hint="eastAsia"/>
                <w:b/>
                <w:bCs/>
                <w:color w:val="000000"/>
                <w:kern w:val="0"/>
                <w:sz w:val="24"/>
                <w:szCs w:val="24"/>
              </w:rPr>
              <w:t>主</w:t>
            </w:r>
            <w:proofErr w:type="gramStart"/>
            <w:r>
              <w:rPr>
                <w:rFonts w:ascii="仿宋_GB2312" w:hAnsi="宋体" w:cs="仿宋_GB2312" w:hint="eastAsia"/>
                <w:b/>
                <w:bCs/>
                <w:color w:val="000000"/>
                <w:kern w:val="0"/>
                <w:sz w:val="24"/>
                <w:szCs w:val="24"/>
              </w:rPr>
              <w:t>责单位</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b/>
                <w:bCs/>
                <w:color w:val="000000"/>
                <w:sz w:val="24"/>
                <w:szCs w:val="24"/>
              </w:rPr>
            </w:pPr>
            <w:r>
              <w:rPr>
                <w:rFonts w:ascii="仿宋_GB2312" w:hAnsi="宋体" w:cs="仿宋_GB2312" w:hint="eastAsia"/>
                <w:b/>
                <w:bCs/>
                <w:color w:val="000000"/>
                <w:kern w:val="0"/>
                <w:sz w:val="24"/>
                <w:szCs w:val="24"/>
              </w:rPr>
              <w:t>配合单位</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一、爱国卫生组织管理</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镇政府认真贯彻落实国家关于爱国卫生工作的法规政策，把爱国卫生工作纳入政府议事日程，实行目标管理，主要领导担任爱卫会主任，重视爱国卫生工作和卫生创建活动。爱卫会组织健全，在爱国卫生工作和创建活动中发挥组织协调作用，各委员单位分工明确，责任落实。</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1.1.1</w:t>
            </w:r>
            <w:r>
              <w:rPr>
                <w:rFonts w:ascii="仿宋_GB2312" w:hAnsi="宋体" w:cs="仿宋_GB2312" w:hint="eastAsia"/>
                <w:color w:val="000000"/>
                <w:kern w:val="0"/>
                <w:sz w:val="20"/>
                <w:szCs w:val="20"/>
              </w:rPr>
              <w:t>、爱卫工作会议记录、纪要。</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34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1.1.2</w:t>
            </w:r>
            <w:r>
              <w:rPr>
                <w:rFonts w:ascii="仿宋_GB2312" w:hAnsi="宋体" w:cs="仿宋_GB2312" w:hint="eastAsia"/>
                <w:color w:val="000000"/>
                <w:kern w:val="0"/>
                <w:sz w:val="20"/>
                <w:szCs w:val="20"/>
              </w:rPr>
              <w:t>、镇创卫组织机构。</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3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1.1.3</w:t>
            </w:r>
            <w:r>
              <w:rPr>
                <w:rFonts w:ascii="仿宋_GB2312" w:hAnsi="宋体" w:cs="仿宋_GB2312" w:hint="eastAsia"/>
                <w:color w:val="000000"/>
                <w:kern w:val="0"/>
                <w:sz w:val="20"/>
                <w:szCs w:val="20"/>
              </w:rPr>
              <w:t>、成员单位分工。</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92"/>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（二）爱国卫生工作有计划，有经费，有部署，有检查，有总结，档案管理规范。卫生创建工作纳入乡镇（县城）发展规划，有创建工作实施方案，建立长效管理机制，以乡镇带村，整体发展。</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1.2.1</w:t>
            </w:r>
            <w:r>
              <w:rPr>
                <w:rFonts w:ascii="仿宋_GB2312" w:hAnsi="宋体" w:cs="仿宋_GB2312" w:hint="eastAsia"/>
                <w:color w:val="000000"/>
                <w:kern w:val="0"/>
                <w:sz w:val="20"/>
                <w:szCs w:val="20"/>
              </w:rPr>
              <w:t>、镇创卫工作计划、总结。</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05"/>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1.2.2</w:t>
            </w:r>
            <w:r>
              <w:rPr>
                <w:rFonts w:ascii="仿宋_GB2312" w:hAnsi="宋体" w:cs="仿宋_GB2312" w:hint="eastAsia"/>
                <w:color w:val="000000"/>
                <w:kern w:val="0"/>
                <w:sz w:val="20"/>
                <w:szCs w:val="20"/>
              </w:rPr>
              <w:t>、创建工作实施方案。</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5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1.2.4</w:t>
            </w:r>
            <w:r>
              <w:rPr>
                <w:rFonts w:ascii="仿宋_GB2312" w:hAnsi="宋体" w:cs="仿宋_GB2312" w:hint="eastAsia"/>
                <w:color w:val="000000"/>
                <w:kern w:val="0"/>
                <w:sz w:val="20"/>
                <w:szCs w:val="20"/>
              </w:rPr>
              <w:t>、创卫工作经费安排。</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财政所</w:t>
            </w:r>
          </w:p>
        </w:tc>
      </w:tr>
      <w:tr w:rsidR="00E2200D">
        <w:trPr>
          <w:trHeight w:val="9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1.2.5</w:t>
            </w:r>
            <w:r>
              <w:rPr>
                <w:rFonts w:ascii="仿宋_GB2312" w:hAnsi="宋体" w:cs="仿宋_GB2312" w:hint="eastAsia"/>
                <w:color w:val="000000"/>
                <w:kern w:val="0"/>
                <w:sz w:val="20"/>
                <w:szCs w:val="20"/>
              </w:rPr>
              <w:t>、长效管理机制资料。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9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1.2.6</w:t>
            </w:r>
            <w:r>
              <w:rPr>
                <w:rFonts w:ascii="仿宋_GB2312" w:hAnsi="宋体" w:cs="仿宋_GB2312" w:hint="eastAsia"/>
                <w:color w:val="000000"/>
                <w:kern w:val="0"/>
                <w:sz w:val="20"/>
                <w:szCs w:val="20"/>
              </w:rPr>
              <w:t>、</w:t>
            </w:r>
            <w:proofErr w:type="gramStart"/>
            <w:r>
              <w:rPr>
                <w:rFonts w:ascii="仿宋_GB2312" w:hAnsi="宋体" w:cs="仿宋_GB2312" w:hint="eastAsia"/>
                <w:color w:val="000000"/>
                <w:kern w:val="0"/>
                <w:sz w:val="20"/>
                <w:szCs w:val="20"/>
              </w:rPr>
              <w:t>镇建带村</w:t>
            </w:r>
            <w:proofErr w:type="gramEnd"/>
            <w:r>
              <w:rPr>
                <w:rFonts w:ascii="仿宋_GB2312" w:hAnsi="宋体" w:cs="仿宋_GB2312" w:hint="eastAsia"/>
                <w:color w:val="000000"/>
                <w:kern w:val="0"/>
                <w:sz w:val="20"/>
                <w:szCs w:val="20"/>
              </w:rPr>
              <w:t>建的资料。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（三）充分发动群众参与爱国卫生运动，经常开展形式多样、内容丰富的卫生创建活动。</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1.3.1</w:t>
            </w:r>
            <w:r>
              <w:rPr>
                <w:rFonts w:ascii="仿宋_GB2312" w:hAnsi="宋体" w:cs="仿宋_GB2312" w:hint="eastAsia"/>
                <w:color w:val="000000"/>
                <w:kern w:val="0"/>
                <w:sz w:val="20"/>
                <w:szCs w:val="20"/>
              </w:rPr>
              <w:t>、开展卫生创建群众活动的影像资料。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文体中心</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（四）创建国家卫生县城的县爱卫会创卫办公室具备与所承担工作任务相适应的编制、人员、经费和工作条件，所辖居委会、行政村等基层单位有专兼职爱国卫生工作人员。</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1.4.1</w:t>
            </w:r>
            <w:r>
              <w:rPr>
                <w:rFonts w:ascii="仿宋_GB2312" w:hAnsi="宋体" w:cs="仿宋_GB2312" w:hint="eastAsia"/>
                <w:color w:val="000000"/>
                <w:kern w:val="0"/>
                <w:sz w:val="20"/>
                <w:szCs w:val="20"/>
              </w:rPr>
              <w:t>、各村专兼职爱国卫生工作人员名单。</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（五）设立卫生问题建议与投诉平台，健全群众监督机制，对群众反映的问题认真核查和整改，群众对卫生状况满意率≥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1.5.1</w:t>
            </w:r>
            <w:r>
              <w:rPr>
                <w:rFonts w:ascii="仿宋_GB2312" w:hAnsi="宋体" w:cs="仿宋_GB2312" w:hint="eastAsia"/>
                <w:color w:val="000000"/>
                <w:kern w:val="0"/>
                <w:sz w:val="20"/>
                <w:szCs w:val="20"/>
              </w:rPr>
              <w:t>、群众反映问题核查整改情况。</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信访办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卫生院</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37"/>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1.5.2</w:t>
            </w:r>
            <w:r>
              <w:rPr>
                <w:rFonts w:ascii="仿宋_GB2312" w:hAnsi="宋体" w:cs="仿宋_GB2312" w:hint="eastAsia"/>
                <w:color w:val="000000"/>
                <w:kern w:val="0"/>
                <w:sz w:val="20"/>
                <w:szCs w:val="20"/>
              </w:rPr>
              <w:t>、群众对卫生状况满意率≥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二、健康教育</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（一）健康教育机构、网络健全，相关人员和经费足额及时落实。乡镇卫生院及防保机构有健康教育专兼职人员，能承担起健康教育业务技术指导的职责；社区、学校、卫生室等健康教育网络能够积极发挥作用。</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2.1.1</w:t>
            </w:r>
            <w:r>
              <w:rPr>
                <w:rFonts w:ascii="仿宋_GB2312" w:hAnsi="宋体" w:cs="仿宋_GB2312" w:hint="eastAsia"/>
                <w:color w:val="000000"/>
                <w:kern w:val="0"/>
                <w:sz w:val="20"/>
                <w:szCs w:val="20"/>
              </w:rPr>
              <w:t>、健康教育年度工作计划与完成情况。</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98"/>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2.1.2</w:t>
            </w:r>
            <w:r>
              <w:rPr>
                <w:rFonts w:ascii="仿宋_GB2312" w:hAnsi="宋体" w:cs="仿宋_GB2312" w:hint="eastAsia"/>
                <w:color w:val="000000"/>
                <w:kern w:val="0"/>
                <w:sz w:val="20"/>
                <w:szCs w:val="20"/>
              </w:rPr>
              <w:t>、健康教育专兼职人员配备情况。</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7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2.1.3</w:t>
            </w:r>
            <w:r>
              <w:rPr>
                <w:rFonts w:ascii="仿宋_GB2312" w:hAnsi="宋体" w:cs="仿宋_GB2312" w:hint="eastAsia"/>
                <w:color w:val="000000"/>
                <w:kern w:val="0"/>
                <w:sz w:val="20"/>
                <w:szCs w:val="20"/>
              </w:rPr>
              <w:t>、健康教育经费使用情况。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财政所</w:t>
            </w:r>
          </w:p>
        </w:tc>
      </w:tr>
      <w:tr w:rsidR="00E2200D">
        <w:trPr>
          <w:trHeight w:val="48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2.1.4</w:t>
            </w:r>
            <w:r>
              <w:rPr>
                <w:rFonts w:ascii="仿宋_GB2312" w:hAnsi="宋体" w:cs="仿宋_GB2312" w:hint="eastAsia"/>
                <w:color w:val="000000"/>
                <w:kern w:val="0"/>
                <w:sz w:val="20"/>
                <w:szCs w:val="20"/>
              </w:rPr>
              <w:t>、入村、社区开展健康教育的年度安排。</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p>
        </w:tc>
      </w:tr>
      <w:tr w:rsidR="00E2200D">
        <w:trPr>
          <w:trHeight w:val="48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2.1.5</w:t>
            </w:r>
            <w:r>
              <w:rPr>
                <w:rFonts w:ascii="仿宋_GB2312" w:hAnsi="宋体" w:cs="仿宋_GB2312" w:hint="eastAsia"/>
                <w:color w:val="000000"/>
                <w:kern w:val="0"/>
                <w:sz w:val="20"/>
                <w:szCs w:val="20"/>
              </w:rPr>
              <w:t>、入村、社区开展健康教育的影像资料。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20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2.1.6</w:t>
            </w:r>
            <w:r>
              <w:rPr>
                <w:rFonts w:ascii="仿宋_GB2312" w:hAnsi="宋体" w:cs="仿宋_GB2312" w:hint="eastAsia"/>
                <w:color w:val="000000"/>
                <w:kern w:val="0"/>
                <w:sz w:val="20"/>
                <w:szCs w:val="20"/>
              </w:rPr>
              <w:t>、学校开展健康教育的计划、总结。</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各学校</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卫生院</w:t>
            </w:r>
            <w:r>
              <w:rPr>
                <w:rFonts w:ascii="仿宋_GB2312" w:hAnsi="宋体" w:cs="仿宋_GB2312" w:hint="eastAsia"/>
                <w:color w:val="000000"/>
                <w:kern w:val="0"/>
                <w:sz w:val="20"/>
                <w:szCs w:val="20"/>
              </w:rPr>
              <w:t xml:space="preserve"> </w:t>
            </w:r>
          </w:p>
        </w:tc>
      </w:tr>
      <w:tr w:rsidR="00E2200D">
        <w:trPr>
          <w:trHeight w:val="9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2.1.7</w:t>
            </w:r>
            <w:r>
              <w:rPr>
                <w:rFonts w:ascii="仿宋_GB2312" w:hAnsi="宋体" w:cs="仿宋_GB2312" w:hint="eastAsia"/>
                <w:color w:val="000000"/>
                <w:kern w:val="0"/>
                <w:sz w:val="20"/>
                <w:szCs w:val="20"/>
              </w:rPr>
              <w:t>、学校开展健康教育的影像资料。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56"/>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（二）中小学校按照教育部《中小学健康教育指导纲要》要求，通过学科教学和专题讲座等多种形式开展健康教育，培养学生养成良好的卫生行为。学校健康教育开展率达</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，学生健康知识知晓率≥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，学生健康生活方式与行为形成率≥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14</w:t>
            </w:r>
            <w:r>
              <w:rPr>
                <w:rFonts w:ascii="仿宋_GB2312" w:hAnsi="宋体" w:cs="仿宋_GB2312" w:hint="eastAsia"/>
                <w:color w:val="000000"/>
                <w:kern w:val="0"/>
                <w:sz w:val="20"/>
                <w:szCs w:val="20"/>
              </w:rPr>
              <w:t>岁以下儿童蛔虫感染率≤</w:t>
            </w:r>
            <w:r>
              <w:rPr>
                <w:rFonts w:ascii="仿宋_GB2312" w:hAnsi="宋体" w:cs="仿宋_GB2312" w:hint="eastAsia"/>
                <w:color w:val="000000"/>
                <w:kern w:val="0"/>
                <w:sz w:val="20"/>
                <w:szCs w:val="20"/>
              </w:rPr>
              <w:t>5%</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2.2.1</w:t>
            </w:r>
            <w:r>
              <w:rPr>
                <w:rFonts w:ascii="仿宋_GB2312" w:hAnsi="宋体" w:cs="仿宋_GB2312" w:hint="eastAsia"/>
                <w:color w:val="000000"/>
                <w:kern w:val="0"/>
                <w:sz w:val="20"/>
                <w:szCs w:val="20"/>
              </w:rPr>
              <w:t>、健康教育年度计划、总结及影像资料。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各学校</w:t>
            </w:r>
          </w:p>
        </w:tc>
      </w:tr>
      <w:tr w:rsidR="00E2200D">
        <w:trPr>
          <w:trHeight w:val="887"/>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2.2.2</w:t>
            </w:r>
            <w:r>
              <w:rPr>
                <w:rFonts w:ascii="仿宋_GB2312" w:hAnsi="宋体" w:cs="仿宋_GB2312" w:hint="eastAsia"/>
                <w:color w:val="000000"/>
                <w:kern w:val="0"/>
                <w:sz w:val="20"/>
                <w:szCs w:val="20"/>
              </w:rPr>
              <w:t>、学校健康教育开展率达</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，学生健康知识知晓率≥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，学生健康生活方式与行为形成率≥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各学校</w:t>
            </w:r>
          </w:p>
        </w:tc>
      </w:tr>
      <w:tr w:rsidR="00E2200D">
        <w:trPr>
          <w:trHeight w:val="228"/>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2.2.3</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14</w:t>
            </w:r>
            <w:r>
              <w:rPr>
                <w:rFonts w:ascii="仿宋_GB2312" w:hAnsi="宋体" w:cs="仿宋_GB2312" w:hint="eastAsia"/>
                <w:color w:val="000000"/>
                <w:kern w:val="0"/>
                <w:sz w:val="20"/>
                <w:szCs w:val="20"/>
              </w:rPr>
              <w:t>岁以下儿童蛔虫感染率≤</w:t>
            </w:r>
            <w:r>
              <w:rPr>
                <w:rFonts w:ascii="仿宋_GB2312" w:hAnsi="宋体" w:cs="仿宋_GB2312" w:hint="eastAsia"/>
                <w:color w:val="000000"/>
                <w:kern w:val="0"/>
                <w:sz w:val="20"/>
                <w:szCs w:val="20"/>
              </w:rPr>
              <w:t>5%</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（三）医院、卫生院、卫生室（所）设置有健康教育宣传栏，采取多种形式，有针对性地向病人及其亲属开展健康教育，住院病人及其陪护家属相关健康知识知晓率≥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2.3.1</w:t>
            </w:r>
            <w:r>
              <w:rPr>
                <w:rFonts w:ascii="仿宋_GB2312" w:hAnsi="宋体" w:cs="仿宋_GB2312" w:hint="eastAsia"/>
                <w:color w:val="000000"/>
                <w:kern w:val="0"/>
                <w:sz w:val="20"/>
                <w:szCs w:val="20"/>
              </w:rPr>
              <w:t>、卫生院及社区服务站、卫生室宣传栏设置情况统计表、影像资料。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w:t>
            </w:r>
            <w:proofErr w:type="gramStart"/>
            <w:r>
              <w:rPr>
                <w:rFonts w:ascii="仿宋_GB2312" w:hAnsi="宋体" w:cs="仿宋_GB2312" w:hint="eastAsia"/>
                <w:color w:val="000000"/>
                <w:kern w:val="0"/>
                <w:sz w:val="20"/>
                <w:szCs w:val="20"/>
              </w:rPr>
              <w:t>相关村</w:t>
            </w:r>
            <w:proofErr w:type="gramEnd"/>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2.3.2</w:t>
            </w:r>
            <w:r>
              <w:rPr>
                <w:rFonts w:ascii="仿宋_GB2312" w:hAnsi="宋体" w:cs="仿宋_GB2312" w:hint="eastAsia"/>
                <w:color w:val="000000"/>
                <w:kern w:val="0"/>
                <w:sz w:val="20"/>
                <w:szCs w:val="20"/>
              </w:rPr>
              <w:t>、住院病人及其陪护家属相关健康知识知晓</w:t>
            </w:r>
            <w:r>
              <w:rPr>
                <w:rFonts w:ascii="仿宋_GB2312" w:hAnsi="宋体" w:cs="仿宋_GB2312" w:hint="eastAsia"/>
                <w:color w:val="000000"/>
                <w:kern w:val="0"/>
                <w:sz w:val="20"/>
                <w:szCs w:val="20"/>
              </w:rPr>
              <w:lastRenderedPageBreak/>
              <w:t>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lastRenderedPageBreak/>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61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镇、社区（村）、卫生院（室）以《中国公民健康素养—基本知识与技能》为主要内容，按照《亿万农民健康促进行动规划》开展多种形式的健康教育活动，举办卫生知识讲座，向社区居民传播健康知识。居民健康基本知识知晓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，健康生活方式与行为形成率≥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，基本技能掌握率≥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2.4.1</w:t>
            </w:r>
            <w:r>
              <w:rPr>
                <w:rFonts w:ascii="仿宋_GB2312" w:hAnsi="宋体" w:cs="仿宋_GB2312" w:hint="eastAsia"/>
                <w:color w:val="000000"/>
                <w:kern w:val="0"/>
                <w:sz w:val="20"/>
                <w:szCs w:val="20"/>
              </w:rPr>
              <w:t>、专题讲座开展情况及影像资料。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2.4.2</w:t>
            </w:r>
            <w:r>
              <w:rPr>
                <w:rFonts w:ascii="仿宋_GB2312" w:hAnsi="宋体" w:cs="仿宋_GB2312" w:hint="eastAsia"/>
                <w:color w:val="000000"/>
                <w:kern w:val="0"/>
                <w:sz w:val="20"/>
                <w:szCs w:val="20"/>
              </w:rPr>
              <w:t>、居民健康基本知识知晓率≥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，健康生活方式与行为形成率≥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，基本技能掌握率≥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r>
      <w:tr w:rsidR="00E2200D">
        <w:trPr>
          <w:trHeight w:val="1486"/>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16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（五）各行业结合单位特点开展有关职业病防治、疾病预防、卫生保健、控烟、心理健康和伤害预防等方面的健康教育活动</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职工相关卫生知识知晓率≥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2.5.1</w:t>
            </w:r>
            <w:r>
              <w:rPr>
                <w:rFonts w:ascii="仿宋_GB2312" w:hAnsi="宋体" w:cs="仿宋_GB2312" w:hint="eastAsia"/>
                <w:color w:val="000000"/>
                <w:kern w:val="0"/>
                <w:sz w:val="20"/>
                <w:szCs w:val="20"/>
              </w:rPr>
              <w:t>、职业病防治、伤害预防、工作计划、总结、影像资料。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安全科</w:t>
            </w:r>
          </w:p>
        </w:tc>
      </w:tr>
      <w:tr w:rsidR="00E2200D">
        <w:trPr>
          <w:trHeight w:val="98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2.5.2</w:t>
            </w:r>
            <w:r>
              <w:rPr>
                <w:rFonts w:ascii="仿宋_GB2312" w:hAnsi="宋体" w:cs="仿宋_GB2312" w:hint="eastAsia"/>
                <w:color w:val="000000"/>
                <w:kern w:val="0"/>
                <w:sz w:val="20"/>
                <w:szCs w:val="20"/>
              </w:rPr>
              <w:t>、开展疾病预防、卫生保健、心理健康等活动的总结与影像资料。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2.5.3</w:t>
            </w:r>
            <w:r>
              <w:rPr>
                <w:rFonts w:ascii="仿宋_GB2312" w:hAnsi="宋体" w:cs="仿宋_GB2312" w:hint="eastAsia"/>
                <w:color w:val="000000"/>
                <w:kern w:val="0"/>
                <w:sz w:val="20"/>
                <w:szCs w:val="20"/>
              </w:rPr>
              <w:t>、企业控烟工作开展情况、检查记录。</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r>
      <w:tr w:rsidR="00E2200D">
        <w:trPr>
          <w:trHeight w:val="106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（六）各类公共场所和</w:t>
            </w:r>
            <w:proofErr w:type="gramStart"/>
            <w:r>
              <w:rPr>
                <w:rFonts w:ascii="仿宋_GB2312" w:hAnsi="宋体" w:cs="仿宋_GB2312" w:hint="eastAsia"/>
                <w:color w:val="000000"/>
                <w:kern w:val="0"/>
                <w:sz w:val="20"/>
                <w:szCs w:val="20"/>
              </w:rPr>
              <w:t>各传播</w:t>
            </w:r>
            <w:proofErr w:type="gramEnd"/>
            <w:r>
              <w:rPr>
                <w:rFonts w:ascii="仿宋_GB2312" w:hAnsi="宋体" w:cs="仿宋_GB2312" w:hint="eastAsia"/>
                <w:color w:val="000000"/>
                <w:kern w:val="0"/>
                <w:sz w:val="20"/>
                <w:szCs w:val="20"/>
              </w:rPr>
              <w:t>媒体设立健康教育宣传平台，能紧密结合卫生防病工作和广大群众普遍关心的卫生热点问题，开展形式多样的卫生知识宣传和健康教育</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倡导健康生活方式，对卫生创建活动进行正确的舆论引导。</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2.6.1</w:t>
            </w:r>
            <w:r>
              <w:rPr>
                <w:rFonts w:ascii="仿宋_GB2312" w:hAnsi="宋体" w:cs="仿宋_GB2312" w:hint="eastAsia"/>
                <w:color w:val="000000"/>
                <w:kern w:val="0"/>
                <w:sz w:val="20"/>
                <w:szCs w:val="20"/>
              </w:rPr>
              <w:t>、通过报纸、网站、广播等镇级媒体开展健康教育宣传的资料。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文体中心</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r>
      <w:tr w:rsidR="00E2200D">
        <w:trPr>
          <w:trHeight w:val="6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（七）积极开展控烟工作，无烟草广告，公共场所设有禁</w:t>
            </w:r>
            <w:r>
              <w:rPr>
                <w:rFonts w:ascii="仿宋_GB2312" w:hAnsi="宋体" w:cs="仿宋_GB2312" w:hint="eastAsia"/>
                <w:color w:val="000000"/>
                <w:kern w:val="0"/>
                <w:sz w:val="20"/>
                <w:szCs w:val="20"/>
              </w:rPr>
              <w:lastRenderedPageBreak/>
              <w:t>烟标志并监督落实。</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lastRenderedPageBreak/>
              <w:t>2.7.1</w:t>
            </w:r>
            <w:r>
              <w:rPr>
                <w:rFonts w:ascii="仿宋_GB2312" w:hAnsi="宋体" w:cs="仿宋_GB2312" w:hint="eastAsia"/>
                <w:color w:val="000000"/>
                <w:kern w:val="0"/>
                <w:sz w:val="20"/>
                <w:szCs w:val="20"/>
              </w:rPr>
              <w:t>、公共场所禁烟标志设立情况。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2.7.2</w:t>
            </w:r>
            <w:r>
              <w:rPr>
                <w:rFonts w:ascii="仿宋_GB2312" w:hAnsi="宋体" w:cs="仿宋_GB2312" w:hint="eastAsia"/>
                <w:color w:val="000000"/>
                <w:kern w:val="0"/>
                <w:sz w:val="20"/>
                <w:szCs w:val="20"/>
              </w:rPr>
              <w:t>、公共场所禁烟标志监督检查情况。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r>
      <w:tr w:rsidR="00E2200D">
        <w:trPr>
          <w:trHeight w:val="47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三、环境卫生</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（一）各项建设符合规划实施要求，路网体系完善，道路路面平整完好。排水设施完好、畅通，污水暗管（沟）排放，县城下水道管网覆盖率≥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，乡镇下水道管网覆盖率≥</w:t>
            </w:r>
            <w:r>
              <w:rPr>
                <w:rFonts w:ascii="仿宋_GB2312" w:hAnsi="宋体" w:cs="仿宋_GB2312" w:hint="eastAsia"/>
                <w:color w:val="000000"/>
                <w:kern w:val="0"/>
                <w:sz w:val="20"/>
                <w:szCs w:val="20"/>
              </w:rPr>
              <w:t>60%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3.1.1</w:t>
            </w:r>
            <w:r>
              <w:rPr>
                <w:rFonts w:ascii="仿宋_GB2312" w:hAnsi="宋体" w:cs="仿宋_GB2312" w:hint="eastAsia"/>
                <w:color w:val="000000"/>
                <w:kern w:val="0"/>
                <w:sz w:val="20"/>
                <w:szCs w:val="20"/>
              </w:rPr>
              <w:t>、各项建设符合规划实施要求。</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规划科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268"/>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3.1.2</w:t>
            </w:r>
            <w:r>
              <w:rPr>
                <w:rFonts w:ascii="仿宋_GB2312" w:hAnsi="宋体" w:cs="仿宋_GB2312" w:hint="eastAsia"/>
                <w:color w:val="000000"/>
                <w:kern w:val="0"/>
                <w:sz w:val="20"/>
                <w:szCs w:val="20"/>
              </w:rPr>
              <w:t>、路网体系完善、路面平整完好。</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87"/>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3.1.3</w:t>
            </w:r>
            <w:r>
              <w:rPr>
                <w:rFonts w:ascii="仿宋_GB2312" w:hAnsi="宋体" w:cs="仿宋_GB2312" w:hint="eastAsia"/>
                <w:color w:val="000000"/>
                <w:kern w:val="0"/>
                <w:sz w:val="20"/>
                <w:szCs w:val="20"/>
              </w:rPr>
              <w:t>、排水设施完好、畅通。</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污水处理厂</w:t>
            </w:r>
          </w:p>
        </w:tc>
      </w:tr>
      <w:tr w:rsidR="00E2200D">
        <w:trPr>
          <w:trHeight w:val="21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3.1.4</w:t>
            </w:r>
            <w:r>
              <w:rPr>
                <w:rFonts w:ascii="仿宋_GB2312" w:hAnsi="宋体" w:cs="仿宋_GB2312" w:hint="eastAsia"/>
                <w:color w:val="000000"/>
                <w:kern w:val="0"/>
                <w:sz w:val="20"/>
                <w:szCs w:val="20"/>
              </w:rPr>
              <w:t>、建成区下水道管网覆盖率≥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污水处理厂</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（二）公共厕所、垃圾桶（废物箱）、垃圾收集站（点）、垃圾转运站等环卫设施符合《城镇环境卫生设施设置标准》要求，布局合理、数量足够，管理规范、清洁卫生，建成区无旱厕。</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3.2.1</w:t>
            </w:r>
            <w:r>
              <w:rPr>
                <w:rFonts w:ascii="仿宋_GB2312" w:hAnsi="宋体" w:cs="仿宋_GB2312" w:hint="eastAsia"/>
                <w:color w:val="000000"/>
                <w:kern w:val="0"/>
                <w:sz w:val="20"/>
                <w:szCs w:val="20"/>
              </w:rPr>
              <w:t>、公共厕所、垃圾桶（箱）、垃圾收集站（点）、垃圾转运站等环卫设施布局、数量、管理办法。</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垃圾处理中心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3.2.2</w:t>
            </w:r>
            <w:r>
              <w:rPr>
                <w:rFonts w:ascii="仿宋_GB2312" w:hAnsi="宋体" w:cs="仿宋_GB2312" w:hint="eastAsia"/>
                <w:color w:val="000000"/>
                <w:kern w:val="0"/>
                <w:sz w:val="20"/>
                <w:szCs w:val="20"/>
              </w:rPr>
              <w:t>、公共厕所、垃圾桶（箱）、垃圾收集站（点）、垃圾转运站等环卫设施符合《城镇环境卫生设施设置标准》要求。</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垃圾处理中心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3.2.3</w:t>
            </w:r>
            <w:r>
              <w:rPr>
                <w:rFonts w:ascii="仿宋_GB2312" w:hAnsi="宋体" w:cs="仿宋_GB2312" w:hint="eastAsia"/>
                <w:color w:val="000000"/>
                <w:kern w:val="0"/>
                <w:sz w:val="20"/>
                <w:szCs w:val="20"/>
              </w:rPr>
              <w:t>、无私建旱厕。</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02"/>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3.2.4</w:t>
            </w:r>
            <w:r>
              <w:rPr>
                <w:rFonts w:ascii="仿宋_GB2312" w:hAnsi="宋体" w:cs="仿宋_GB2312" w:hint="eastAsia"/>
                <w:color w:val="000000"/>
                <w:kern w:val="0"/>
                <w:sz w:val="20"/>
                <w:szCs w:val="20"/>
              </w:rPr>
              <w:t>、无公共旱厕。</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（三）清扫保洁垃圾收集运输有专门队伍，主要街道保洁县城不低于</w:t>
            </w:r>
            <w:r>
              <w:rPr>
                <w:rFonts w:ascii="仿宋_GB2312" w:hAnsi="宋体" w:cs="仿宋_GB2312" w:hint="eastAsia"/>
                <w:color w:val="000000"/>
                <w:kern w:val="0"/>
                <w:sz w:val="20"/>
                <w:szCs w:val="20"/>
              </w:rPr>
              <w:t>12</w:t>
            </w:r>
            <w:r>
              <w:rPr>
                <w:rFonts w:ascii="仿宋_GB2312" w:hAnsi="宋体" w:cs="仿宋_GB2312" w:hint="eastAsia"/>
                <w:color w:val="000000"/>
                <w:kern w:val="0"/>
                <w:sz w:val="20"/>
                <w:szCs w:val="20"/>
              </w:rPr>
              <w:t>小时、乡镇不低于</w:t>
            </w:r>
            <w:r>
              <w:rPr>
                <w:rFonts w:ascii="仿宋_GB2312" w:hAnsi="宋体" w:cs="仿宋_GB2312" w:hint="eastAsia"/>
                <w:color w:val="000000"/>
                <w:kern w:val="0"/>
                <w:sz w:val="20"/>
                <w:szCs w:val="20"/>
              </w:rPr>
              <w:t>8</w:t>
            </w:r>
            <w:r>
              <w:rPr>
                <w:rFonts w:ascii="仿宋_GB2312" w:hAnsi="宋体" w:cs="仿宋_GB2312" w:hint="eastAsia"/>
                <w:color w:val="000000"/>
                <w:kern w:val="0"/>
                <w:sz w:val="20"/>
                <w:szCs w:val="20"/>
              </w:rPr>
              <w:t>小时。乡镇建成区内垃圾容器化覆盖率≥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，垃圾日产日清，密闭储存清运，密闭清运率达到</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3.3.1</w:t>
            </w:r>
            <w:r>
              <w:rPr>
                <w:rFonts w:ascii="仿宋_GB2312" w:hAnsi="宋体" w:cs="仿宋_GB2312" w:hint="eastAsia"/>
                <w:color w:val="000000"/>
                <w:kern w:val="0"/>
                <w:sz w:val="20"/>
                <w:szCs w:val="20"/>
              </w:rPr>
              <w:t>、清扫保洁垃圾收集队伍人员配备情况，管理办法。</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垃圾处理中心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 xml:space="preserve">           </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3.3.2</w:t>
            </w:r>
            <w:r>
              <w:rPr>
                <w:rFonts w:ascii="仿宋_GB2312" w:hAnsi="宋体" w:cs="仿宋_GB2312" w:hint="eastAsia"/>
                <w:color w:val="000000"/>
                <w:kern w:val="0"/>
                <w:sz w:val="20"/>
                <w:szCs w:val="20"/>
              </w:rPr>
              <w:t>、建成区内垃圾容器化覆盖率≥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，垃圾日产日清，密闭储存清运，密闭清运率达到</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垃圾处理中心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0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（四）建成区生活垃圾、粪便无害化处理场建设、管理和污染防治符合国家有关法律、法规及标准要求，生活垃圾和粪便无害化处理率≥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，污水处理厂污泥得到妥善处理，不产生二次污染。</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3.4.1</w:t>
            </w:r>
            <w:r>
              <w:rPr>
                <w:rFonts w:ascii="仿宋_GB2312" w:hAnsi="宋体" w:cs="仿宋_GB2312" w:hint="eastAsia"/>
                <w:color w:val="000000"/>
                <w:kern w:val="0"/>
                <w:sz w:val="20"/>
                <w:szCs w:val="20"/>
              </w:rPr>
              <w:t>、建成区生活垃圾、粪便无害化处理场建设、管理和污染防治符合国家有关法律、法规及标准要求，生活垃圾和粪便无害化处理率≥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垃圾处理中心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3.4.2</w:t>
            </w:r>
            <w:r>
              <w:rPr>
                <w:rFonts w:ascii="仿宋_GB2312" w:hAnsi="宋体" w:cs="仿宋_GB2312" w:hint="eastAsia"/>
                <w:color w:val="000000"/>
                <w:kern w:val="0"/>
                <w:sz w:val="20"/>
                <w:szCs w:val="20"/>
              </w:rPr>
              <w:t>、污水处理厂污泥得到妥善处理，不产生二次污染。</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污水处理厂</w:t>
            </w:r>
          </w:p>
        </w:tc>
      </w:tr>
      <w:tr w:rsidR="00E2200D">
        <w:trPr>
          <w:trHeight w:val="40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（五）卫生责任制落实，镇容美观有序，无乱搭乱建、乱贴乱画、乱摆摊点现象。集贸市场卫生设施完善，功能分区合理，活禽售卖、宰杀设置相对独立的区域，管理良好。</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3.5.1</w:t>
            </w:r>
            <w:r>
              <w:rPr>
                <w:rFonts w:ascii="仿宋_GB2312" w:hAnsi="宋体" w:cs="仿宋_GB2312" w:hint="eastAsia"/>
                <w:color w:val="000000"/>
                <w:kern w:val="0"/>
                <w:sz w:val="20"/>
                <w:szCs w:val="20"/>
              </w:rPr>
              <w:t>、卫生责任制落实。</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3.5.2</w:t>
            </w:r>
            <w:r>
              <w:rPr>
                <w:rFonts w:ascii="仿宋_GB2312" w:hAnsi="宋体" w:cs="仿宋_GB2312" w:hint="eastAsia"/>
                <w:color w:val="000000"/>
                <w:kern w:val="0"/>
                <w:sz w:val="20"/>
                <w:szCs w:val="20"/>
              </w:rPr>
              <w:t>、镇容美观有序，无乱搭乱建、乱贴乱画、乱摆摊点现象。</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城管分队</w:t>
            </w:r>
            <w:r>
              <w:rPr>
                <w:rFonts w:ascii="仿宋_GB2312" w:hAnsi="宋体" w:cs="仿宋_GB2312" w:hint="eastAsia"/>
                <w:color w:val="000000"/>
                <w:kern w:val="0"/>
                <w:sz w:val="20"/>
                <w:szCs w:val="20"/>
              </w:rPr>
              <w:t>、</w:t>
            </w: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工商所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r>
              <w:rPr>
                <w:rFonts w:ascii="仿宋_GB2312" w:hAnsi="宋体" w:cs="仿宋_GB2312" w:hint="eastAsia"/>
                <w:color w:val="000000"/>
                <w:kern w:val="0"/>
                <w:sz w:val="20"/>
                <w:szCs w:val="20"/>
              </w:rPr>
              <w:t xml:space="preserve">  </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3.5.3</w:t>
            </w:r>
            <w:r>
              <w:rPr>
                <w:rFonts w:ascii="仿宋_GB2312" w:hAnsi="宋体" w:cs="仿宋_GB2312" w:hint="eastAsia"/>
                <w:color w:val="000000"/>
                <w:kern w:val="0"/>
                <w:sz w:val="20"/>
                <w:szCs w:val="20"/>
              </w:rPr>
              <w:t>、集贸市场卫生设施完善，功能分区合理，活禽售卖、宰杀设置相对独立的区域，管理良好。</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城管分队</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工商所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动物防疫站</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和</w:t>
            </w:r>
            <w:r>
              <w:rPr>
                <w:rFonts w:ascii="仿宋_GB2312" w:hAnsi="宋体" w:cs="仿宋_GB2312" w:hint="eastAsia"/>
                <w:color w:val="000000"/>
                <w:kern w:val="0"/>
                <w:sz w:val="20"/>
                <w:szCs w:val="20"/>
              </w:rPr>
              <w:t>社区</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09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（六）建筑工地管理符合《建筑施工现场环境与卫生标准》要求，建筑物料、施工泥土不得影响道路通畅和环境卫生，工地噪声不影响居民日常生活。</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3.6.1</w:t>
            </w:r>
            <w:r>
              <w:rPr>
                <w:rFonts w:ascii="仿宋_GB2312" w:hAnsi="宋体" w:cs="仿宋_GB2312" w:hint="eastAsia"/>
                <w:color w:val="000000"/>
                <w:kern w:val="0"/>
                <w:sz w:val="20"/>
                <w:szCs w:val="20"/>
              </w:rPr>
              <w:t>、建筑工地管理符合《建筑施工现场环境与卫生标准》要求，建筑物料、施工泥土不得影响道路通畅和环境卫生，工地噪声不影响居民日常生活。</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城管分队</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proofErr w:type="gramStart"/>
            <w:r>
              <w:rPr>
                <w:rFonts w:ascii="仿宋_GB2312" w:hAnsi="宋体" w:cs="仿宋_GB2312" w:hint="eastAsia"/>
                <w:color w:val="000000"/>
                <w:kern w:val="0"/>
                <w:sz w:val="20"/>
                <w:szCs w:val="20"/>
              </w:rPr>
              <w:t>环整办</w:t>
            </w:r>
            <w:proofErr w:type="gramEnd"/>
          </w:p>
        </w:tc>
      </w:tr>
      <w:tr w:rsidR="00E2200D">
        <w:trPr>
          <w:trHeight w:val="68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（七）河道、湖泊等水体的水面清洁，无漂浮垃圾。岸坡整洁，无垃圾杂物。</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3.7.1</w:t>
            </w:r>
            <w:r>
              <w:rPr>
                <w:rFonts w:ascii="仿宋_GB2312" w:hAnsi="宋体" w:cs="仿宋_GB2312" w:hint="eastAsia"/>
                <w:color w:val="000000"/>
                <w:kern w:val="0"/>
                <w:sz w:val="20"/>
                <w:szCs w:val="20"/>
              </w:rPr>
              <w:t>、水体的水面清洁，无漂浮垃圾。岸坡整洁，无垃圾杂物。</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35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（八）建成区绿化符合要求，公共绿地养护良好，绿化覆</w:t>
            </w:r>
            <w:r>
              <w:rPr>
                <w:rFonts w:ascii="仿宋_GB2312" w:hAnsi="宋体" w:cs="仿宋_GB2312" w:hint="eastAsia"/>
                <w:color w:val="000000"/>
                <w:kern w:val="0"/>
                <w:sz w:val="20"/>
                <w:szCs w:val="20"/>
              </w:rPr>
              <w:lastRenderedPageBreak/>
              <w:t>盖率≥</w:t>
            </w:r>
            <w:r>
              <w:rPr>
                <w:rFonts w:ascii="仿宋_GB2312" w:hAnsi="宋体" w:cs="仿宋_GB2312" w:hint="eastAsia"/>
                <w:color w:val="000000"/>
                <w:kern w:val="0"/>
                <w:sz w:val="20"/>
                <w:szCs w:val="20"/>
              </w:rPr>
              <w:t>30%</w:t>
            </w:r>
            <w:r>
              <w:rPr>
                <w:rFonts w:ascii="仿宋_GB2312" w:hAnsi="宋体" w:cs="仿宋_GB2312" w:hint="eastAsia"/>
                <w:color w:val="000000"/>
                <w:kern w:val="0"/>
                <w:sz w:val="20"/>
                <w:szCs w:val="20"/>
              </w:rPr>
              <w:t>，路灯亮灯率≥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lastRenderedPageBreak/>
              <w:t>3.8.1</w:t>
            </w:r>
            <w:r>
              <w:rPr>
                <w:rFonts w:ascii="仿宋_GB2312" w:hAnsi="宋体" w:cs="仿宋_GB2312" w:hint="eastAsia"/>
                <w:color w:val="000000"/>
                <w:kern w:val="0"/>
                <w:sz w:val="20"/>
                <w:szCs w:val="20"/>
              </w:rPr>
              <w:t>、建成区绿化符合要求，公共绿地养护良好，</w:t>
            </w:r>
            <w:r>
              <w:rPr>
                <w:rFonts w:ascii="仿宋_GB2312" w:hAnsi="宋体" w:cs="仿宋_GB2312" w:hint="eastAsia"/>
                <w:color w:val="000000"/>
                <w:kern w:val="0"/>
                <w:sz w:val="20"/>
                <w:szCs w:val="20"/>
              </w:rPr>
              <w:lastRenderedPageBreak/>
              <w:t>绿化覆盖率≥</w:t>
            </w:r>
            <w:r>
              <w:rPr>
                <w:rFonts w:ascii="仿宋_GB2312" w:hAnsi="宋体" w:cs="仿宋_GB2312" w:hint="eastAsia"/>
                <w:color w:val="000000"/>
                <w:kern w:val="0"/>
                <w:sz w:val="20"/>
                <w:szCs w:val="20"/>
              </w:rPr>
              <w:t>30%</w:t>
            </w:r>
            <w:r>
              <w:rPr>
                <w:rFonts w:ascii="仿宋_GB2312" w:hAnsi="宋体" w:cs="仿宋_GB2312" w:hint="eastAsia"/>
                <w:color w:val="000000"/>
                <w:kern w:val="0"/>
                <w:sz w:val="20"/>
                <w:szCs w:val="20"/>
              </w:rPr>
              <w:t>，路灯亮灯率≥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lastRenderedPageBreak/>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林业站</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绿化公司</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lastRenderedPageBreak/>
              <w:t>新农村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（九）建成区内禁止放养家禽家畜，饲养宠物符合有关规定，不得影响镇容环境卫生和周围居民正常生活。</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3.9.1</w:t>
            </w:r>
            <w:r>
              <w:rPr>
                <w:rFonts w:ascii="仿宋_GB2312" w:hAnsi="宋体" w:cs="仿宋_GB2312" w:hint="eastAsia"/>
                <w:color w:val="000000"/>
                <w:kern w:val="0"/>
                <w:sz w:val="20"/>
                <w:szCs w:val="20"/>
              </w:rPr>
              <w:t>、建成区内禁止放养家禽家畜，饲养宠物符合有关规定，不得影响镇容环境卫生和周围居民正常生活。</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四、环境保护</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建立了环境保护工作机制，按照国家有关规定编制了环境规划并经县级人大或政府批准后实施，完成上级政府下达的主要污染物减排任务。认真贯彻执行环境保护政策和法律法规，根据《国家突发环境事件应急预案》，近</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年内未发生较大（Ⅲ级）以上级别环境污染事件。</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4.1.1</w:t>
            </w:r>
            <w:r>
              <w:rPr>
                <w:rFonts w:ascii="仿宋_GB2312" w:hAnsi="宋体" w:cs="仿宋_GB2312" w:hint="eastAsia"/>
                <w:color w:val="000000"/>
                <w:kern w:val="0"/>
                <w:sz w:val="20"/>
                <w:szCs w:val="20"/>
              </w:rPr>
              <w:t>、建立了环境保护工作机制。</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4.1.2</w:t>
            </w:r>
            <w:r>
              <w:rPr>
                <w:rFonts w:ascii="仿宋_GB2312" w:hAnsi="宋体" w:cs="仿宋_GB2312" w:hint="eastAsia"/>
                <w:color w:val="000000"/>
                <w:kern w:val="0"/>
                <w:sz w:val="20"/>
                <w:szCs w:val="20"/>
              </w:rPr>
              <w:t>、按照国家有关规定编制了环境规划并实施。</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67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4.1.3</w:t>
            </w:r>
            <w:r>
              <w:rPr>
                <w:rFonts w:ascii="仿宋_GB2312" w:hAnsi="宋体" w:cs="仿宋_GB2312" w:hint="eastAsia"/>
                <w:color w:val="000000"/>
                <w:kern w:val="0"/>
                <w:sz w:val="20"/>
                <w:szCs w:val="20"/>
              </w:rPr>
              <w:t>、完成上级政府下达的主要污染物减排任务。</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4.1.4</w:t>
            </w:r>
            <w:r>
              <w:rPr>
                <w:rFonts w:ascii="仿宋_GB2312" w:hAnsi="宋体" w:cs="仿宋_GB2312" w:hint="eastAsia"/>
                <w:color w:val="000000"/>
                <w:kern w:val="0"/>
                <w:sz w:val="20"/>
                <w:szCs w:val="20"/>
              </w:rPr>
              <w:t>、近</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年内未发生较大（Ⅲ级）以上级别环境污染事件。</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（二）水环境质量、空气环境质量、声环境质量达到环境功能区或环境规划要求。集中式饮用水水源地水质达标率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4.2.1</w:t>
            </w:r>
            <w:r>
              <w:rPr>
                <w:rFonts w:ascii="仿宋_GB2312" w:hAnsi="宋体" w:cs="仿宋_GB2312" w:hint="eastAsia"/>
                <w:color w:val="000000"/>
                <w:kern w:val="0"/>
                <w:sz w:val="20"/>
                <w:szCs w:val="20"/>
              </w:rPr>
              <w:t>、水环境质量、空气环境质量、声环境质量达到环境功能区或环境规划要求。</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r>
              <w:rPr>
                <w:rFonts w:ascii="仿宋_GB2312" w:hAnsi="宋体" w:cs="仿宋_GB2312" w:hint="eastAsia"/>
                <w:color w:val="000000"/>
                <w:kern w:val="0"/>
                <w:sz w:val="20"/>
                <w:szCs w:val="20"/>
              </w:rPr>
              <w:t xml:space="preserve">  </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r>
      <w:tr w:rsidR="00E2200D">
        <w:trPr>
          <w:trHeight w:val="40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4.2.2</w:t>
            </w:r>
            <w:r>
              <w:rPr>
                <w:rFonts w:ascii="仿宋_GB2312" w:hAnsi="宋体" w:cs="仿宋_GB2312" w:hint="eastAsia"/>
                <w:color w:val="000000"/>
                <w:kern w:val="0"/>
                <w:sz w:val="20"/>
                <w:szCs w:val="20"/>
              </w:rPr>
              <w:t>、集中式饮用水水源地水质达标率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r>
      <w:tr w:rsidR="00E2200D">
        <w:trPr>
          <w:trHeight w:val="628"/>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（三）重点工业污染源废水、废气达标排放率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。因地制宜，采取集中和分散相结合的方式开展生活污水处理，其中县城要建设集中污水处理设施，东、中、西部乡镇建成区生活污水处理率要分别达到</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75%</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以上。位于水源源头、集中式饮用水水源保护区等需特殊保护地区和易发生水体富营养化的平原河网地区的乡镇，生活污水处理须采取有效的脱氮除磷工艺。</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4.3.1</w:t>
            </w:r>
            <w:r>
              <w:rPr>
                <w:rFonts w:ascii="仿宋_GB2312" w:hAnsi="宋体" w:cs="仿宋_GB2312" w:hint="eastAsia"/>
                <w:color w:val="000000"/>
                <w:kern w:val="0"/>
                <w:sz w:val="20"/>
                <w:szCs w:val="20"/>
              </w:rPr>
              <w:t>、重点工业污染源废水、废气达标排放率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污水处理厂</w:t>
            </w:r>
          </w:p>
        </w:tc>
      </w:tr>
      <w:tr w:rsidR="00E2200D">
        <w:trPr>
          <w:trHeight w:val="9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4.3.2</w:t>
            </w:r>
            <w:r>
              <w:rPr>
                <w:rFonts w:ascii="仿宋_GB2312" w:hAnsi="宋体" w:cs="仿宋_GB2312" w:hint="eastAsia"/>
                <w:color w:val="000000"/>
                <w:kern w:val="0"/>
                <w:sz w:val="20"/>
                <w:szCs w:val="20"/>
              </w:rPr>
              <w:t>、采取集中和分散相结合的方式开展生活污水处理，要建设集中污水处理设施，建成区生活污水处理率要达到</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以上。</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污水处理厂</w:t>
            </w:r>
          </w:p>
        </w:tc>
      </w:tr>
      <w:tr w:rsidR="00E2200D">
        <w:trPr>
          <w:trHeight w:val="5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（四）医疗、危险废弃物按照国家有关规定实现安全贮存和处理，医源性污水排放符合国家标准。</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4.4.1</w:t>
            </w:r>
            <w:r>
              <w:rPr>
                <w:rFonts w:ascii="仿宋_GB2312" w:hAnsi="宋体" w:cs="仿宋_GB2312" w:hint="eastAsia"/>
                <w:color w:val="000000"/>
                <w:kern w:val="0"/>
                <w:sz w:val="20"/>
                <w:szCs w:val="20"/>
              </w:rPr>
              <w:t>、医疗废弃物按照国家有关规定实现安全贮存和处理。</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r>
      <w:tr w:rsidR="00E2200D">
        <w:trPr>
          <w:trHeight w:val="576"/>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4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4.4.2</w:t>
            </w:r>
            <w:r>
              <w:rPr>
                <w:rFonts w:ascii="仿宋_GB2312" w:hAnsi="宋体" w:cs="仿宋_GB2312" w:hint="eastAsia"/>
                <w:color w:val="000000"/>
                <w:kern w:val="0"/>
                <w:sz w:val="20"/>
                <w:szCs w:val="20"/>
              </w:rPr>
              <w:t>、危险废弃物按照国家有关规定实现安全贮存和处理。</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安全科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r>
      <w:tr w:rsidR="00E2200D">
        <w:trPr>
          <w:trHeight w:val="63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4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4.4.3</w:t>
            </w:r>
            <w:r>
              <w:rPr>
                <w:rFonts w:ascii="仿宋_GB2312" w:hAnsi="宋体" w:cs="仿宋_GB2312" w:hint="eastAsia"/>
                <w:color w:val="000000"/>
                <w:kern w:val="0"/>
                <w:sz w:val="20"/>
                <w:szCs w:val="20"/>
              </w:rPr>
              <w:t>、医源性污水排放符合国家标准。</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087"/>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五、病媒生物防治</w:t>
            </w:r>
          </w:p>
        </w:tc>
        <w:tc>
          <w:tcPr>
            <w:tcW w:w="494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（一）认真贯彻落实《病媒生物预防控制管理规定》，坚持以环境治理为主的综合防制方针，防制人员、经费落实，防制措施符合国家有关标准和规范要求，防鼠防蝇设施完善，孳生地得到有效治理。</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5.1.1</w:t>
            </w:r>
            <w:r>
              <w:rPr>
                <w:rFonts w:ascii="仿宋_GB2312" w:hAnsi="宋体" w:cs="仿宋_GB2312" w:hint="eastAsia"/>
                <w:color w:val="000000"/>
                <w:kern w:val="0"/>
                <w:sz w:val="20"/>
                <w:szCs w:val="20"/>
              </w:rPr>
              <w:t>、病媒生物预防控制管理办法、计划、总结、实施过程中的影像资料。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各单位</w:t>
            </w:r>
          </w:p>
        </w:tc>
      </w:tr>
      <w:tr w:rsidR="00E2200D">
        <w:trPr>
          <w:trHeight w:val="593"/>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4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5.1.2</w:t>
            </w:r>
            <w:r>
              <w:rPr>
                <w:rFonts w:ascii="仿宋_GB2312" w:hAnsi="宋体" w:cs="仿宋_GB2312" w:hint="eastAsia"/>
                <w:color w:val="000000"/>
                <w:kern w:val="0"/>
                <w:sz w:val="20"/>
                <w:szCs w:val="20"/>
              </w:rPr>
              <w:t>、防制人员、经费落实情况。</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648"/>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4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5.1.3</w:t>
            </w:r>
            <w:r>
              <w:rPr>
                <w:rFonts w:ascii="仿宋_GB2312" w:hAnsi="宋体" w:cs="仿宋_GB2312" w:hint="eastAsia"/>
                <w:color w:val="000000"/>
                <w:kern w:val="0"/>
                <w:sz w:val="20"/>
                <w:szCs w:val="20"/>
              </w:rPr>
              <w:t>、防鼠防蝇设施及孳生地治理情况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76"/>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（二）在化学防制中，注重科学合理用药，不使用国家禁用的药物。</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5.2.1</w:t>
            </w:r>
            <w:r>
              <w:rPr>
                <w:rFonts w:ascii="仿宋_GB2312" w:hAnsi="宋体" w:cs="仿宋_GB2312" w:hint="eastAsia"/>
                <w:color w:val="000000"/>
                <w:kern w:val="0"/>
                <w:sz w:val="20"/>
                <w:szCs w:val="20"/>
              </w:rPr>
              <w:t>、化学防制相关制度、用药记录、影像资料。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各单位</w:t>
            </w:r>
          </w:p>
        </w:tc>
      </w:tr>
      <w:tr w:rsidR="00E2200D">
        <w:trPr>
          <w:trHeight w:val="481"/>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（三）积极开展病媒生物监测工作，监测方法规范，数据可靠，能够基本反映病媒生物危害的现状。</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5.3.1</w:t>
            </w:r>
            <w:r>
              <w:rPr>
                <w:rFonts w:ascii="仿宋_GB2312" w:hAnsi="宋体" w:cs="仿宋_GB2312" w:hint="eastAsia"/>
                <w:color w:val="000000"/>
                <w:kern w:val="0"/>
                <w:sz w:val="20"/>
                <w:szCs w:val="20"/>
              </w:rPr>
              <w:t>、病媒生物监测记录、数据、影像资料。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995"/>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（四）通过综合防制</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鼠、蚊、蝇、蟑螂等病媒生物得到有效控制。其中，鼠密度达到国家规定的标准，蚊、蝇、蟑螂密度至少有一项达到国家规定的标准，其他项不超过标准的</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倍。</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5.4.1</w:t>
            </w:r>
            <w:r>
              <w:rPr>
                <w:rFonts w:ascii="仿宋_GB2312" w:hAnsi="宋体" w:cs="仿宋_GB2312" w:hint="eastAsia"/>
                <w:color w:val="000000"/>
                <w:kern w:val="0"/>
                <w:sz w:val="20"/>
                <w:szCs w:val="20"/>
              </w:rPr>
              <w:t>、鼠、蚊、蝇、蟑螂等病媒生物得到有效控制。其中，鼠密度达到国家规定的标准，蚊、蝇、蟑螂密度至少有一项达到国家规定的标准，其他项不超过标准的</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倍。</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9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lastRenderedPageBreak/>
              <w:t>六、食品安全、生活饮用水及公共场所卫生</w:t>
            </w: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（一）认真贯彻《中华人民共和国食品安全法》、《中华人民共和国职业病防治法》、《公共场所卫生管理条例》等法律法规，监督监测与技术指导规范、资料齐全。连续</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年内未发生重大食品安全事故、饮用水污染事故、职业危害事故。</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6.1.1</w:t>
            </w:r>
            <w:r>
              <w:rPr>
                <w:rFonts w:ascii="仿宋_GB2312" w:hAnsi="宋体" w:cs="仿宋_GB2312" w:hint="eastAsia"/>
                <w:color w:val="000000"/>
                <w:kern w:val="0"/>
                <w:sz w:val="20"/>
                <w:szCs w:val="20"/>
              </w:rPr>
              <w:t>、认真贯彻《中华人民共和国食品安全法》、《中华人民共和国职业病防治法》、《公共场所卫生管理条例》等法律法规，监督监测与技术指导规范、资料齐全。</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卫生监督站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卫生院</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4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4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6.1.2</w:t>
            </w:r>
            <w:r>
              <w:rPr>
                <w:rFonts w:ascii="仿宋_GB2312" w:hAnsi="宋体" w:cs="仿宋_GB2312" w:hint="eastAsia"/>
                <w:color w:val="000000"/>
                <w:kern w:val="0"/>
                <w:sz w:val="20"/>
                <w:szCs w:val="20"/>
              </w:rPr>
              <w:t>、连续</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年内未发生重大食品安全事故、饮用水污染事故、职业危害事故。</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卫生监督站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卫生院</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食品生产经营单位、集中供水单位及公共场所经营单位具有有效许可证，卫生安全管理制度健全，生产经营条件、操作过程符合相应法规规范要求。从业人员持有效健康证、具备相应岗位的基本卫生知识并掌握卫生安全操作规程。</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6.2.1</w:t>
            </w:r>
            <w:r>
              <w:rPr>
                <w:rFonts w:ascii="仿宋_GB2312" w:hAnsi="宋体" w:cs="仿宋_GB2312" w:hint="eastAsia"/>
                <w:color w:val="000000"/>
                <w:kern w:val="0"/>
                <w:sz w:val="20"/>
                <w:szCs w:val="20"/>
              </w:rPr>
              <w:t>、食品生产经营单位、集中供水单位及公共场所经营单位具有有效许可证，卫生安全管理制度健全，生产经营条件、操作过程符合相应法规规范要求。</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工商所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卫生监督站</w:t>
            </w:r>
          </w:p>
        </w:tc>
      </w:tr>
      <w:tr w:rsidR="00E2200D">
        <w:trPr>
          <w:trHeight w:val="951"/>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6.2.2</w:t>
            </w:r>
            <w:r>
              <w:rPr>
                <w:rFonts w:ascii="仿宋_GB2312" w:hAnsi="宋体" w:cs="仿宋_GB2312" w:hint="eastAsia"/>
                <w:color w:val="000000"/>
                <w:kern w:val="0"/>
                <w:sz w:val="20"/>
                <w:szCs w:val="20"/>
              </w:rPr>
              <w:t>、从业人员持有效健康证、具备相应岗位的基本卫生知识并掌握卫生安全操作规程。</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（三）食品生产单位不采购和使用不符合食品安全标准的食品原料、食品添加剂、食品相关产品，在生产过程中按照规定使用食品添加剂，无违法添加非食用物质的现象。</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6.3.1</w:t>
            </w:r>
            <w:r>
              <w:rPr>
                <w:rFonts w:ascii="仿宋_GB2312" w:hAnsi="宋体" w:cs="仿宋_GB2312" w:hint="eastAsia"/>
                <w:color w:val="000000"/>
                <w:kern w:val="0"/>
                <w:sz w:val="20"/>
                <w:szCs w:val="20"/>
              </w:rPr>
              <w:t>、食品生产单位不采购和使用不符合食品安全标准的食品原料、食品添加剂、食品相关产品，在生产过程中按照规定使用食品添加剂，无违法添加非食用物质的现象。</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工商所</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（四）集中式供水和二次供水单位管理规范，自身检测和卫生监督机构监督、监测资料齐全。集中式供水出厂水、管网末梢水和二次供水的水质符合《生活饮用水卫生标准》。</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6.4.1</w:t>
            </w:r>
            <w:r>
              <w:rPr>
                <w:rFonts w:ascii="仿宋_GB2312" w:hAnsi="宋体" w:cs="仿宋_GB2312" w:hint="eastAsia"/>
                <w:color w:val="000000"/>
                <w:kern w:val="0"/>
                <w:sz w:val="20"/>
                <w:szCs w:val="20"/>
              </w:rPr>
              <w:t>、集中式供水和二次供水单位管理规范，自身检测和卫生监督机构监督、监测资料齐全。</w:t>
            </w:r>
          </w:p>
        </w:tc>
        <w:tc>
          <w:tcPr>
            <w:tcW w:w="1491" w:type="dxa"/>
            <w:tcBorders>
              <w:top w:val="nil"/>
              <w:left w:val="nil"/>
              <w:bottom w:val="nil"/>
              <w:right w:val="nil"/>
            </w:tcBorders>
            <w:tcMar>
              <w:top w:w="15" w:type="dxa"/>
              <w:left w:w="15" w:type="dxa"/>
              <w:right w:w="15" w:type="dxa"/>
            </w:tcMar>
            <w:vAlign w:val="center"/>
          </w:tcPr>
          <w:p w:rsidR="00E2200D" w:rsidRDefault="005A1C1D">
            <w:pPr>
              <w:widowControl/>
              <w:spacing w:line="420" w:lineRule="exact"/>
              <w:jc w:val="lef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6.4.2</w:t>
            </w:r>
            <w:r>
              <w:rPr>
                <w:rFonts w:ascii="仿宋_GB2312" w:hAnsi="宋体" w:cs="仿宋_GB2312" w:hint="eastAsia"/>
                <w:color w:val="000000"/>
                <w:kern w:val="0"/>
                <w:sz w:val="20"/>
                <w:szCs w:val="20"/>
              </w:rPr>
              <w:t>、集中式供水出厂水、管网末梢水和二次供水的水质符合《生活饮用水卫生标准》。</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旅馆、美容美发厅、歌舞厅、公共浴室、网吧等场所内外环境整洁，公共用品的清洗、消毒设施齐备，工作人员操作符合卫生规范要求。县城影剧院、图书馆、展览馆、商场等场所应当有良好通风采光条件，合理配备垃圾箱和卫生公厕。</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6.5.1</w:t>
            </w:r>
            <w:r>
              <w:rPr>
                <w:rFonts w:ascii="仿宋_GB2312" w:hAnsi="宋体" w:cs="仿宋_GB2312" w:hint="eastAsia"/>
                <w:color w:val="000000"/>
                <w:kern w:val="0"/>
                <w:sz w:val="20"/>
                <w:szCs w:val="20"/>
              </w:rPr>
              <w:t>、旅馆、美容美发厅、歌舞厅、公共浴室、网吧等场所内外环境整洁，公共用品的清洗、消毒设施齐备，工作人员操作符合卫生规范要求。</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工业办</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工商所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食药所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流管办</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6.5.2</w:t>
            </w:r>
            <w:r>
              <w:rPr>
                <w:rFonts w:ascii="仿宋_GB2312" w:hAnsi="宋体" w:cs="仿宋_GB2312" w:hint="eastAsia"/>
                <w:color w:val="000000"/>
                <w:kern w:val="0"/>
                <w:sz w:val="20"/>
                <w:szCs w:val="20"/>
              </w:rPr>
              <w:t>、展览馆、商场、超市等公共场所应当有良好通风采光条件，合理配备垃圾箱和卫生公厕。</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工商所</w:t>
            </w:r>
            <w:r>
              <w:rPr>
                <w:rFonts w:ascii="仿宋_GB2312" w:hAnsi="宋体" w:cs="仿宋_GB2312" w:hint="eastAsia"/>
                <w:color w:val="000000"/>
                <w:kern w:val="0"/>
                <w:sz w:val="20"/>
                <w:szCs w:val="20"/>
              </w:rPr>
              <w:t>、</w:t>
            </w: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流管办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安全科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（六）企业职业卫生符合国家规定要求。乡镇区内的新建、改建、扩建项目和技术改造、技术引进项目可能产生职业病危害的依法进行职业卫生审查，企业对劳动者开展职业健康监护工作。</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6.6.1</w:t>
            </w:r>
            <w:r>
              <w:rPr>
                <w:rFonts w:ascii="仿宋_GB2312" w:hAnsi="宋体" w:cs="仿宋_GB2312" w:hint="eastAsia"/>
                <w:color w:val="000000"/>
                <w:kern w:val="0"/>
                <w:sz w:val="20"/>
                <w:szCs w:val="20"/>
              </w:rPr>
              <w:t>、要有企业职业卫生管理制度。</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安全科</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经发办</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6.6.2</w:t>
            </w:r>
            <w:r>
              <w:rPr>
                <w:rFonts w:ascii="仿宋_GB2312" w:hAnsi="宋体" w:cs="仿宋_GB2312" w:hint="eastAsia"/>
                <w:color w:val="000000"/>
                <w:kern w:val="0"/>
                <w:sz w:val="20"/>
                <w:szCs w:val="20"/>
              </w:rPr>
              <w:t>、对可能产生职业病危害的项目依法进行职业卫生审查的相关制度、记录。</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6.6.3</w:t>
            </w:r>
            <w:r>
              <w:rPr>
                <w:rFonts w:ascii="仿宋_GB2312" w:hAnsi="宋体" w:cs="仿宋_GB2312" w:hint="eastAsia"/>
                <w:color w:val="000000"/>
                <w:kern w:val="0"/>
                <w:sz w:val="20"/>
                <w:szCs w:val="20"/>
              </w:rPr>
              <w:t>、企业对劳动者开展职业健康监护工作的相关记录、影像资料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六、食品安全、生活饮用水及公共场所卫生</w:t>
            </w: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七）全面实行生猪定点屠宰、集中检疫制度（农村地区个人自宰自食的除外），无注水猪肉和病死猪肉上市。集中生猪屠宰点符合《生猪屠宰管理条例》要求，无对生猪或者生猪产品注水或者注入其他物质的现象。</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6.7.1</w:t>
            </w:r>
            <w:r>
              <w:rPr>
                <w:rFonts w:ascii="仿宋_GB2312" w:hAnsi="宋体" w:cs="仿宋_GB2312" w:hint="eastAsia"/>
                <w:color w:val="000000"/>
                <w:kern w:val="0"/>
                <w:sz w:val="20"/>
                <w:szCs w:val="20"/>
              </w:rPr>
              <w:t>、落实生猪定点屠宰、集中检疫制度的方案、措施、检查记录、影像资料。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6.7.2</w:t>
            </w:r>
            <w:r>
              <w:rPr>
                <w:rFonts w:ascii="仿宋_GB2312" w:hAnsi="宋体" w:cs="仿宋_GB2312" w:hint="eastAsia"/>
                <w:color w:val="000000"/>
                <w:kern w:val="0"/>
                <w:sz w:val="20"/>
                <w:szCs w:val="20"/>
              </w:rPr>
              <w:t>、集中生猪屠宰点落实《生猪屠宰管理条例》要求的检查记录、影像资料。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6.7.3</w:t>
            </w:r>
            <w:r>
              <w:rPr>
                <w:rFonts w:ascii="仿宋_GB2312" w:hAnsi="宋体" w:cs="仿宋_GB2312" w:hint="eastAsia"/>
                <w:color w:val="000000"/>
                <w:kern w:val="0"/>
                <w:sz w:val="20"/>
                <w:szCs w:val="20"/>
              </w:rPr>
              <w:t>、注水猪肉、病死猪肉、其他生猪产品市场监管情况。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（八）县城普通中小学设卫生室，按学生人数</w:t>
            </w:r>
            <w:r>
              <w:rPr>
                <w:rFonts w:ascii="仿宋_GB2312" w:hAnsi="宋体" w:cs="仿宋_GB2312" w:hint="eastAsia"/>
                <w:color w:val="000000"/>
                <w:kern w:val="0"/>
                <w:sz w:val="20"/>
                <w:szCs w:val="20"/>
              </w:rPr>
              <w:t>600</w:t>
            </w:r>
            <w:r>
              <w:rPr>
                <w:rStyle w:val="font31"/>
                <w:rFonts w:hint="default"/>
              </w:rPr>
              <w:t>︰</w:t>
            </w:r>
            <w:r>
              <w:rPr>
                <w:rStyle w:val="font01"/>
                <w:rFonts w:hAnsi="宋体" w:hint="default"/>
              </w:rPr>
              <w:t>1</w:t>
            </w:r>
            <w:r>
              <w:rPr>
                <w:rStyle w:val="font01"/>
                <w:rFonts w:hAnsi="宋体" w:hint="default"/>
              </w:rPr>
              <w:t>的比例配备专职卫生技术人员。学校教学建筑、环境噪声、教学采光照明以及黑板、课桌椅的设置符合国家有关标准。学校食堂符合食品安全要求，饮用水水质符合《生活饮用水卫生标准》。</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6.8.1</w:t>
            </w:r>
            <w:r>
              <w:rPr>
                <w:rFonts w:ascii="仿宋_GB2312" w:hAnsi="宋体" w:cs="仿宋_GB2312" w:hint="eastAsia"/>
                <w:color w:val="000000"/>
                <w:kern w:val="0"/>
                <w:sz w:val="20"/>
                <w:szCs w:val="20"/>
              </w:rPr>
              <w:t>、中小学设卫生室，按学生人数</w:t>
            </w:r>
            <w:r>
              <w:rPr>
                <w:rFonts w:ascii="仿宋_GB2312" w:hAnsi="宋体" w:cs="仿宋_GB2312" w:hint="eastAsia"/>
                <w:color w:val="000000"/>
                <w:kern w:val="0"/>
                <w:sz w:val="20"/>
                <w:szCs w:val="20"/>
              </w:rPr>
              <w:t>600</w:t>
            </w:r>
            <w:r>
              <w:rPr>
                <w:rStyle w:val="font31"/>
                <w:rFonts w:hint="default"/>
              </w:rPr>
              <w:t>︰</w:t>
            </w:r>
            <w:r>
              <w:rPr>
                <w:rStyle w:val="font01"/>
                <w:rFonts w:hAnsi="宋体" w:hint="default"/>
              </w:rPr>
              <w:t>1</w:t>
            </w:r>
            <w:r>
              <w:rPr>
                <w:rStyle w:val="font01"/>
                <w:rFonts w:hAnsi="宋体" w:hint="default"/>
              </w:rPr>
              <w:t>的比例配备专职卫生技术人员。</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各学校</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6.8.2</w:t>
            </w:r>
            <w:r>
              <w:rPr>
                <w:rFonts w:ascii="仿宋_GB2312" w:hAnsi="宋体" w:cs="仿宋_GB2312" w:hint="eastAsia"/>
                <w:color w:val="000000"/>
                <w:kern w:val="0"/>
                <w:sz w:val="20"/>
                <w:szCs w:val="20"/>
              </w:rPr>
              <w:t>、学校教学建筑、环境噪声、教学采光照明以及黑板、课桌椅的设置符合国家有关标准。</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各学校</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6.8.3</w:t>
            </w:r>
            <w:r>
              <w:rPr>
                <w:rFonts w:ascii="仿宋_GB2312" w:hAnsi="宋体" w:cs="仿宋_GB2312" w:hint="eastAsia"/>
                <w:color w:val="000000"/>
                <w:kern w:val="0"/>
                <w:sz w:val="20"/>
                <w:szCs w:val="20"/>
              </w:rPr>
              <w:t>、学校食堂符合食品安全要求，饮用水水质符合《生活饮用水卫生标准》。</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食药所</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卫生监督站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各学校</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七、传染病防治</w:t>
            </w: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（一）认真贯彻《中华人民共和国传染病防治法》，有规划、有制度、有措施，有关资料齐全。疾病预防控制机构建设达到国家规定要求，重大疾病控制按期完成国家规划要求，近</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年无因防控措施不力导致的甲、乙类传染病暴发流行。</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7.1.1</w:t>
            </w:r>
            <w:r>
              <w:rPr>
                <w:rFonts w:ascii="仿宋_GB2312" w:hAnsi="宋体" w:cs="仿宋_GB2312" w:hint="eastAsia"/>
                <w:color w:val="000000"/>
                <w:kern w:val="0"/>
                <w:sz w:val="20"/>
                <w:szCs w:val="20"/>
              </w:rPr>
              <w:t>、贯彻《中华人民共和国传染病防治法》，的规划、制度、措施及有关资料。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7.1.2</w:t>
            </w:r>
            <w:r>
              <w:rPr>
                <w:rFonts w:ascii="仿宋_GB2312" w:hAnsi="宋体" w:cs="仿宋_GB2312" w:hint="eastAsia"/>
                <w:color w:val="000000"/>
                <w:kern w:val="0"/>
                <w:sz w:val="20"/>
                <w:szCs w:val="20"/>
              </w:rPr>
              <w:t>、疾病预防控制机构建设达到国家规定要求，重大疾病控制按期完成国家规划要求</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7.1.3</w:t>
            </w:r>
            <w:r>
              <w:rPr>
                <w:rFonts w:ascii="仿宋_GB2312" w:hAnsi="宋体" w:cs="仿宋_GB2312" w:hint="eastAsia"/>
                <w:color w:val="000000"/>
                <w:kern w:val="0"/>
                <w:sz w:val="20"/>
                <w:szCs w:val="20"/>
              </w:rPr>
              <w:t>、近</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年无因防控措施不力导致的甲、乙类传染病暴发流行。</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医疗机构贯彻落实《医院感染管理办法》，有健全的医院感染控制、疫情登记报告制度，对传染病、医院感染暴发事件、突发公共卫生事件规范报告和处理。医院设立传染病预检分诊点和专科门诊，二级以上综合医院开设感染科。</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7.2.1</w:t>
            </w:r>
            <w:r>
              <w:rPr>
                <w:rFonts w:ascii="仿宋_GB2312" w:hAnsi="宋体" w:cs="仿宋_GB2312" w:hint="eastAsia"/>
                <w:color w:val="000000"/>
                <w:kern w:val="0"/>
                <w:sz w:val="20"/>
                <w:szCs w:val="20"/>
              </w:rPr>
              <w:t>、感染控制、疫情登记报告制度。</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7.2.2</w:t>
            </w:r>
            <w:r>
              <w:rPr>
                <w:rFonts w:ascii="仿宋_GB2312" w:hAnsi="宋体" w:cs="仿宋_GB2312" w:hint="eastAsia"/>
                <w:color w:val="000000"/>
                <w:kern w:val="0"/>
                <w:sz w:val="20"/>
                <w:szCs w:val="20"/>
              </w:rPr>
              <w:t>、对传染病、医院感染暴发事件、突发公共卫生事件规范报告和处理的历史记录、影像资料。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7.2.3</w:t>
            </w:r>
            <w:r>
              <w:rPr>
                <w:rFonts w:ascii="仿宋_GB2312" w:hAnsi="宋体" w:cs="仿宋_GB2312" w:hint="eastAsia"/>
                <w:color w:val="000000"/>
                <w:kern w:val="0"/>
                <w:sz w:val="20"/>
                <w:szCs w:val="20"/>
              </w:rPr>
              <w:t>、设立传染病预检分诊点和专科门诊的位置、数据、接诊数据及影像资料。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160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（三）免费实行国家免疫规划项目的预防接种，儿童国家免疫规划疫苗全程接种率≥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；有流动人口免疫规划管理办法，居住期限</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个月以上的儿童</w:t>
            </w:r>
            <w:proofErr w:type="gramStart"/>
            <w:r>
              <w:rPr>
                <w:rFonts w:ascii="仿宋_GB2312" w:hAnsi="宋体" w:cs="仿宋_GB2312" w:hint="eastAsia"/>
                <w:color w:val="000000"/>
                <w:kern w:val="0"/>
                <w:sz w:val="20"/>
                <w:szCs w:val="20"/>
              </w:rPr>
              <w:t>建卡建证率</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；预防接种规范，安全接种率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，幼托机构、学校按照《疫苗流通和预防接种管理条例》规定开展入托、入学儿童预防接种证查验工作。</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38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7.3.1</w:t>
            </w:r>
            <w:r>
              <w:rPr>
                <w:rFonts w:ascii="仿宋_GB2312" w:hAnsi="宋体" w:cs="仿宋_GB2312" w:hint="eastAsia"/>
                <w:color w:val="000000"/>
                <w:kern w:val="0"/>
                <w:sz w:val="20"/>
                <w:szCs w:val="20"/>
              </w:rPr>
              <w:t>、免费实行国家免疫规划项目的预防接种，儿童国家免疫规划疫苗全程接种率≥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，预防接种规范，安全接种率</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，包括管理制度、规范、影像资料等。</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724"/>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7.3.2</w:t>
            </w:r>
            <w:r>
              <w:rPr>
                <w:rFonts w:ascii="仿宋_GB2312" w:hAnsi="宋体" w:cs="仿宋_GB2312" w:hint="eastAsia"/>
                <w:color w:val="000000"/>
                <w:kern w:val="0"/>
                <w:sz w:val="20"/>
                <w:szCs w:val="20"/>
              </w:rPr>
              <w:t>、有流动人口免疫规划管理办法，居住期限</w:t>
            </w:r>
            <w:r>
              <w:rPr>
                <w:rFonts w:ascii="仿宋_GB2312" w:hAnsi="宋体" w:cs="仿宋_GB2312" w:hint="eastAsia"/>
                <w:color w:val="000000"/>
                <w:kern w:val="0"/>
                <w:sz w:val="20"/>
                <w:szCs w:val="20"/>
              </w:rPr>
              <w:t>3</w:t>
            </w:r>
            <w:r>
              <w:rPr>
                <w:rFonts w:ascii="仿宋_GB2312" w:hAnsi="宋体" w:cs="仿宋_GB2312" w:hint="eastAsia"/>
                <w:color w:val="000000"/>
                <w:kern w:val="0"/>
                <w:sz w:val="20"/>
                <w:szCs w:val="20"/>
              </w:rPr>
              <w:t>个月以上的儿童</w:t>
            </w:r>
            <w:proofErr w:type="gramStart"/>
            <w:r>
              <w:rPr>
                <w:rFonts w:ascii="仿宋_GB2312" w:hAnsi="宋体" w:cs="仿宋_GB2312" w:hint="eastAsia"/>
                <w:color w:val="000000"/>
                <w:kern w:val="0"/>
                <w:sz w:val="20"/>
                <w:szCs w:val="20"/>
              </w:rPr>
              <w:t>建卡建证率</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流管办</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7.3.3</w:t>
            </w:r>
            <w:r>
              <w:rPr>
                <w:rFonts w:ascii="仿宋_GB2312" w:hAnsi="宋体" w:cs="仿宋_GB2312" w:hint="eastAsia"/>
                <w:color w:val="000000"/>
                <w:kern w:val="0"/>
                <w:sz w:val="20"/>
                <w:szCs w:val="20"/>
              </w:rPr>
              <w:t>、幼托机构、学校按照《疫苗流通和预防接种管理条例》规定开展入托、入学儿童预防接种证查验工作的通知、记录、影像资料。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各学校</w:t>
            </w:r>
          </w:p>
        </w:tc>
      </w:tr>
      <w:tr w:rsidR="00E2200D">
        <w:trPr>
          <w:trHeight w:val="436"/>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66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（四）临床用血</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来自无偿献血，其中自愿无偿献血≥</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。依法打击非法行医和非法采供血，医疗服务秩序良好。</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7.4.1</w:t>
            </w:r>
            <w:r>
              <w:rPr>
                <w:rFonts w:ascii="仿宋_GB2312" w:hAnsi="宋体" w:cs="仿宋_GB2312" w:hint="eastAsia"/>
                <w:color w:val="000000"/>
                <w:kern w:val="0"/>
                <w:sz w:val="20"/>
                <w:szCs w:val="20"/>
              </w:rPr>
              <w:t>、临床用血</w:t>
            </w:r>
            <w:r>
              <w:rPr>
                <w:rFonts w:ascii="仿宋_GB2312" w:hAnsi="宋体" w:cs="仿宋_GB2312" w:hint="eastAsia"/>
                <w:color w:val="000000"/>
                <w:kern w:val="0"/>
                <w:sz w:val="20"/>
                <w:szCs w:val="20"/>
              </w:rPr>
              <w:t>100%</w:t>
            </w:r>
            <w:r>
              <w:rPr>
                <w:rFonts w:ascii="仿宋_GB2312" w:hAnsi="宋体" w:cs="仿宋_GB2312" w:hint="eastAsia"/>
                <w:color w:val="000000"/>
                <w:kern w:val="0"/>
                <w:sz w:val="20"/>
                <w:szCs w:val="20"/>
              </w:rPr>
              <w:t>来自无偿献血，其中自愿无偿献血≥</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r>
      <w:tr w:rsidR="00E2200D">
        <w:trPr>
          <w:trHeight w:val="75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7.4.2</w:t>
            </w:r>
            <w:r>
              <w:rPr>
                <w:rFonts w:ascii="仿宋_GB2312" w:hAnsi="宋体" w:cs="仿宋_GB2312" w:hint="eastAsia"/>
                <w:color w:val="000000"/>
                <w:kern w:val="0"/>
                <w:sz w:val="20"/>
                <w:szCs w:val="20"/>
              </w:rPr>
              <w:t>、打击非法行医和非法采供血的工作方案、记录。</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教科文体办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卫生监督站</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卫生院</w:t>
            </w:r>
          </w:p>
        </w:tc>
      </w:tr>
      <w:tr w:rsidR="00E2200D">
        <w:trPr>
          <w:trHeight w:val="1062"/>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八、社区卫生</w:t>
            </w:r>
          </w:p>
        </w:tc>
        <w:tc>
          <w:tcPr>
            <w:tcW w:w="494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（一）乡镇卫生院、村卫生室和社区卫生服务机构建设达到国家或省级有关要求，设置符合国家有关规定，并能充分发挥作用。</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8.1.1</w:t>
            </w:r>
            <w:r>
              <w:rPr>
                <w:rFonts w:ascii="仿宋_GB2312" w:hAnsi="宋体" w:cs="仿宋_GB2312" w:hint="eastAsia"/>
                <w:color w:val="000000"/>
                <w:kern w:val="0"/>
                <w:sz w:val="20"/>
                <w:szCs w:val="20"/>
              </w:rPr>
              <w:t>、卫生院及卫生服务站规模、布局，人员配置，年接诊量等基础数据及影像资料。</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（二）有健全的卫生管理制度，坚持定期开展检查评比活动。积极开展创建卫生社区、卫生楼（院）活动。</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8.2.1</w:t>
            </w:r>
            <w:r>
              <w:rPr>
                <w:rFonts w:ascii="仿宋_GB2312" w:hAnsi="宋体" w:cs="仿宋_GB2312" w:hint="eastAsia"/>
                <w:color w:val="000000"/>
                <w:kern w:val="0"/>
                <w:sz w:val="20"/>
                <w:szCs w:val="20"/>
              </w:rPr>
              <w:t>、有卫生管理制度。</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38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8.2.2</w:t>
            </w:r>
            <w:r>
              <w:rPr>
                <w:rFonts w:ascii="仿宋_GB2312" w:hAnsi="宋体" w:cs="仿宋_GB2312" w:hint="eastAsia"/>
                <w:color w:val="000000"/>
                <w:kern w:val="0"/>
                <w:sz w:val="20"/>
                <w:szCs w:val="20"/>
              </w:rPr>
              <w:t>、开展创建卫生社区、卫生户活动方案、结</w:t>
            </w:r>
            <w:r>
              <w:rPr>
                <w:rFonts w:ascii="仿宋_GB2312" w:hAnsi="宋体" w:cs="仿宋_GB2312" w:hint="eastAsia"/>
                <w:color w:val="000000"/>
                <w:kern w:val="0"/>
                <w:sz w:val="20"/>
                <w:szCs w:val="20"/>
              </w:rPr>
              <w:lastRenderedPageBreak/>
              <w:t>果记录及影像资料。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lastRenderedPageBreak/>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lastRenderedPageBreak/>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38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（三）环境整洁，绿化、美化，车辆摆放整齐，楼道内不堆放杂物，无违章搭建，无非法小广告。</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8.3.1</w:t>
            </w:r>
            <w:r>
              <w:rPr>
                <w:rFonts w:ascii="仿宋_GB2312" w:hAnsi="宋体" w:cs="仿宋_GB2312" w:hint="eastAsia"/>
                <w:color w:val="000000"/>
                <w:kern w:val="0"/>
                <w:sz w:val="20"/>
                <w:szCs w:val="20"/>
              </w:rPr>
              <w:t>、环境整洁，绿化、美化。</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909"/>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8.3.2</w:t>
            </w:r>
            <w:r>
              <w:rPr>
                <w:rFonts w:ascii="仿宋_GB2312" w:hAnsi="宋体" w:cs="仿宋_GB2312" w:hint="eastAsia"/>
                <w:color w:val="000000"/>
                <w:kern w:val="0"/>
                <w:sz w:val="20"/>
                <w:szCs w:val="20"/>
              </w:rPr>
              <w:t>、车辆停放有序，街面无乱堆乱放。</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36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城管分队</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各单位</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8.3.3</w:t>
            </w:r>
            <w:r>
              <w:rPr>
                <w:rFonts w:ascii="仿宋_GB2312" w:hAnsi="宋体" w:cs="仿宋_GB2312" w:hint="eastAsia"/>
                <w:color w:val="000000"/>
                <w:kern w:val="0"/>
                <w:sz w:val="20"/>
                <w:szCs w:val="20"/>
              </w:rPr>
              <w:t>、无违章搭建，无非法小广告。</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综治办</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城管分队</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各单位</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物业公司</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（四）环卫设施完善，垃圾收集和公共厕所管理符合卫生要求，无乱排乱倒现象。</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8.4.1</w:t>
            </w:r>
            <w:r>
              <w:rPr>
                <w:rFonts w:ascii="仿宋_GB2312" w:hAnsi="宋体" w:cs="仿宋_GB2312" w:hint="eastAsia"/>
                <w:color w:val="000000"/>
                <w:kern w:val="0"/>
                <w:sz w:val="20"/>
                <w:szCs w:val="20"/>
              </w:rPr>
              <w:t>、各村（社区）环卫设施配备情况及管理制度。</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8.4.2</w:t>
            </w:r>
            <w:r>
              <w:rPr>
                <w:rFonts w:ascii="仿宋_GB2312" w:hAnsi="宋体" w:cs="仿宋_GB2312" w:hint="eastAsia"/>
                <w:color w:val="000000"/>
                <w:kern w:val="0"/>
                <w:sz w:val="20"/>
                <w:szCs w:val="20"/>
              </w:rPr>
              <w:t>、垃圾收集和公共厕所管理符合卫生要求，无乱排乱倒现象。</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四有办</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 xml:space="preserve">         </w:t>
            </w:r>
            <w:r>
              <w:rPr>
                <w:rFonts w:ascii="仿宋_GB2312" w:hAnsi="宋体" w:cs="仿宋_GB2312" w:hint="eastAsia"/>
                <w:color w:val="000000"/>
                <w:kern w:val="0"/>
                <w:sz w:val="20"/>
                <w:szCs w:val="20"/>
              </w:rPr>
              <w:t>物业公司</w:t>
            </w:r>
          </w:p>
        </w:tc>
      </w:tr>
      <w:tr w:rsidR="00E2200D">
        <w:trPr>
          <w:trHeight w:val="42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656"/>
          <w:jc w:val="center"/>
        </w:trPr>
        <w:tc>
          <w:tcPr>
            <w:tcW w:w="16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九、</w:t>
            </w:r>
            <w:proofErr w:type="gramStart"/>
            <w:r>
              <w:rPr>
                <w:rFonts w:ascii="仿宋_GB2312" w:hAnsi="宋体" w:cs="仿宋_GB2312" w:hint="eastAsia"/>
                <w:color w:val="000000"/>
                <w:kern w:val="0"/>
                <w:sz w:val="20"/>
                <w:szCs w:val="20"/>
              </w:rPr>
              <w:t>乡镇辖村卫生</w:t>
            </w:r>
            <w:proofErr w:type="gramEnd"/>
          </w:p>
        </w:tc>
        <w:tc>
          <w:tcPr>
            <w:tcW w:w="494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（一）参加新型农村合作医疗的</w:t>
            </w:r>
            <w:proofErr w:type="gramStart"/>
            <w:r>
              <w:rPr>
                <w:rFonts w:ascii="仿宋_GB2312" w:hAnsi="宋体" w:cs="仿宋_GB2312" w:hint="eastAsia"/>
                <w:color w:val="000000"/>
                <w:kern w:val="0"/>
                <w:sz w:val="20"/>
                <w:szCs w:val="20"/>
              </w:rPr>
              <w:t>参合率</w:t>
            </w:r>
            <w:proofErr w:type="gramEnd"/>
            <w:r>
              <w:rPr>
                <w:rFonts w:ascii="仿宋_GB2312" w:hAnsi="宋体" w:cs="仿宋_GB2312" w:hint="eastAsia"/>
                <w:color w:val="000000"/>
                <w:kern w:val="0"/>
                <w:sz w:val="20"/>
                <w:szCs w:val="20"/>
              </w:rPr>
              <w:t>高于所在省（区、市）平均水平。</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9.1.1</w:t>
            </w:r>
            <w:r>
              <w:rPr>
                <w:rFonts w:ascii="仿宋_GB2312" w:hAnsi="宋体" w:cs="仿宋_GB2312" w:hint="eastAsia"/>
                <w:color w:val="000000"/>
                <w:kern w:val="0"/>
                <w:sz w:val="20"/>
                <w:szCs w:val="20"/>
              </w:rPr>
              <w:t>、年度新农合参合率、各村参合数据。</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社保所</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（二）建有符合国家相关要求的村卫生室（所），配置医疗用房、设备和人员，村医取得合法执业资格。</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9.2.1</w:t>
            </w:r>
            <w:r>
              <w:rPr>
                <w:rFonts w:ascii="仿宋_GB2312" w:hAnsi="宋体" w:cs="仿宋_GB2312" w:hint="eastAsia"/>
                <w:color w:val="000000"/>
                <w:kern w:val="0"/>
                <w:sz w:val="20"/>
                <w:szCs w:val="20"/>
              </w:rPr>
              <w:t>、卫生站、卫生室数量、布局及服务范围、医疗用房数量、人员情况。</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47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（三）</w:t>
            </w:r>
            <w:r>
              <w:rPr>
                <w:rFonts w:ascii="仿宋_GB2312" w:hAnsi="宋体" w:cs="仿宋_GB2312" w:hint="eastAsia"/>
                <w:color w:val="000000"/>
                <w:kern w:val="0"/>
                <w:sz w:val="20"/>
                <w:szCs w:val="20"/>
              </w:rPr>
              <w:t>30%</w:t>
            </w:r>
            <w:r>
              <w:rPr>
                <w:rFonts w:ascii="仿宋_GB2312" w:hAnsi="宋体" w:cs="仿宋_GB2312" w:hint="eastAsia"/>
                <w:color w:val="000000"/>
                <w:kern w:val="0"/>
                <w:sz w:val="20"/>
                <w:szCs w:val="20"/>
              </w:rPr>
              <w:t>以上村庄建成省级卫生村。</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9.3.1</w:t>
            </w:r>
            <w:r>
              <w:rPr>
                <w:rFonts w:ascii="仿宋_GB2312" w:hAnsi="宋体" w:cs="仿宋_GB2312" w:hint="eastAsia"/>
                <w:color w:val="000000"/>
                <w:kern w:val="0"/>
                <w:sz w:val="20"/>
                <w:szCs w:val="20"/>
              </w:rPr>
              <w:t>、市级卫生村数量、名单。</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p>
        </w:tc>
      </w:tr>
      <w:tr w:rsidR="00E2200D">
        <w:trPr>
          <w:trHeight w:val="697"/>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（四）自来水普及率≥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，其中学校自来水普及率≥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，定期开展农村生活饮用水水质卫生监测。无害</w:t>
            </w:r>
            <w:proofErr w:type="gramStart"/>
            <w:r>
              <w:rPr>
                <w:rFonts w:ascii="仿宋_GB2312" w:hAnsi="宋体" w:cs="仿宋_GB2312" w:hint="eastAsia"/>
                <w:color w:val="000000"/>
                <w:kern w:val="0"/>
                <w:sz w:val="20"/>
                <w:szCs w:val="20"/>
              </w:rPr>
              <w:t>化卫</w:t>
            </w:r>
            <w:r>
              <w:rPr>
                <w:rFonts w:ascii="仿宋_GB2312" w:hAnsi="宋体" w:cs="仿宋_GB2312" w:hint="eastAsia"/>
                <w:color w:val="000000"/>
                <w:kern w:val="0"/>
                <w:sz w:val="20"/>
                <w:szCs w:val="20"/>
              </w:rPr>
              <w:lastRenderedPageBreak/>
              <w:t>生</w:t>
            </w:r>
            <w:proofErr w:type="gramEnd"/>
            <w:r>
              <w:rPr>
                <w:rFonts w:ascii="仿宋_GB2312" w:hAnsi="宋体" w:cs="仿宋_GB2312" w:hint="eastAsia"/>
                <w:color w:val="000000"/>
                <w:kern w:val="0"/>
                <w:sz w:val="20"/>
                <w:szCs w:val="20"/>
              </w:rPr>
              <w:t>厕所普及率≥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，其中学校无害</w:t>
            </w:r>
            <w:proofErr w:type="gramStart"/>
            <w:r>
              <w:rPr>
                <w:rFonts w:ascii="仿宋_GB2312" w:hAnsi="宋体" w:cs="仿宋_GB2312" w:hint="eastAsia"/>
                <w:color w:val="000000"/>
                <w:kern w:val="0"/>
                <w:sz w:val="20"/>
                <w:szCs w:val="20"/>
              </w:rPr>
              <w:t>化卫生</w:t>
            </w:r>
            <w:proofErr w:type="gramEnd"/>
            <w:r>
              <w:rPr>
                <w:rFonts w:ascii="仿宋_GB2312" w:hAnsi="宋体" w:cs="仿宋_GB2312" w:hint="eastAsia"/>
                <w:color w:val="000000"/>
                <w:kern w:val="0"/>
                <w:sz w:val="20"/>
                <w:szCs w:val="20"/>
              </w:rPr>
              <w:t>厕所普及率≥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lastRenderedPageBreak/>
              <w:t>9.4.1</w:t>
            </w:r>
            <w:r>
              <w:rPr>
                <w:rFonts w:ascii="仿宋_GB2312" w:hAnsi="宋体" w:cs="仿宋_GB2312" w:hint="eastAsia"/>
                <w:color w:val="000000"/>
                <w:kern w:val="0"/>
                <w:sz w:val="20"/>
                <w:szCs w:val="20"/>
              </w:rPr>
              <w:t>、自来水普及率≥</w:t>
            </w:r>
            <w:r>
              <w:rPr>
                <w:rFonts w:ascii="仿宋_GB2312" w:hAnsi="宋体" w:cs="仿宋_GB2312" w:hint="eastAsia"/>
                <w:color w:val="000000"/>
                <w:kern w:val="0"/>
                <w:sz w:val="20"/>
                <w:szCs w:val="20"/>
              </w:rPr>
              <w:t>90%</w:t>
            </w:r>
            <w:r>
              <w:rPr>
                <w:rFonts w:ascii="仿宋_GB2312" w:hAnsi="宋体" w:cs="仿宋_GB2312" w:hint="eastAsia"/>
                <w:color w:val="000000"/>
                <w:kern w:val="0"/>
                <w:sz w:val="20"/>
                <w:szCs w:val="20"/>
              </w:rPr>
              <w:t>，其中学校自来水普及率≥</w:t>
            </w:r>
            <w:r>
              <w:rPr>
                <w:rFonts w:ascii="仿宋_GB2312" w:hAnsi="宋体" w:cs="仿宋_GB2312" w:hint="eastAsia"/>
                <w:color w:val="000000"/>
                <w:kern w:val="0"/>
                <w:sz w:val="20"/>
                <w:szCs w:val="20"/>
              </w:rPr>
              <w:t>95%</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水</w:t>
            </w:r>
            <w:proofErr w:type="gramStart"/>
            <w:r>
              <w:rPr>
                <w:rFonts w:ascii="仿宋_GB2312" w:hAnsi="宋体" w:cs="仿宋_GB2312" w:hint="eastAsia"/>
                <w:color w:val="000000"/>
                <w:kern w:val="0"/>
                <w:sz w:val="20"/>
                <w:szCs w:val="20"/>
              </w:rPr>
              <w:t>务</w:t>
            </w:r>
            <w:proofErr w:type="gramEnd"/>
            <w:r>
              <w:rPr>
                <w:rFonts w:ascii="仿宋_GB2312" w:hAnsi="宋体" w:cs="仿宋_GB2312" w:hint="eastAsia"/>
                <w:color w:val="000000"/>
                <w:kern w:val="0"/>
                <w:sz w:val="20"/>
                <w:szCs w:val="20"/>
              </w:rPr>
              <w:t>站</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卫生监督站</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9.4.2</w:t>
            </w:r>
            <w:r>
              <w:rPr>
                <w:rFonts w:ascii="仿宋_GB2312" w:hAnsi="宋体" w:cs="仿宋_GB2312" w:hint="eastAsia"/>
                <w:color w:val="000000"/>
                <w:kern w:val="0"/>
                <w:sz w:val="20"/>
                <w:szCs w:val="20"/>
              </w:rPr>
              <w:t>、无害</w:t>
            </w:r>
            <w:proofErr w:type="gramStart"/>
            <w:r>
              <w:rPr>
                <w:rFonts w:ascii="仿宋_GB2312" w:hAnsi="宋体" w:cs="仿宋_GB2312" w:hint="eastAsia"/>
                <w:color w:val="000000"/>
                <w:kern w:val="0"/>
                <w:sz w:val="20"/>
                <w:szCs w:val="20"/>
              </w:rPr>
              <w:t>化卫生</w:t>
            </w:r>
            <w:proofErr w:type="gramEnd"/>
            <w:r>
              <w:rPr>
                <w:rFonts w:ascii="仿宋_GB2312" w:hAnsi="宋体" w:cs="仿宋_GB2312" w:hint="eastAsia"/>
                <w:color w:val="000000"/>
                <w:kern w:val="0"/>
                <w:sz w:val="20"/>
                <w:szCs w:val="20"/>
              </w:rPr>
              <w:t>厕所普及率≥</w:t>
            </w:r>
            <w:r>
              <w:rPr>
                <w:rFonts w:ascii="仿宋_GB2312" w:hAnsi="宋体" w:cs="仿宋_GB2312" w:hint="eastAsia"/>
                <w:color w:val="000000"/>
                <w:kern w:val="0"/>
                <w:sz w:val="20"/>
                <w:szCs w:val="20"/>
              </w:rPr>
              <w:t>70%</w:t>
            </w:r>
            <w:r>
              <w:rPr>
                <w:rFonts w:ascii="仿宋_GB2312" w:hAnsi="宋体" w:cs="仿宋_GB2312" w:hint="eastAsia"/>
                <w:color w:val="000000"/>
                <w:kern w:val="0"/>
                <w:sz w:val="20"/>
                <w:szCs w:val="20"/>
              </w:rPr>
              <w:t>，其中学校无害</w:t>
            </w:r>
            <w:proofErr w:type="gramStart"/>
            <w:r>
              <w:rPr>
                <w:rFonts w:ascii="仿宋_GB2312" w:hAnsi="宋体" w:cs="仿宋_GB2312" w:hint="eastAsia"/>
                <w:color w:val="000000"/>
                <w:kern w:val="0"/>
                <w:sz w:val="20"/>
                <w:szCs w:val="20"/>
              </w:rPr>
              <w:t>化卫生</w:t>
            </w:r>
            <w:proofErr w:type="gramEnd"/>
            <w:r>
              <w:rPr>
                <w:rFonts w:ascii="仿宋_GB2312" w:hAnsi="宋体" w:cs="仿宋_GB2312" w:hint="eastAsia"/>
                <w:color w:val="000000"/>
                <w:kern w:val="0"/>
                <w:sz w:val="20"/>
                <w:szCs w:val="20"/>
              </w:rPr>
              <w:t>厕所普及率≥</w:t>
            </w:r>
            <w:r>
              <w:rPr>
                <w:rFonts w:ascii="仿宋_GB2312" w:hAnsi="宋体" w:cs="仿宋_GB2312" w:hint="eastAsia"/>
                <w:color w:val="000000"/>
                <w:kern w:val="0"/>
                <w:sz w:val="20"/>
                <w:szCs w:val="20"/>
              </w:rPr>
              <w:t>80%</w:t>
            </w:r>
            <w:r>
              <w:rPr>
                <w:rFonts w:ascii="仿宋_GB2312" w:hAnsi="宋体" w:cs="仿宋_GB2312" w:hint="eastAsia"/>
                <w:color w:val="000000"/>
                <w:kern w:val="0"/>
                <w:sz w:val="20"/>
                <w:szCs w:val="20"/>
              </w:rPr>
              <w:t>。</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镇教委</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（五）村庄主干路硬化，支路平整。村容整洁，村内垃圾密闭存放，定期清理，柴草、杂物堆放整齐。无蚊蝇孳生的污水坑、粪坑。</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9.5.1</w:t>
            </w:r>
            <w:r>
              <w:rPr>
                <w:rFonts w:ascii="仿宋_GB2312" w:hAnsi="宋体" w:cs="仿宋_GB2312" w:hint="eastAsia"/>
                <w:color w:val="000000"/>
                <w:kern w:val="0"/>
                <w:sz w:val="20"/>
                <w:szCs w:val="20"/>
              </w:rPr>
              <w:t>、村庄主干路硬化，支路平整。</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规划科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新农村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9.5.2</w:t>
            </w:r>
            <w:r>
              <w:rPr>
                <w:rFonts w:ascii="仿宋_GB2312" w:hAnsi="宋体" w:cs="仿宋_GB2312" w:hint="eastAsia"/>
                <w:color w:val="000000"/>
                <w:kern w:val="0"/>
                <w:sz w:val="20"/>
                <w:szCs w:val="20"/>
              </w:rPr>
              <w:t>、村容整洁，村内垃圾密闭存放，定期清理。</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垃圾处理中心</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9.5.3</w:t>
            </w:r>
            <w:r>
              <w:rPr>
                <w:rFonts w:ascii="仿宋_GB2312" w:hAnsi="宋体" w:cs="仿宋_GB2312" w:hint="eastAsia"/>
                <w:color w:val="000000"/>
                <w:kern w:val="0"/>
                <w:sz w:val="20"/>
                <w:szCs w:val="20"/>
              </w:rPr>
              <w:t>、柴草、杂物堆放整齐。</w:t>
            </w:r>
          </w:p>
        </w:tc>
        <w:tc>
          <w:tcPr>
            <w:tcW w:w="1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新农村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9.5.4</w:t>
            </w:r>
            <w:r>
              <w:rPr>
                <w:rFonts w:ascii="仿宋_GB2312" w:hAnsi="宋体" w:cs="仿宋_GB2312" w:hint="eastAsia"/>
                <w:color w:val="000000"/>
                <w:kern w:val="0"/>
                <w:sz w:val="20"/>
                <w:szCs w:val="20"/>
              </w:rPr>
              <w:t>、无蚊蝇孳生的污水坑、粪坑。</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proofErr w:type="gramStart"/>
            <w:r>
              <w:rPr>
                <w:rFonts w:ascii="仿宋_GB2312" w:hAnsi="宋体" w:cs="仿宋_GB2312" w:hint="eastAsia"/>
                <w:color w:val="000000"/>
                <w:kern w:val="0"/>
                <w:sz w:val="20"/>
                <w:szCs w:val="20"/>
              </w:rPr>
              <w:t>环整办</w:t>
            </w:r>
            <w:proofErr w:type="gramEnd"/>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新农村</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（六）积极开展创建卫生户活动，农户居室内外整洁，村民卫生习惯良好。</w:t>
            </w:r>
          </w:p>
        </w:tc>
        <w:tc>
          <w:tcPr>
            <w:tcW w:w="42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9.6.1</w:t>
            </w:r>
            <w:r>
              <w:rPr>
                <w:rFonts w:ascii="仿宋_GB2312" w:hAnsi="宋体" w:cs="仿宋_GB2312" w:hint="eastAsia"/>
                <w:color w:val="000000"/>
                <w:kern w:val="0"/>
                <w:sz w:val="20"/>
                <w:szCs w:val="20"/>
              </w:rPr>
              <w:t>、村级开展创建卫生户活动的方案、资料、活动过程及卫生户影像资料。</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卫生院</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文体中心</w:t>
            </w:r>
            <w:r>
              <w:rPr>
                <w:rFonts w:ascii="仿宋_GB2312" w:hAnsi="宋体" w:cs="仿宋_GB2312" w:hint="eastAsia"/>
                <w:color w:val="000000"/>
                <w:kern w:val="0"/>
                <w:sz w:val="20"/>
                <w:szCs w:val="20"/>
              </w:rPr>
              <w:t>、</w:t>
            </w:r>
            <w:r>
              <w:rPr>
                <w:rFonts w:ascii="仿宋_GB2312" w:hAnsi="宋体" w:cs="仿宋_GB2312" w:hint="eastAsia"/>
                <w:color w:val="000000"/>
                <w:kern w:val="0"/>
                <w:sz w:val="20"/>
                <w:szCs w:val="20"/>
              </w:rPr>
              <w:t>各村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（七）村内家禽牲畜实行圈养，无散放牲畜、家禽。</w:t>
            </w: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9.7.1</w:t>
            </w:r>
            <w:r>
              <w:rPr>
                <w:rFonts w:ascii="仿宋_GB2312" w:hAnsi="宋体" w:cs="仿宋_GB2312" w:hint="eastAsia"/>
                <w:color w:val="000000"/>
                <w:kern w:val="0"/>
                <w:sz w:val="20"/>
                <w:szCs w:val="20"/>
              </w:rPr>
              <w:t>、各村有关禁牧工作的相关制度。</w:t>
            </w:r>
          </w:p>
        </w:tc>
        <w:tc>
          <w:tcPr>
            <w:tcW w:w="1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动物防疫站</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jc w:val="center"/>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各村</w:t>
            </w:r>
          </w:p>
        </w:tc>
      </w:tr>
      <w:tr w:rsidR="00E2200D">
        <w:trPr>
          <w:trHeight w:val="560"/>
          <w:jc w:val="center"/>
        </w:trPr>
        <w:tc>
          <w:tcPr>
            <w:tcW w:w="16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494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2200D" w:rsidRDefault="00E2200D">
            <w:pPr>
              <w:spacing w:line="420" w:lineRule="exact"/>
              <w:rPr>
                <w:rFonts w:ascii="仿宋_GB2312" w:hAnsi="宋体" w:cs="仿宋_GB2312"/>
                <w:color w:val="000000"/>
                <w:sz w:val="20"/>
                <w:szCs w:val="20"/>
              </w:rPr>
            </w:pPr>
          </w:p>
        </w:tc>
        <w:tc>
          <w:tcPr>
            <w:tcW w:w="42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5A1C1D">
            <w:pPr>
              <w:widowControl/>
              <w:spacing w:line="420" w:lineRule="exact"/>
              <w:textAlignment w:val="center"/>
              <w:rPr>
                <w:rFonts w:ascii="仿宋_GB2312" w:hAnsi="宋体" w:cs="仿宋_GB2312"/>
                <w:color w:val="000000"/>
                <w:sz w:val="20"/>
                <w:szCs w:val="20"/>
              </w:rPr>
            </w:pPr>
            <w:r>
              <w:rPr>
                <w:rFonts w:ascii="仿宋_GB2312" w:hAnsi="宋体" w:cs="仿宋_GB2312" w:hint="eastAsia"/>
                <w:color w:val="000000"/>
                <w:kern w:val="0"/>
                <w:sz w:val="20"/>
                <w:szCs w:val="20"/>
              </w:rPr>
              <w:t>9.7.2</w:t>
            </w:r>
            <w:r>
              <w:rPr>
                <w:rFonts w:ascii="仿宋_GB2312" w:hAnsi="宋体" w:cs="仿宋_GB2312" w:hint="eastAsia"/>
                <w:color w:val="000000"/>
                <w:kern w:val="0"/>
                <w:sz w:val="20"/>
                <w:szCs w:val="20"/>
              </w:rPr>
              <w:t>、开展禁牧工作的通知、名单等过程资料及影像资料。</w:t>
            </w:r>
          </w:p>
        </w:tc>
        <w:tc>
          <w:tcPr>
            <w:tcW w:w="1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200D" w:rsidRDefault="00E2200D">
            <w:pPr>
              <w:spacing w:line="420" w:lineRule="exact"/>
              <w:jc w:val="center"/>
              <w:rPr>
                <w:rFonts w:ascii="仿宋_GB2312" w:hAnsi="宋体" w:cs="仿宋_GB2312"/>
                <w:color w:val="000000"/>
                <w:sz w:val="20"/>
                <w:szCs w:val="20"/>
              </w:rPr>
            </w:pPr>
          </w:p>
        </w:tc>
      </w:tr>
    </w:tbl>
    <w:p w:rsidR="00E2200D" w:rsidRDefault="00E2200D">
      <w:pPr>
        <w:keepNext/>
        <w:spacing w:line="560" w:lineRule="exact"/>
        <w:ind w:firstLineChars="100" w:firstLine="326"/>
        <w:rPr>
          <w:rFonts w:ascii="仿宋_GB2312" w:hAnsi="仿宋_GB2312" w:cs="仿宋_GB2312"/>
          <w:spacing w:val="5"/>
          <w:szCs w:val="32"/>
        </w:rPr>
      </w:pPr>
    </w:p>
    <w:sectPr w:rsidR="00E2200D">
      <w:pgSz w:w="16838" w:h="11906" w:orient="landscape"/>
      <w:pgMar w:top="1587" w:right="2098" w:bottom="1474" w:left="1701" w:header="851" w:footer="1134" w:gutter="0"/>
      <w:pgNumType w:fmt="numberInDash"/>
      <w:cols w:space="0"/>
      <w:docGrid w:type="linesAndChars" w:linePitch="58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C1D" w:rsidRDefault="005A1C1D">
      <w:r>
        <w:separator/>
      </w:r>
    </w:p>
  </w:endnote>
  <w:endnote w:type="continuationSeparator" w:id="0">
    <w:p w:rsidR="005A1C1D" w:rsidRDefault="005A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0D" w:rsidRDefault="005A1C1D">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200D" w:rsidRDefault="005A1C1D">
                          <w:pPr>
                            <w:snapToGrid w:val="0"/>
                            <w:rPr>
                              <w:sz w:val="1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- 1 -</w:t>
                          </w:r>
                          <w:r>
                            <w:rPr>
                              <w:rFonts w:ascii="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2200D" w:rsidRDefault="005A1C1D">
                    <w:pPr>
                      <w:snapToGrid w:val="0"/>
                      <w:rPr>
                        <w:sz w:val="1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- 1 -</w:t>
                    </w:r>
                    <w:r>
                      <w:rPr>
                        <w:rFonts w:ascii="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C1D" w:rsidRDefault="005A1C1D">
      <w:r>
        <w:separator/>
      </w:r>
    </w:p>
  </w:footnote>
  <w:footnote w:type="continuationSeparator" w:id="0">
    <w:p w:rsidR="005A1C1D" w:rsidRDefault="005A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1C56D"/>
    <w:multiLevelType w:val="singleLevel"/>
    <w:tmpl w:val="5C21C56D"/>
    <w:lvl w:ilvl="0">
      <w:start w:val="1"/>
      <w:numFmt w:val="chineseCounting"/>
      <w:suff w:val="nothing"/>
      <w:lvlText w:val="%1、"/>
      <w:lvlJc w:val="left"/>
    </w:lvl>
  </w:abstractNum>
  <w:abstractNum w:abstractNumId="1" w15:restartNumberingAfterBreak="0">
    <w:nsid w:val="5C8AF459"/>
    <w:multiLevelType w:val="singleLevel"/>
    <w:tmpl w:val="5C8AF459"/>
    <w:lvl w:ilvl="0">
      <w:start w:val="2"/>
      <w:numFmt w:val="chineseCounting"/>
      <w:suff w:val="nothing"/>
      <w:lvlText w:val="(%1）"/>
      <w:lvlJc w:val="left"/>
    </w:lvl>
  </w:abstractNum>
  <w:abstractNum w:abstractNumId="2" w15:restartNumberingAfterBreak="0">
    <w:nsid w:val="5C8B0410"/>
    <w:multiLevelType w:val="singleLevel"/>
    <w:tmpl w:val="5C8B0410"/>
    <w:lvl w:ilvl="0">
      <w:start w:val="4"/>
      <w:numFmt w:val="chineseCounting"/>
      <w:suff w:val="nothing"/>
      <w:lvlText w:val="%1、"/>
      <w:lvlJc w:val="left"/>
    </w:lvl>
  </w:abstractNum>
  <w:abstractNum w:abstractNumId="3" w15:restartNumberingAfterBreak="0">
    <w:nsid w:val="5C8B0849"/>
    <w:multiLevelType w:val="singleLevel"/>
    <w:tmpl w:val="5C8B0849"/>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29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014634"/>
    <w:rsid w:val="00232BBF"/>
    <w:rsid w:val="005A1C1D"/>
    <w:rsid w:val="00E2200D"/>
    <w:rsid w:val="02A23FB8"/>
    <w:rsid w:val="07500EAC"/>
    <w:rsid w:val="0AEF165C"/>
    <w:rsid w:val="109B4C15"/>
    <w:rsid w:val="16164EAA"/>
    <w:rsid w:val="16251321"/>
    <w:rsid w:val="1B2B3B28"/>
    <w:rsid w:val="1F8668CC"/>
    <w:rsid w:val="20C361F6"/>
    <w:rsid w:val="27765A92"/>
    <w:rsid w:val="2AF26893"/>
    <w:rsid w:val="327E7687"/>
    <w:rsid w:val="32CB1255"/>
    <w:rsid w:val="34F7550C"/>
    <w:rsid w:val="38ED5CDC"/>
    <w:rsid w:val="47014634"/>
    <w:rsid w:val="47B61EB2"/>
    <w:rsid w:val="483E468B"/>
    <w:rsid w:val="4F7E7EEC"/>
    <w:rsid w:val="55233A9E"/>
    <w:rsid w:val="5925485D"/>
    <w:rsid w:val="5CB16D0B"/>
    <w:rsid w:val="5F5F4E30"/>
    <w:rsid w:val="5F8248FC"/>
    <w:rsid w:val="60C02017"/>
    <w:rsid w:val="61A67D69"/>
    <w:rsid w:val="63863AE5"/>
    <w:rsid w:val="6DCE1768"/>
    <w:rsid w:val="70327E3D"/>
    <w:rsid w:val="751E2FDF"/>
    <w:rsid w:val="7669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A96380"/>
  <w15:docId w15:val="{073C1B83-0E14-4470-9D7A-8BAAF1D2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paragraph" w:styleId="4">
    <w:name w:val="heading 4"/>
    <w:basedOn w:val="a"/>
    <w:next w:val="a"/>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Body Text Indent"/>
    <w:basedOn w:val="a"/>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2">
    <w:name w:val="Body Text First Indent 2"/>
    <w:basedOn w:val="a5"/>
    <w:qFormat/>
    <w:pPr>
      <w:ind w:firstLineChars="200" w:firstLine="420"/>
    </w:pPr>
  </w:style>
  <w:style w:type="paragraph" w:styleId="a7">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
    <w:name w:val="_Normal"/>
    <w:basedOn w:val="a"/>
    <w:uiPriority w:val="99"/>
    <w:unhideWhenUsed/>
    <w:qFormat/>
    <w:rPr>
      <w:rFonts w:ascii="仿宋_GB2312" w:hAnsi="Times New Roman" w:hint="eastAsia"/>
      <w:sz w:val="24"/>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Hyperlink"/>
    <w:basedOn w:val="a0"/>
    <w:qFormat/>
    <w:rPr>
      <w:color w:val="0000FF"/>
      <w:u w:val="singl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黑体"/>
      <w:kern w:val="2"/>
      <w:sz w:val="21"/>
      <w:szCs w:val="24"/>
    </w:rPr>
  </w:style>
  <w:style w:type="character" w:customStyle="1" w:styleId="fontstyle11">
    <w:name w:val="fontstyle11"/>
    <w:basedOn w:val="a0"/>
    <w:qFormat/>
    <w:rPr>
      <w:rFonts w:ascii="仿宋_GB2312" w:eastAsia="仿宋_GB2312" w:cs="仿宋_GB2312"/>
      <w:color w:val="000000"/>
      <w:sz w:val="32"/>
      <w:szCs w:val="32"/>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采育镇公文</dc:creator>
  <cp:lastModifiedBy>陶 丹扬</cp:lastModifiedBy>
  <cp:revision>2</cp:revision>
  <cp:lastPrinted>2019-03-20T03:43:00Z</cp:lastPrinted>
  <dcterms:created xsi:type="dcterms:W3CDTF">2019-12-26T07:54:00Z</dcterms:created>
  <dcterms:modified xsi:type="dcterms:W3CDTF">2019-12-26T07:54:00Z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