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adjustRightInd w:val="0"/>
        <w:snapToGrid w:val="0"/>
        <w:spacing w:line="360" w:lineRule="auto"/>
        <w:jc w:val="center"/>
        <w:rPr>
          <w:rFonts w:asciiTheme="minorEastAsia" w:hAnsiTheme="minorEastAsia" w:eastAsiaTheme="minorEastAsia"/>
          <w:b/>
          <w:sz w:val="32"/>
          <w:szCs w:val="28"/>
        </w:rPr>
      </w:pPr>
    </w:p>
    <w:p>
      <w:pPr>
        <w:tabs>
          <w:tab w:val="left" w:pos="1080"/>
        </w:tabs>
        <w:adjustRightInd w:val="0"/>
        <w:snapToGrid w:val="0"/>
        <w:spacing w:line="360" w:lineRule="auto"/>
        <w:jc w:val="center"/>
        <w:rPr>
          <w:rFonts w:asciiTheme="minorEastAsia" w:hAnsiTheme="minorEastAsia" w:eastAsiaTheme="minorEastAsia"/>
          <w:b/>
          <w:sz w:val="32"/>
          <w:szCs w:val="28"/>
        </w:rPr>
      </w:pPr>
    </w:p>
    <w:p>
      <w:pPr>
        <w:tabs>
          <w:tab w:val="left" w:pos="1080"/>
        </w:tabs>
        <w:adjustRightInd w:val="0"/>
        <w:snapToGrid w:val="0"/>
        <w:spacing w:line="360" w:lineRule="auto"/>
        <w:jc w:val="center"/>
        <w:rPr>
          <w:rFonts w:asciiTheme="minorEastAsia" w:hAnsiTheme="minorEastAsia" w:eastAsiaTheme="minorEastAsia"/>
          <w:b/>
          <w:sz w:val="32"/>
          <w:szCs w:val="28"/>
        </w:rPr>
      </w:pPr>
    </w:p>
    <w:p>
      <w:pPr>
        <w:tabs>
          <w:tab w:val="left" w:pos="1080"/>
        </w:tabs>
        <w:adjustRightInd w:val="0"/>
        <w:snapToGrid w:val="0"/>
        <w:spacing w:line="360" w:lineRule="auto"/>
        <w:jc w:val="center"/>
        <w:rPr>
          <w:rFonts w:asciiTheme="minorEastAsia" w:hAnsiTheme="minorEastAsia" w:eastAsiaTheme="minorEastAsia"/>
          <w:b/>
          <w:sz w:val="32"/>
          <w:szCs w:val="28"/>
        </w:rPr>
      </w:pPr>
      <w:r>
        <w:rPr>
          <w:rFonts w:hint="eastAsia" w:asciiTheme="minorEastAsia" w:hAnsiTheme="minorEastAsia" w:eastAsiaTheme="minorEastAsia"/>
          <w:b/>
          <w:sz w:val="32"/>
          <w:szCs w:val="28"/>
        </w:rPr>
        <w:t xml:space="preserve">政府采购合同  </w:t>
      </w:r>
    </w:p>
    <w:p>
      <w:pPr>
        <w:suppressAutoHyphens w:val="0"/>
        <w:spacing w:line="360" w:lineRule="auto"/>
        <w:ind w:left="2"/>
        <w:jc w:val="center"/>
        <w:rPr>
          <w:rFonts w:asciiTheme="minorEastAsia" w:hAnsiTheme="minorEastAsia" w:eastAsiaTheme="minorEastAsia"/>
          <w:b/>
          <w:kern w:val="2"/>
          <w:sz w:val="24"/>
        </w:rPr>
      </w:pPr>
    </w:p>
    <w:p>
      <w:pPr>
        <w:suppressAutoHyphens w:val="0"/>
        <w:spacing w:line="360" w:lineRule="auto"/>
        <w:ind w:left="2"/>
        <w:jc w:val="center"/>
        <w:rPr>
          <w:rFonts w:ascii="仿宋_GB2312" w:eastAsia="仿宋_GB2312"/>
          <w:b/>
          <w:kern w:val="2"/>
          <w:sz w:val="24"/>
        </w:rPr>
      </w:pPr>
    </w:p>
    <w:p>
      <w:pPr>
        <w:suppressAutoHyphens w:val="0"/>
        <w:spacing w:line="360" w:lineRule="auto"/>
        <w:ind w:left="2"/>
        <w:jc w:val="center"/>
        <w:rPr>
          <w:rFonts w:ascii="仿宋_GB2312" w:eastAsia="仿宋_GB2312"/>
          <w:b/>
          <w:kern w:val="2"/>
          <w:sz w:val="24"/>
        </w:rPr>
      </w:pPr>
    </w:p>
    <w:p>
      <w:pPr>
        <w:suppressAutoHyphens w:val="0"/>
        <w:spacing w:line="360" w:lineRule="auto"/>
        <w:ind w:left="2"/>
        <w:jc w:val="center"/>
        <w:rPr>
          <w:rFonts w:ascii="仿宋_GB2312" w:eastAsia="仿宋_GB2312"/>
          <w:b/>
          <w:kern w:val="2"/>
          <w:sz w:val="24"/>
        </w:rPr>
      </w:pPr>
    </w:p>
    <w:p>
      <w:pPr>
        <w:adjustRightInd w:val="0"/>
        <w:snapToGrid w:val="0"/>
        <w:spacing w:line="480" w:lineRule="auto"/>
        <w:ind w:firstLine="562" w:firstLineChars="200"/>
        <w:rPr>
          <w:rFonts w:ascii="宋体" w:hAnsi="宋体" w:cs="仿宋"/>
          <w:b/>
          <w:sz w:val="28"/>
          <w:szCs w:val="28"/>
        </w:rPr>
      </w:pPr>
      <w:r>
        <w:rPr>
          <w:rFonts w:hint="eastAsia" w:ascii="宋体" w:hAnsi="宋体" w:cs="仿宋"/>
          <w:b/>
          <w:sz w:val="28"/>
          <w:szCs w:val="28"/>
        </w:rPr>
        <w:t xml:space="preserve"> </w:t>
      </w:r>
    </w:p>
    <w:p>
      <w:pPr>
        <w:adjustRightInd w:val="0"/>
        <w:snapToGrid w:val="0"/>
        <w:spacing w:line="480" w:lineRule="auto"/>
        <w:ind w:firstLine="562" w:firstLineChars="200"/>
        <w:rPr>
          <w:rFonts w:ascii="宋体" w:hAnsi="宋体" w:cs="仿宋"/>
          <w:b/>
          <w:sz w:val="28"/>
          <w:szCs w:val="28"/>
        </w:rPr>
      </w:pPr>
      <w:r>
        <w:rPr>
          <w:rFonts w:hint="eastAsia" w:ascii="宋体" w:hAnsi="宋体" w:cs="仿宋"/>
          <w:b/>
          <w:sz w:val="28"/>
          <w:szCs w:val="28"/>
        </w:rPr>
        <w:t>招标编号：  ZTXY-2019-H28</w:t>
      </w:r>
      <w:r>
        <w:rPr>
          <w:rFonts w:ascii="宋体" w:hAnsi="宋体" w:cs="仿宋"/>
          <w:b/>
          <w:sz w:val="28"/>
          <w:szCs w:val="28"/>
        </w:rPr>
        <w:t>991</w:t>
      </w:r>
      <w:r>
        <w:rPr>
          <w:rFonts w:hint="eastAsia" w:ascii="宋体" w:hAnsi="宋体" w:cs="仿宋"/>
          <w:b/>
          <w:sz w:val="28"/>
          <w:szCs w:val="28"/>
        </w:rPr>
        <w:t xml:space="preserve">  </w:t>
      </w:r>
    </w:p>
    <w:p>
      <w:pPr>
        <w:adjustRightInd w:val="0"/>
        <w:snapToGrid w:val="0"/>
        <w:spacing w:line="480" w:lineRule="auto"/>
        <w:ind w:firstLine="562" w:firstLineChars="200"/>
        <w:rPr>
          <w:rFonts w:ascii="宋体" w:hAnsi="宋体" w:cs="仿宋"/>
          <w:b/>
          <w:sz w:val="28"/>
          <w:szCs w:val="28"/>
        </w:rPr>
      </w:pPr>
      <w:r>
        <w:rPr>
          <w:rFonts w:hint="eastAsia" w:ascii="宋体" w:hAnsi="宋体" w:cs="仿宋"/>
          <w:b/>
          <w:sz w:val="28"/>
          <w:szCs w:val="28"/>
        </w:rPr>
        <w:t>项目名称：  2019年大兴区餐饮油烟在线监管项目（分包号：</w:t>
      </w:r>
      <w:r>
        <w:rPr>
          <w:rFonts w:hint="eastAsia" w:ascii="宋体" w:hAnsi="宋体" w:cs="仿宋"/>
          <w:b/>
          <w:sz w:val="28"/>
          <w:szCs w:val="28"/>
          <w:u w:val="single"/>
        </w:rPr>
        <w:t>分包1</w:t>
      </w:r>
      <w:r>
        <w:rPr>
          <w:rFonts w:hint="eastAsia" w:ascii="宋体" w:hAnsi="宋体" w:cs="仿宋"/>
          <w:b/>
          <w:sz w:val="28"/>
          <w:szCs w:val="28"/>
        </w:rPr>
        <w:t>）</w:t>
      </w:r>
    </w:p>
    <w:p>
      <w:pPr>
        <w:suppressAutoHyphens w:val="0"/>
        <w:spacing w:line="360" w:lineRule="auto"/>
        <w:rPr>
          <w:rFonts w:ascii="仿宋_GB2312" w:eastAsia="仿宋_GB2312"/>
          <w:kern w:val="2"/>
          <w:sz w:val="24"/>
        </w:rPr>
      </w:pPr>
      <w:r>
        <w:rPr>
          <w:rFonts w:hint="eastAsia" w:ascii="仿宋_GB2312" w:eastAsia="仿宋_GB2312"/>
          <w:kern w:val="2"/>
          <w:sz w:val="24"/>
        </w:rPr>
        <w:t xml:space="preserve">       </w:t>
      </w:r>
    </w:p>
    <w:p>
      <w:pPr>
        <w:suppressAutoHyphens w:val="0"/>
        <w:spacing w:line="360" w:lineRule="auto"/>
        <w:rPr>
          <w:rFonts w:ascii="仿宋_GB2312" w:eastAsia="仿宋_GB2312"/>
          <w:kern w:val="2"/>
          <w:sz w:val="24"/>
        </w:rPr>
      </w:pPr>
    </w:p>
    <w:p>
      <w:pPr>
        <w:suppressAutoHyphens w:val="0"/>
        <w:spacing w:line="360" w:lineRule="auto"/>
        <w:rPr>
          <w:rFonts w:ascii="仿宋_GB2312" w:eastAsia="仿宋_GB2312"/>
          <w:kern w:val="2"/>
          <w:sz w:val="24"/>
        </w:rPr>
      </w:pPr>
    </w:p>
    <w:p>
      <w:pPr>
        <w:suppressAutoHyphens w:val="0"/>
        <w:spacing w:line="360" w:lineRule="auto"/>
        <w:rPr>
          <w:rFonts w:ascii="仿宋_GB2312" w:eastAsia="仿宋_GB2312"/>
          <w:kern w:val="2"/>
          <w:sz w:val="24"/>
        </w:rPr>
      </w:pPr>
    </w:p>
    <w:p>
      <w:pPr>
        <w:suppressAutoHyphens w:val="0"/>
        <w:spacing w:line="360" w:lineRule="auto"/>
        <w:rPr>
          <w:rFonts w:ascii="仿宋_GB2312" w:eastAsia="仿宋_GB2312"/>
          <w:kern w:val="2"/>
          <w:sz w:val="24"/>
        </w:rPr>
      </w:pPr>
    </w:p>
    <w:p>
      <w:pPr>
        <w:adjustRightInd w:val="0"/>
        <w:snapToGrid w:val="0"/>
        <w:spacing w:line="360" w:lineRule="auto"/>
        <w:jc w:val="center"/>
        <w:rPr>
          <w:rFonts w:ascii="仿宋" w:hAnsi="仿宋" w:eastAsia="仿宋" w:cs="仿宋"/>
          <w:sz w:val="28"/>
          <w:szCs w:val="28"/>
        </w:rPr>
      </w:pPr>
    </w:p>
    <w:p>
      <w:pPr>
        <w:adjustRightInd w:val="0"/>
        <w:snapToGrid w:val="0"/>
        <w:spacing w:line="480" w:lineRule="auto"/>
        <w:jc w:val="center"/>
        <w:rPr>
          <w:rFonts w:ascii="宋体" w:hAnsi="宋体" w:cs="仿宋"/>
          <w:sz w:val="28"/>
          <w:szCs w:val="28"/>
        </w:rPr>
      </w:pPr>
    </w:p>
    <w:p>
      <w:pPr>
        <w:adjustRightInd w:val="0"/>
        <w:snapToGrid w:val="0"/>
        <w:spacing w:line="480" w:lineRule="auto"/>
        <w:ind w:firstLine="562" w:firstLineChars="200"/>
        <w:rPr>
          <w:rFonts w:ascii="宋体" w:hAnsi="宋体" w:cs="仿宋"/>
          <w:b/>
          <w:sz w:val="28"/>
          <w:szCs w:val="28"/>
        </w:rPr>
      </w:pPr>
      <w:r>
        <w:rPr>
          <w:rFonts w:hint="eastAsia" w:ascii="宋体" w:hAnsi="宋体" w:cs="仿宋"/>
          <w:b/>
          <w:sz w:val="28"/>
          <w:szCs w:val="28"/>
        </w:rPr>
        <w:t>甲方：</w:t>
      </w:r>
      <w:r>
        <w:rPr>
          <w:rFonts w:hint="eastAsia" w:ascii="宋体" w:hAnsi="宋体" w:cs="仿宋"/>
          <w:b/>
          <w:sz w:val="28"/>
          <w:szCs w:val="28"/>
          <w:u w:val="single"/>
        </w:rPr>
        <w:t>北京市大兴区生态环境局</w:t>
      </w:r>
    </w:p>
    <w:p>
      <w:pPr>
        <w:adjustRightInd w:val="0"/>
        <w:snapToGrid w:val="0"/>
        <w:spacing w:line="480" w:lineRule="auto"/>
        <w:ind w:firstLine="562" w:firstLineChars="200"/>
        <w:rPr>
          <w:rFonts w:ascii="宋体" w:hAnsi="宋体" w:cs="仿宋"/>
          <w:b/>
          <w:sz w:val="28"/>
          <w:szCs w:val="28"/>
          <w:u w:val="single"/>
        </w:rPr>
      </w:pPr>
      <w:r>
        <w:rPr>
          <w:rFonts w:hint="eastAsia" w:ascii="宋体" w:hAnsi="宋体" w:cs="仿宋"/>
          <w:b/>
          <w:sz w:val="28"/>
          <w:szCs w:val="28"/>
        </w:rPr>
        <w:t xml:space="preserve">乙方: </w:t>
      </w:r>
      <w:r>
        <w:rPr>
          <w:rFonts w:hint="eastAsia" w:ascii="宋体" w:hAnsi="宋体" w:cs="仿宋"/>
          <w:b/>
          <w:sz w:val="28"/>
          <w:szCs w:val="28"/>
          <w:u w:val="single"/>
        </w:rPr>
        <w:t>苏州市伏泰信息科技股份有限公司</w:t>
      </w:r>
    </w:p>
    <w:p>
      <w:pPr>
        <w:adjustRightInd w:val="0"/>
        <w:snapToGrid w:val="0"/>
        <w:spacing w:line="480" w:lineRule="auto"/>
        <w:rPr>
          <w:rFonts w:ascii="宋体" w:hAnsi="宋体" w:cs="仿宋"/>
          <w:b/>
          <w:sz w:val="28"/>
          <w:szCs w:val="28"/>
        </w:rPr>
      </w:pPr>
    </w:p>
    <w:p>
      <w:pPr>
        <w:adjustRightInd w:val="0"/>
        <w:snapToGrid w:val="0"/>
        <w:spacing w:line="480" w:lineRule="auto"/>
        <w:jc w:val="center"/>
        <w:rPr>
          <w:rFonts w:ascii="宋体" w:hAnsi="宋体" w:cs="宋体"/>
          <w:b/>
          <w:sz w:val="24"/>
        </w:rPr>
      </w:pPr>
      <w:r>
        <w:rPr>
          <w:rFonts w:hint="eastAsia" w:ascii="宋体" w:hAnsi="宋体" w:cs="仿宋"/>
          <w:b/>
          <w:sz w:val="28"/>
          <w:szCs w:val="28"/>
        </w:rPr>
        <w:t>20</w:t>
      </w:r>
      <w:r>
        <w:rPr>
          <w:rFonts w:hint="eastAsia" w:ascii="宋体" w:hAnsi="宋体" w:cs="仿宋"/>
          <w:b/>
          <w:sz w:val="28"/>
          <w:szCs w:val="28"/>
          <w:lang w:val="en-US" w:eastAsia="zh-CN"/>
        </w:rPr>
        <w:t>20</w:t>
      </w:r>
      <w:r>
        <w:rPr>
          <w:rFonts w:hint="eastAsia" w:ascii="宋体" w:hAnsi="宋体" w:cs="仿宋"/>
          <w:b/>
          <w:sz w:val="28"/>
          <w:szCs w:val="28"/>
        </w:rPr>
        <w:t>年</w:t>
      </w:r>
      <w:r>
        <w:rPr>
          <w:rFonts w:hint="eastAsia" w:ascii="宋体" w:hAnsi="宋体" w:cs="仿宋"/>
          <w:b/>
          <w:sz w:val="28"/>
          <w:szCs w:val="28"/>
          <w:lang w:val="en-US" w:eastAsia="zh-CN"/>
        </w:rPr>
        <w:t>1</w:t>
      </w:r>
      <w:r>
        <w:rPr>
          <w:rFonts w:hint="eastAsia" w:ascii="宋体" w:hAnsi="宋体" w:cs="仿宋"/>
          <w:b/>
          <w:sz w:val="28"/>
          <w:szCs w:val="28"/>
        </w:rPr>
        <w:t>月</w:t>
      </w:r>
      <w:r>
        <w:rPr>
          <w:rFonts w:hint="eastAsia" w:ascii="宋体" w:hAnsi="宋体" w:cs="仿宋"/>
          <w:b/>
          <w:sz w:val="28"/>
          <w:szCs w:val="28"/>
          <w:lang w:val="en-US" w:eastAsia="zh-CN"/>
        </w:rPr>
        <w:t>14</w:t>
      </w:r>
      <w:r>
        <w:rPr>
          <w:rFonts w:hint="eastAsia" w:ascii="宋体" w:hAnsi="宋体" w:cs="仿宋"/>
          <w:b/>
          <w:sz w:val="28"/>
          <w:szCs w:val="28"/>
        </w:rPr>
        <w:t>日</w:t>
      </w:r>
      <w:r>
        <w:rPr>
          <w:rFonts w:hint="eastAsia" w:ascii="宋体" w:hAnsi="宋体"/>
          <w:b/>
          <w:color w:val="000000"/>
          <w:sz w:val="24"/>
        </w:rPr>
        <w:br w:type="page"/>
      </w:r>
      <w:r>
        <w:rPr>
          <w:rFonts w:hint="eastAsia" w:ascii="宋体" w:hAnsi="宋体" w:cs="宋体"/>
          <w:b/>
          <w:sz w:val="24"/>
        </w:rPr>
        <w:t>合同书</w:t>
      </w:r>
    </w:p>
    <w:p>
      <w:pPr>
        <w:pStyle w:val="11"/>
        <w:spacing w:line="240" w:lineRule="atLeast"/>
      </w:pPr>
    </w:p>
    <w:p>
      <w:pPr>
        <w:adjustRightInd w:val="0"/>
        <w:snapToGrid w:val="0"/>
        <w:spacing w:line="480" w:lineRule="auto"/>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北京市大兴区</w:t>
      </w:r>
      <w:r>
        <w:rPr>
          <w:rFonts w:hint="eastAsia" w:ascii="宋体" w:hAnsi="宋体"/>
          <w:sz w:val="24"/>
          <w:u w:val="single"/>
        </w:rPr>
        <w:t>生态环境局</w:t>
      </w:r>
    </w:p>
    <w:p>
      <w:pPr>
        <w:adjustRightInd w:val="0"/>
        <w:snapToGrid w:val="0"/>
        <w:spacing w:line="480" w:lineRule="auto"/>
        <w:rPr>
          <w:rFonts w:ascii="宋体" w:hAnsi="宋体"/>
          <w:color w:val="000000"/>
          <w:sz w:val="24"/>
          <w:u w:val="single"/>
        </w:rPr>
      </w:pPr>
      <w:r>
        <w:rPr>
          <w:rFonts w:hint="eastAsia" w:ascii="宋体" w:hAnsi="宋体"/>
          <w:color w:val="000000"/>
          <w:sz w:val="24"/>
        </w:rPr>
        <w:t>乙方：</w:t>
      </w:r>
      <w:r>
        <w:rPr>
          <w:rFonts w:hint="eastAsia" w:ascii="宋体" w:hAnsi="宋体"/>
          <w:color w:val="000000"/>
          <w:sz w:val="24"/>
          <w:u w:val="single"/>
        </w:rPr>
        <w:t>苏州市伏泰信息科技股份有限公司</w:t>
      </w:r>
    </w:p>
    <w:p>
      <w:pPr>
        <w:widowControl/>
        <w:spacing w:line="480" w:lineRule="auto"/>
        <w:ind w:firstLine="480" w:firstLineChars="200"/>
        <w:rPr>
          <w:rFonts w:cs="宋体" w:asciiTheme="minorEastAsia" w:hAnsiTheme="minorEastAsia" w:eastAsiaTheme="minorEastAsia"/>
          <w:sz w:val="24"/>
        </w:rPr>
      </w:pPr>
      <w:r>
        <w:rPr>
          <w:rFonts w:hint="eastAsia" w:ascii="宋体" w:hAnsi="宋体"/>
          <w:color w:val="000000"/>
          <w:sz w:val="24"/>
          <w:u w:val="single"/>
        </w:rPr>
        <w:t xml:space="preserve">北京市大兴区生态环境局 </w:t>
      </w:r>
      <w:r>
        <w:rPr>
          <w:rFonts w:hint="eastAsia" w:ascii="宋体" w:hAnsi="宋体"/>
          <w:color w:val="000000"/>
          <w:sz w:val="24"/>
        </w:rPr>
        <w:t>(甲方)因“</w:t>
      </w:r>
      <w:r>
        <w:rPr>
          <w:rFonts w:hint="eastAsia" w:ascii="宋体" w:hAnsi="宋体"/>
          <w:kern w:val="2"/>
          <w:sz w:val="24"/>
          <w:u w:val="single"/>
        </w:rPr>
        <w:t>2019年大兴区餐饮油烟在线监管项目”</w:t>
      </w:r>
      <w:r>
        <w:rPr>
          <w:rFonts w:hint="eastAsia" w:ascii="宋体" w:hAnsi="宋体"/>
          <w:color w:val="000000"/>
          <w:sz w:val="24"/>
        </w:rPr>
        <w:t>（分包1）(经中天信远国际招投标咨询（北京）有限公司以</w:t>
      </w:r>
      <w:r>
        <w:rPr>
          <w:rFonts w:hint="eastAsia" w:ascii="宋体" w:hAnsi="宋体"/>
          <w:color w:val="000000"/>
          <w:sz w:val="24"/>
          <w:u w:val="single"/>
        </w:rPr>
        <w:t>公开招标</w:t>
      </w:r>
      <w:r>
        <w:rPr>
          <w:rFonts w:hint="eastAsia" w:ascii="宋体" w:hAnsi="宋体"/>
          <w:color w:val="000000"/>
          <w:sz w:val="24"/>
        </w:rPr>
        <w:t>方式</w:t>
      </w:r>
      <w:r>
        <w:rPr>
          <w:rFonts w:hint="eastAsia" w:ascii="宋体" w:hAnsi="宋体"/>
          <w:color w:val="000000"/>
          <w:sz w:val="24"/>
          <w:u w:val="single"/>
        </w:rPr>
        <w:t>（招标编号：</w:t>
      </w:r>
      <w:r>
        <w:rPr>
          <w:rFonts w:hint="eastAsia" w:ascii="宋体" w:hAnsi="宋体"/>
          <w:kern w:val="2"/>
          <w:sz w:val="24"/>
          <w:u w:val="single"/>
        </w:rPr>
        <w:t>ZTXY-2019-H28</w:t>
      </w:r>
      <w:r>
        <w:rPr>
          <w:rFonts w:ascii="宋体" w:hAnsi="宋体"/>
          <w:kern w:val="2"/>
          <w:sz w:val="24"/>
          <w:u w:val="single"/>
        </w:rPr>
        <w:t>991</w:t>
      </w:r>
      <w:r>
        <w:rPr>
          <w:rFonts w:hint="eastAsia" w:ascii="宋体" w:hAnsi="宋体"/>
          <w:color w:val="000000"/>
          <w:sz w:val="24"/>
          <w:u w:val="single"/>
        </w:rPr>
        <w:t>）</w:t>
      </w:r>
      <w:r>
        <w:rPr>
          <w:rFonts w:hint="eastAsia" w:ascii="宋体" w:hAnsi="宋体"/>
          <w:color w:val="000000"/>
          <w:sz w:val="24"/>
        </w:rPr>
        <w:t>在国内进行采购。经评标委员会评定</w:t>
      </w:r>
      <w:r>
        <w:rPr>
          <w:rFonts w:hint="eastAsia" w:ascii="宋体" w:hAnsi="宋体"/>
          <w:color w:val="000000"/>
          <w:sz w:val="24"/>
          <w:u w:val="single"/>
        </w:rPr>
        <w:t>苏州市伏泰信息科技股份有限公司</w:t>
      </w:r>
      <w:r>
        <w:rPr>
          <w:rFonts w:hint="eastAsia" w:ascii="宋体" w:hAnsi="宋体"/>
          <w:color w:val="000000"/>
          <w:sz w:val="24"/>
        </w:rPr>
        <w:t>(乙方)为本项目的中标服务单位。甲方、乙方双方依据《中华人民共和国政府采购法》、《中华人民共和国合同法》，在平等自愿的基础上，同意按照下面的条款和条件，签署本合同。</w:t>
      </w:r>
    </w:p>
    <w:p>
      <w:pPr>
        <w:adjustRightInd w:val="0"/>
        <w:snapToGrid w:val="0"/>
        <w:spacing w:line="480" w:lineRule="auto"/>
        <w:rPr>
          <w:rFonts w:ascii="宋体" w:hAnsi="宋体"/>
          <w:b/>
          <w:sz w:val="24"/>
        </w:rPr>
      </w:pPr>
      <w:r>
        <w:rPr>
          <w:rFonts w:hint="eastAsia" w:ascii="宋体" w:hAnsi="宋体"/>
          <w:b/>
          <w:sz w:val="24"/>
        </w:rPr>
        <w:t>一、合同文件</w:t>
      </w:r>
    </w:p>
    <w:p>
      <w:pPr>
        <w:adjustRightInd w:val="0"/>
        <w:snapToGrid w:val="0"/>
        <w:spacing w:line="480" w:lineRule="auto"/>
        <w:rPr>
          <w:rFonts w:ascii="宋体" w:hAnsi="宋体"/>
          <w:color w:val="000000"/>
          <w:sz w:val="24"/>
        </w:rPr>
      </w:pPr>
      <w:r>
        <w:rPr>
          <w:rFonts w:hint="eastAsia" w:ascii="宋体" w:hAnsi="宋体"/>
          <w:sz w:val="24"/>
        </w:rPr>
        <w:t xml:space="preserve">   </w:t>
      </w:r>
      <w:r>
        <w:rPr>
          <w:rFonts w:hint="eastAsia" w:ascii="宋体" w:hAnsi="宋体"/>
          <w:color w:val="000000"/>
          <w:sz w:val="24"/>
        </w:rPr>
        <w:t>下列文件构成本合同的组成部分，应该认为是一个整体，彼此相互解释，相互补充。组成合同的多个文件的优先支配地位的次序如下：</w:t>
      </w:r>
    </w:p>
    <w:p>
      <w:pPr>
        <w:adjustRightInd w:val="0"/>
        <w:snapToGrid w:val="0"/>
        <w:spacing w:line="480" w:lineRule="auto"/>
        <w:rPr>
          <w:rFonts w:ascii="宋体" w:hAnsi="宋体"/>
          <w:color w:val="000000"/>
          <w:sz w:val="24"/>
        </w:rPr>
      </w:pPr>
      <w:r>
        <w:rPr>
          <w:rFonts w:hint="eastAsia" w:ascii="宋体" w:hAnsi="宋体"/>
          <w:sz w:val="24"/>
        </w:rPr>
        <w:t xml:space="preserve">   </w:t>
      </w:r>
      <w:r>
        <w:rPr>
          <w:rFonts w:hint="eastAsia" w:ascii="宋体" w:hAnsi="宋体"/>
          <w:color w:val="000000"/>
          <w:sz w:val="24"/>
        </w:rPr>
        <w:t>a.本合同书；  b.中标通知书；  c.投标文件（含澄清文件）；</w:t>
      </w:r>
    </w:p>
    <w:p>
      <w:pPr>
        <w:adjustRightInd w:val="0"/>
        <w:snapToGrid w:val="0"/>
        <w:spacing w:line="480" w:lineRule="auto"/>
        <w:rPr>
          <w:rFonts w:ascii="宋体" w:hAnsi="宋体"/>
          <w:color w:val="000000"/>
          <w:sz w:val="24"/>
        </w:rPr>
      </w:pPr>
      <w:r>
        <w:rPr>
          <w:rFonts w:hint="eastAsia" w:ascii="宋体" w:hAnsi="宋体"/>
          <w:color w:val="000000"/>
          <w:sz w:val="24"/>
        </w:rPr>
        <w:t xml:space="preserve">   d.招标文件（含招标文件补充通知）；e.合同补充条款或协议。</w:t>
      </w:r>
    </w:p>
    <w:p>
      <w:pPr>
        <w:adjustRightInd w:val="0"/>
        <w:snapToGrid w:val="0"/>
        <w:spacing w:line="480" w:lineRule="auto"/>
        <w:rPr>
          <w:rFonts w:ascii="宋体" w:hAnsi="宋体"/>
          <w:b/>
          <w:sz w:val="24"/>
        </w:rPr>
      </w:pPr>
      <w:bookmarkStart w:id="0" w:name="_Toc461570724"/>
      <w:bookmarkStart w:id="1" w:name="_Toc459109225"/>
      <w:bookmarkStart w:id="2" w:name="_Toc467069871"/>
      <w:bookmarkStart w:id="3" w:name="_Toc2860"/>
      <w:r>
        <w:rPr>
          <w:rFonts w:hint="eastAsia" w:ascii="宋体" w:hAnsi="宋体"/>
          <w:b/>
          <w:sz w:val="24"/>
        </w:rPr>
        <w:t>二、货物和数量</w:t>
      </w:r>
      <w:bookmarkEnd w:id="0"/>
      <w:bookmarkEnd w:id="1"/>
      <w:bookmarkEnd w:id="2"/>
      <w:bookmarkEnd w:id="3"/>
    </w:p>
    <w:p>
      <w:pPr>
        <w:widowControl/>
        <w:spacing w:line="480" w:lineRule="auto"/>
        <w:ind w:firstLine="480" w:firstLineChars="200"/>
        <w:rPr>
          <w:rFonts w:ascii="宋体" w:hAnsi="宋体" w:cs="宋体"/>
          <w:sz w:val="24"/>
          <w:u w:val="single"/>
        </w:rPr>
      </w:pPr>
      <w:bookmarkStart w:id="4" w:name="_Toc467069872"/>
      <w:bookmarkStart w:id="5" w:name="_Toc461570725"/>
      <w:bookmarkStart w:id="6" w:name="_Toc459109226"/>
      <w:bookmarkStart w:id="7" w:name="_Toc21931"/>
      <w:r>
        <w:rPr>
          <w:rFonts w:hint="eastAsia" w:ascii="宋体" w:hAnsi="宋体" w:cs="宋体"/>
          <w:sz w:val="24"/>
          <w:u w:val="single"/>
        </w:rPr>
        <w:t>油烟三参数在线监测设备107套；</w:t>
      </w:r>
    </w:p>
    <w:p>
      <w:pPr>
        <w:widowControl/>
        <w:spacing w:line="480" w:lineRule="auto"/>
        <w:ind w:firstLine="480" w:firstLineChars="200"/>
        <w:rPr>
          <w:rFonts w:ascii="宋体" w:hAnsi="宋体" w:cs="宋体"/>
          <w:sz w:val="24"/>
          <w:u w:val="single"/>
        </w:rPr>
      </w:pPr>
      <w:r>
        <w:rPr>
          <w:rFonts w:hint="eastAsia" w:ascii="宋体" w:hAnsi="宋体" w:cs="宋体"/>
          <w:sz w:val="24"/>
          <w:u w:val="single"/>
        </w:rPr>
        <w:t>油烟三参数在线监测软件系统升级1套。</w:t>
      </w:r>
    </w:p>
    <w:p>
      <w:pPr>
        <w:adjustRightInd w:val="0"/>
        <w:snapToGrid w:val="0"/>
        <w:spacing w:line="480" w:lineRule="auto"/>
        <w:rPr>
          <w:rFonts w:ascii="宋体" w:hAnsi="宋体"/>
          <w:b/>
          <w:sz w:val="24"/>
        </w:rPr>
      </w:pPr>
      <w:r>
        <w:rPr>
          <w:rFonts w:hint="eastAsia" w:ascii="宋体" w:hAnsi="宋体"/>
          <w:b/>
          <w:sz w:val="24"/>
        </w:rPr>
        <w:t>三、合同总价</w:t>
      </w:r>
      <w:bookmarkEnd w:id="4"/>
      <w:bookmarkEnd w:id="5"/>
      <w:bookmarkEnd w:id="6"/>
      <w:bookmarkEnd w:id="7"/>
    </w:p>
    <w:p>
      <w:pPr>
        <w:widowControl/>
        <w:spacing w:line="480" w:lineRule="auto"/>
        <w:ind w:firstLine="480" w:firstLineChars="200"/>
        <w:rPr>
          <w:rFonts w:ascii="宋体" w:hAnsi="宋体" w:cs="宋体"/>
          <w:sz w:val="24"/>
          <w:u w:val="single"/>
        </w:rPr>
      </w:pPr>
      <w:r>
        <w:rPr>
          <w:rFonts w:hint="eastAsia" w:ascii="宋体" w:hAnsi="宋体" w:cs="宋体"/>
          <w:sz w:val="24"/>
          <w:u w:val="single"/>
        </w:rPr>
        <w:t>本合同总价为3</w:t>
      </w:r>
      <w:r>
        <w:rPr>
          <w:rFonts w:ascii="宋体" w:hAnsi="宋体" w:cs="宋体"/>
          <w:sz w:val="24"/>
          <w:u w:val="single"/>
        </w:rPr>
        <w:t>883000.00</w:t>
      </w:r>
      <w:r>
        <w:rPr>
          <w:rFonts w:hint="eastAsia" w:ascii="宋体" w:hAnsi="宋体" w:cs="宋体"/>
          <w:sz w:val="24"/>
          <w:u w:val="single"/>
        </w:rPr>
        <w:t>元人民币。</w:t>
      </w:r>
    </w:p>
    <w:p>
      <w:pPr>
        <w:widowControl/>
        <w:spacing w:line="480" w:lineRule="auto"/>
        <w:ind w:firstLine="480" w:firstLineChars="200"/>
        <w:rPr>
          <w:rFonts w:ascii="宋体" w:hAnsi="宋体" w:cs="宋体"/>
          <w:sz w:val="24"/>
          <w:u w:val="single"/>
        </w:rPr>
      </w:pPr>
      <w:r>
        <w:rPr>
          <w:rFonts w:hint="eastAsia" w:ascii="宋体" w:hAnsi="宋体" w:cs="宋体"/>
          <w:sz w:val="24"/>
          <w:u w:val="single"/>
        </w:rPr>
        <w:t>分项价格：</w:t>
      </w:r>
    </w:p>
    <w:p>
      <w:pPr>
        <w:widowControl/>
        <w:spacing w:line="480" w:lineRule="auto"/>
        <w:ind w:firstLine="480" w:firstLineChars="200"/>
        <w:rPr>
          <w:rFonts w:ascii="宋体" w:hAnsi="宋体" w:cs="宋体"/>
          <w:sz w:val="24"/>
          <w:u w:val="single"/>
        </w:rPr>
      </w:pPr>
      <w:r>
        <w:rPr>
          <w:rFonts w:hint="eastAsia" w:ascii="宋体" w:hAnsi="宋体" w:cs="宋体"/>
          <w:sz w:val="24"/>
          <w:u w:val="single"/>
        </w:rPr>
        <w:t>油烟三参数在线监测设备107套，设备单价为30400.00元，设备总价为3252800</w:t>
      </w:r>
      <w:r>
        <w:rPr>
          <w:rFonts w:ascii="宋体" w:hAnsi="宋体" w:cs="宋体"/>
          <w:sz w:val="24"/>
          <w:u w:val="single"/>
        </w:rPr>
        <w:t>.00</w:t>
      </w:r>
      <w:r>
        <w:rPr>
          <w:rFonts w:hint="eastAsia" w:ascii="宋体" w:hAnsi="宋体" w:cs="宋体"/>
          <w:sz w:val="24"/>
          <w:u w:val="single"/>
        </w:rPr>
        <w:t>元；</w:t>
      </w:r>
    </w:p>
    <w:p>
      <w:pPr>
        <w:widowControl/>
        <w:spacing w:line="480" w:lineRule="auto"/>
        <w:ind w:firstLine="480" w:firstLineChars="200"/>
        <w:rPr>
          <w:rFonts w:ascii="宋体" w:hAnsi="宋体" w:cs="宋体"/>
          <w:sz w:val="24"/>
          <w:u w:val="single"/>
        </w:rPr>
      </w:pPr>
      <w:r>
        <w:rPr>
          <w:rFonts w:hint="eastAsia" w:ascii="宋体" w:hAnsi="宋体" w:cs="宋体"/>
          <w:sz w:val="24"/>
          <w:u w:val="single"/>
        </w:rPr>
        <w:t>油烟三参数在线监测软件系统升级1套，总价24</w:t>
      </w:r>
      <w:r>
        <w:rPr>
          <w:rFonts w:ascii="宋体" w:hAnsi="宋体" w:cs="宋体"/>
          <w:sz w:val="24"/>
          <w:u w:val="single"/>
        </w:rPr>
        <w:t>5000.00</w:t>
      </w:r>
      <w:r>
        <w:rPr>
          <w:rFonts w:hint="eastAsia" w:ascii="宋体" w:hAnsi="宋体" w:cs="宋体"/>
          <w:sz w:val="24"/>
          <w:u w:val="single"/>
        </w:rPr>
        <w:t>元。</w:t>
      </w:r>
    </w:p>
    <w:p>
      <w:pPr>
        <w:widowControl/>
        <w:spacing w:line="480" w:lineRule="auto"/>
        <w:ind w:firstLine="480" w:firstLineChars="200"/>
        <w:rPr>
          <w:rFonts w:hint="eastAsia" w:ascii="宋体" w:hAnsi="宋体" w:cs="宋体"/>
          <w:sz w:val="24"/>
          <w:u w:val="single"/>
        </w:rPr>
      </w:pPr>
      <w:r>
        <w:rPr>
          <w:rFonts w:hint="eastAsia" w:ascii="宋体" w:hAnsi="宋体" w:cs="宋体"/>
          <w:sz w:val="24"/>
          <w:u w:val="single"/>
        </w:rPr>
        <w:t>油烟三参数在线监测设备安装及辅材107套，单价为3600.00元,总价385200</w:t>
      </w:r>
      <w:r>
        <w:rPr>
          <w:rFonts w:ascii="宋体" w:hAnsi="宋体" w:cs="宋体"/>
          <w:sz w:val="24"/>
          <w:u w:val="single"/>
        </w:rPr>
        <w:t>.00</w:t>
      </w:r>
      <w:r>
        <w:rPr>
          <w:rFonts w:hint="eastAsia" w:ascii="宋体" w:hAnsi="宋体" w:cs="宋体"/>
          <w:sz w:val="24"/>
          <w:u w:val="single"/>
        </w:rPr>
        <w:t>元。</w:t>
      </w:r>
    </w:p>
    <w:p>
      <w:pPr>
        <w:pStyle w:val="2"/>
        <w:rPr>
          <w:rFonts w:hint="default" w:eastAsia="宋体"/>
          <w:lang w:val="en-US" w:eastAsia="zh-CN"/>
        </w:rPr>
      </w:pPr>
      <w:r>
        <w:rPr>
          <w:rFonts w:hint="eastAsia" w:ascii="宋体" w:hAnsi="宋体" w:cs="宋体"/>
          <w:sz w:val="24"/>
          <w:u w:val="single"/>
          <w:lang w:val="en-US" w:eastAsia="zh-CN"/>
        </w:rPr>
        <w:t>每台设备运维费用为8000元/年，自验收合格起免费运维半年。</w:t>
      </w:r>
    </w:p>
    <w:p>
      <w:pPr>
        <w:pStyle w:val="2"/>
        <w:rPr>
          <w:rFonts w:hint="default" w:eastAsia="宋体"/>
          <w:lang w:val="en-US" w:eastAsia="zh-CN"/>
        </w:rPr>
      </w:pPr>
    </w:p>
    <w:p>
      <w:pPr>
        <w:adjustRightInd w:val="0"/>
        <w:snapToGrid w:val="0"/>
        <w:spacing w:line="480" w:lineRule="auto"/>
        <w:rPr>
          <w:rFonts w:ascii="宋体" w:hAnsi="宋体"/>
          <w:b/>
          <w:sz w:val="24"/>
        </w:rPr>
      </w:pPr>
      <w:bookmarkStart w:id="8" w:name="_Toc467069873"/>
      <w:bookmarkStart w:id="9" w:name="_Toc1305"/>
      <w:bookmarkStart w:id="10" w:name="_Toc461570726"/>
      <w:bookmarkStart w:id="11" w:name="_Toc459109227"/>
      <w:r>
        <w:rPr>
          <w:rFonts w:hint="eastAsia" w:ascii="宋体" w:hAnsi="宋体"/>
          <w:b/>
          <w:sz w:val="24"/>
        </w:rPr>
        <w:t>四、付款方式</w:t>
      </w:r>
      <w:bookmarkEnd w:id="8"/>
      <w:bookmarkEnd w:id="9"/>
      <w:bookmarkEnd w:id="10"/>
      <w:bookmarkEnd w:id="11"/>
    </w:p>
    <w:p>
      <w:pPr>
        <w:widowControl/>
        <w:spacing w:line="480" w:lineRule="auto"/>
        <w:ind w:firstLine="480" w:firstLineChars="200"/>
        <w:rPr>
          <w:rFonts w:ascii="宋体" w:hAnsi="宋体" w:cs="宋体"/>
          <w:sz w:val="24"/>
          <w:u w:val="single"/>
        </w:rPr>
      </w:pPr>
      <w:r>
        <w:rPr>
          <w:rFonts w:hint="eastAsia" w:ascii="宋体" w:hAnsi="宋体" w:cs="宋体"/>
          <w:sz w:val="24"/>
          <w:u w:val="single"/>
        </w:rPr>
        <w:t>本合同的付款方式为： 详见合同特殊条款</w:t>
      </w:r>
    </w:p>
    <w:p>
      <w:pPr>
        <w:adjustRightInd w:val="0"/>
        <w:snapToGrid w:val="0"/>
        <w:spacing w:line="480" w:lineRule="auto"/>
        <w:rPr>
          <w:rFonts w:ascii="宋体" w:hAnsi="宋体"/>
          <w:b/>
          <w:sz w:val="24"/>
        </w:rPr>
      </w:pPr>
      <w:bookmarkStart w:id="12" w:name="_Toc461570727"/>
      <w:bookmarkStart w:id="13" w:name="_Toc459109228"/>
      <w:bookmarkStart w:id="14" w:name="_Toc467069874"/>
      <w:bookmarkStart w:id="15" w:name="_Toc447"/>
      <w:r>
        <w:rPr>
          <w:rFonts w:hint="eastAsia" w:ascii="宋体" w:hAnsi="宋体"/>
          <w:b/>
          <w:sz w:val="24"/>
        </w:rPr>
        <w:t>五、本合同货物的交货时间及交货地点</w:t>
      </w:r>
      <w:bookmarkEnd w:id="12"/>
      <w:bookmarkEnd w:id="13"/>
      <w:bookmarkEnd w:id="14"/>
      <w:bookmarkEnd w:id="15"/>
    </w:p>
    <w:p>
      <w:pPr>
        <w:widowControl/>
        <w:spacing w:before="120" w:line="480" w:lineRule="auto"/>
        <w:ind w:firstLine="480" w:firstLineChars="200"/>
        <w:rPr>
          <w:rFonts w:ascii="宋体" w:hAnsi="宋体" w:cs="宋体"/>
          <w:sz w:val="24"/>
        </w:rPr>
      </w:pPr>
      <w:r>
        <w:rPr>
          <w:rFonts w:hint="eastAsia" w:ascii="宋体" w:hAnsi="宋体" w:cs="宋体"/>
          <w:sz w:val="24"/>
        </w:rPr>
        <w:t>交货时间：</w:t>
      </w:r>
      <w:r>
        <w:rPr>
          <w:rFonts w:hint="eastAsia" w:ascii="宋体" w:hAnsi="宋体" w:cs="宋体"/>
          <w:sz w:val="24"/>
          <w:u w:val="single"/>
        </w:rPr>
        <w:t>经甲方确认现场具备条件后，六个月内完成油烟三参数在线监测设备的安装、调试至正常使用状态组织项目验收，该项目完成截止时间为2020年12月31日。</w:t>
      </w:r>
    </w:p>
    <w:p>
      <w:pPr>
        <w:widowControl/>
        <w:spacing w:before="120" w:line="480" w:lineRule="auto"/>
        <w:ind w:firstLine="480" w:firstLineChars="200"/>
        <w:rPr>
          <w:rFonts w:ascii="宋体" w:hAnsi="宋体" w:cs="宋体"/>
          <w:sz w:val="24"/>
        </w:rPr>
      </w:pPr>
      <w:r>
        <w:rPr>
          <w:rFonts w:hint="eastAsia" w:ascii="宋体" w:hAnsi="宋体" w:cs="宋体"/>
          <w:sz w:val="24"/>
        </w:rPr>
        <w:t>交货地点：</w:t>
      </w:r>
      <w:r>
        <w:rPr>
          <w:rFonts w:hint="eastAsia" w:ascii="宋体" w:hAnsi="宋体" w:cs="宋体"/>
          <w:sz w:val="24"/>
          <w:u w:val="single"/>
        </w:rPr>
        <w:t>甲方指定地点。</w:t>
      </w:r>
    </w:p>
    <w:p>
      <w:pPr>
        <w:adjustRightInd w:val="0"/>
        <w:snapToGrid w:val="0"/>
        <w:spacing w:line="480" w:lineRule="auto"/>
        <w:rPr>
          <w:rFonts w:ascii="宋体" w:hAnsi="宋体"/>
          <w:b/>
          <w:sz w:val="24"/>
        </w:rPr>
      </w:pPr>
      <w:bookmarkStart w:id="16" w:name="_Toc467069875"/>
      <w:bookmarkStart w:id="17" w:name="_Toc1002"/>
      <w:bookmarkStart w:id="18" w:name="_Toc461570728"/>
      <w:bookmarkStart w:id="19" w:name="_Toc459109229"/>
      <w:r>
        <w:rPr>
          <w:rFonts w:hint="eastAsia" w:ascii="宋体" w:hAnsi="宋体"/>
          <w:b/>
          <w:sz w:val="24"/>
        </w:rPr>
        <w:t>六、合同的生效</w:t>
      </w:r>
      <w:bookmarkEnd w:id="16"/>
      <w:bookmarkEnd w:id="17"/>
      <w:bookmarkEnd w:id="18"/>
      <w:bookmarkEnd w:id="19"/>
    </w:p>
    <w:p>
      <w:pPr>
        <w:widowControl/>
        <w:spacing w:before="120" w:line="480" w:lineRule="auto"/>
        <w:ind w:firstLine="426"/>
        <w:rPr>
          <w:rFonts w:ascii="宋体" w:hAnsi="宋体" w:cs="宋体"/>
          <w:sz w:val="24"/>
        </w:rPr>
      </w:pPr>
      <w:r>
        <w:rPr>
          <w:rFonts w:hint="eastAsia" w:ascii="宋体" w:hAnsi="宋体" w:cs="宋体"/>
          <w:sz w:val="24"/>
        </w:rPr>
        <w:t>本合同经双方法定代表人或其授权代表签署、加盖单位公章并后生效。</w:t>
      </w:r>
    </w:p>
    <w:p>
      <w:pPr>
        <w:pStyle w:val="2"/>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甲方：北京市大兴区生态环境局</w:t>
            </w:r>
          </w:p>
        </w:tc>
        <w:tc>
          <w:tcPr>
            <w:tcW w:w="4673" w:type="dxa"/>
          </w:tcPr>
          <w:p>
            <w:pPr>
              <w:pStyle w:val="2"/>
              <w:ind w:firstLine="0" w:firstLineChars="0"/>
              <w:rPr>
                <w:rFonts w:ascii="宋体" w:hAnsi="宋体"/>
              </w:rPr>
            </w:pPr>
            <w:r>
              <w:rPr>
                <w:rFonts w:hint="eastAsia" w:ascii="宋体" w:hAnsi="宋体" w:cs="宋体"/>
                <w:sz w:val="24"/>
              </w:rPr>
              <w:t>乙方：苏州市伏泰信息科技股份有公司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名称：(印章)</w:t>
            </w:r>
          </w:p>
        </w:tc>
        <w:tc>
          <w:tcPr>
            <w:tcW w:w="4673" w:type="dxa"/>
          </w:tcPr>
          <w:p>
            <w:pPr>
              <w:pStyle w:val="2"/>
              <w:ind w:firstLine="0" w:firstLineChars="0"/>
              <w:rPr>
                <w:rFonts w:ascii="宋体" w:hAnsi="宋体"/>
              </w:rPr>
            </w:pPr>
            <w:r>
              <w:rPr>
                <w:rFonts w:hint="eastAsia" w:ascii="宋体" w:hAnsi="宋体" w:cs="宋体"/>
                <w:sz w:val="24"/>
              </w:rPr>
              <w:t>名称：(印章)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全权代表(签字)：</w:t>
            </w:r>
          </w:p>
        </w:tc>
        <w:tc>
          <w:tcPr>
            <w:tcW w:w="4673" w:type="dxa"/>
          </w:tcPr>
          <w:p>
            <w:pPr>
              <w:pStyle w:val="2"/>
              <w:ind w:firstLine="0" w:firstLineChars="0"/>
              <w:rPr>
                <w:rFonts w:ascii="宋体" w:hAnsi="宋体"/>
              </w:rPr>
            </w:pPr>
            <w:r>
              <w:rPr>
                <w:rFonts w:hint="eastAsia" w:ascii="宋体" w:hAnsi="宋体" w:cs="宋体"/>
                <w:sz w:val="24"/>
              </w:rPr>
              <w:t>全权代表(签字)：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地址：北京市大兴区兴政南巷8号</w:t>
            </w:r>
          </w:p>
        </w:tc>
        <w:tc>
          <w:tcPr>
            <w:tcW w:w="4673" w:type="dxa"/>
          </w:tcPr>
          <w:p>
            <w:pPr>
              <w:pStyle w:val="2"/>
              <w:ind w:firstLine="0" w:firstLineChars="0"/>
              <w:rPr>
                <w:rFonts w:ascii="宋体" w:hAnsi="宋体"/>
              </w:rPr>
            </w:pPr>
            <w:r>
              <w:rPr>
                <w:rFonts w:hint="eastAsia" w:ascii="宋体" w:hAnsi="宋体" w:cs="宋体"/>
                <w:sz w:val="24"/>
              </w:rPr>
              <w:t>地址：苏州市工业园区月亮湾1</w:t>
            </w:r>
            <w:r>
              <w:rPr>
                <w:rFonts w:ascii="宋体" w:hAnsi="宋体" w:cs="宋体"/>
                <w:sz w:val="24"/>
              </w:rPr>
              <w:t>0</w:t>
            </w:r>
            <w:r>
              <w:rPr>
                <w:rFonts w:hint="eastAsia" w:ascii="宋体" w:hAnsi="宋体" w:cs="宋体"/>
                <w:sz w:val="24"/>
              </w:rPr>
              <w:t>号慧湖大厦北楼1</w:t>
            </w:r>
            <w:r>
              <w:rPr>
                <w:rFonts w:ascii="宋体" w:hAnsi="宋体" w:cs="宋体"/>
                <w:sz w:val="24"/>
              </w:rPr>
              <w:t>2</w:t>
            </w:r>
            <w:r>
              <w:rPr>
                <w:rFonts w:hint="eastAsia" w:ascii="宋体" w:hAnsi="宋体" w:cs="宋体"/>
                <w:sz w:val="24"/>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邮政编码：102600</w:t>
            </w:r>
          </w:p>
        </w:tc>
        <w:tc>
          <w:tcPr>
            <w:tcW w:w="4673" w:type="dxa"/>
          </w:tcPr>
          <w:p>
            <w:pPr>
              <w:pStyle w:val="2"/>
              <w:ind w:firstLine="0" w:firstLineChars="0"/>
              <w:rPr>
                <w:rFonts w:ascii="宋体" w:hAnsi="宋体"/>
              </w:rPr>
            </w:pPr>
            <w:r>
              <w:rPr>
                <w:rFonts w:hint="eastAsia" w:ascii="宋体" w:hAnsi="宋体" w:cs="宋体"/>
                <w:sz w:val="24"/>
              </w:rPr>
              <w:t>邮政编码：2</w:t>
            </w:r>
            <w:r>
              <w:rPr>
                <w:rFonts w:ascii="宋体" w:hAnsi="宋体" w:cs="宋体"/>
                <w:sz w:val="24"/>
              </w:rPr>
              <w:t>15124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电　　话：010-89293263</w:t>
            </w:r>
          </w:p>
        </w:tc>
        <w:tc>
          <w:tcPr>
            <w:tcW w:w="4673" w:type="dxa"/>
          </w:tcPr>
          <w:p>
            <w:pPr>
              <w:pStyle w:val="2"/>
              <w:ind w:firstLine="0" w:firstLineChars="0"/>
              <w:rPr>
                <w:rFonts w:ascii="宋体" w:hAnsi="宋体"/>
              </w:rPr>
            </w:pPr>
            <w:r>
              <w:rPr>
                <w:rFonts w:hint="eastAsia" w:ascii="宋体" w:hAnsi="宋体" w:cs="宋体"/>
                <w:sz w:val="24"/>
              </w:rPr>
              <w:t>电　　话：</w:t>
            </w:r>
            <w:r>
              <w:rPr>
                <w:rFonts w:ascii="宋体" w:hAnsi="宋体" w:cs="宋体"/>
                <w:sz w:val="24"/>
              </w:rPr>
              <w:t>0512-62928535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开户银行：工商银行大兴支行</w:t>
            </w:r>
          </w:p>
        </w:tc>
        <w:tc>
          <w:tcPr>
            <w:tcW w:w="4673" w:type="dxa"/>
          </w:tcPr>
          <w:p>
            <w:pPr>
              <w:pStyle w:val="2"/>
              <w:ind w:firstLine="0" w:firstLineChars="0"/>
              <w:rPr>
                <w:rFonts w:ascii="宋体" w:hAnsi="宋体"/>
              </w:rPr>
            </w:pPr>
            <w:r>
              <w:rPr>
                <w:rFonts w:hint="eastAsia" w:ascii="宋体" w:hAnsi="宋体" w:cs="宋体"/>
                <w:sz w:val="24"/>
              </w:rPr>
              <w:t>开户银行：建行苏州工业园区支行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pPr>
              <w:pStyle w:val="2"/>
              <w:ind w:firstLine="0" w:firstLineChars="0"/>
              <w:rPr>
                <w:rFonts w:ascii="宋体" w:hAnsi="宋体"/>
              </w:rPr>
            </w:pPr>
            <w:r>
              <w:rPr>
                <w:rFonts w:hint="eastAsia" w:ascii="宋体" w:hAnsi="宋体" w:cs="宋体"/>
                <w:sz w:val="24"/>
              </w:rPr>
              <w:t>帐　　号：0200011429008824727</w:t>
            </w:r>
          </w:p>
        </w:tc>
        <w:tc>
          <w:tcPr>
            <w:tcW w:w="4673" w:type="dxa"/>
          </w:tcPr>
          <w:p>
            <w:pPr>
              <w:pStyle w:val="2"/>
              <w:ind w:firstLine="0" w:firstLineChars="0"/>
              <w:rPr>
                <w:rFonts w:ascii="宋体" w:hAnsi="宋体"/>
              </w:rPr>
            </w:pPr>
            <w:r>
              <w:rPr>
                <w:rFonts w:hint="eastAsia" w:ascii="宋体" w:hAnsi="宋体" w:cs="宋体"/>
                <w:sz w:val="24"/>
              </w:rPr>
              <w:t>帐　　号：</w:t>
            </w:r>
            <w:r>
              <w:rPr>
                <w:rFonts w:ascii="宋体" w:hAnsi="宋体" w:cs="宋体"/>
                <w:sz w:val="24"/>
              </w:rPr>
              <w:t>32250198883600002421</w:t>
            </w:r>
          </w:p>
        </w:tc>
      </w:tr>
    </w:tbl>
    <w:p>
      <w:pPr>
        <w:widowControl/>
        <w:spacing w:before="120" w:line="480" w:lineRule="auto"/>
        <w:jc w:val="left"/>
        <w:rPr>
          <w:rFonts w:cs="宋体" w:asciiTheme="minorEastAsia" w:hAnsiTheme="minorEastAsia" w:eastAsiaTheme="minorEastAsia"/>
          <w:sz w:val="24"/>
        </w:rPr>
      </w:pPr>
    </w:p>
    <w:p>
      <w:pPr>
        <w:pStyle w:val="2"/>
      </w:pPr>
      <w:r>
        <w:br w:type="page"/>
      </w:r>
    </w:p>
    <w:p>
      <w:pPr>
        <w:widowControl/>
        <w:spacing w:before="240" w:line="480" w:lineRule="auto"/>
        <w:jc w:val="center"/>
        <w:rPr>
          <w:rFonts w:ascii="宋体" w:hAnsi="宋体" w:cs="宋体"/>
          <w:b/>
          <w:sz w:val="24"/>
        </w:rPr>
      </w:pPr>
      <w:r>
        <w:rPr>
          <w:rFonts w:hint="eastAsia" w:ascii="宋体" w:hAnsi="宋体" w:cs="宋体"/>
          <w:b/>
          <w:sz w:val="24"/>
        </w:rPr>
        <w:t>合同一般条款</w:t>
      </w:r>
    </w:p>
    <w:p>
      <w:pPr>
        <w:pStyle w:val="11"/>
        <w:spacing w:line="240" w:lineRule="exact"/>
      </w:pPr>
    </w:p>
    <w:p>
      <w:pPr>
        <w:spacing w:line="480" w:lineRule="auto"/>
        <w:ind w:firstLine="482" w:firstLineChars="200"/>
        <w:rPr>
          <w:rFonts w:ascii="宋体" w:hAnsi="宋体"/>
          <w:b/>
          <w:sz w:val="24"/>
        </w:rPr>
      </w:pPr>
      <w:bookmarkStart w:id="20" w:name="_Ref467378463"/>
      <w:bookmarkStart w:id="21" w:name="_Ref467378499"/>
      <w:bookmarkStart w:id="22" w:name="_Ref467379101"/>
      <w:bookmarkStart w:id="23" w:name="_Toc487900349"/>
      <w:bookmarkStart w:id="24" w:name="_Ref467379195"/>
      <w:bookmarkStart w:id="25" w:name="_Ref467379205"/>
      <w:bookmarkStart w:id="26" w:name="_Ref467379214"/>
      <w:bookmarkStart w:id="27" w:name="_Toc467069843"/>
      <w:bookmarkStart w:id="28" w:name="_Toc459109197"/>
      <w:bookmarkStart w:id="29" w:name="_Ref467379225"/>
      <w:bookmarkStart w:id="30" w:name="_Ref467379109"/>
      <w:bookmarkStart w:id="31" w:name="_Toc461570696"/>
      <w:bookmarkStart w:id="32" w:name="_Ref467378404"/>
      <w:bookmarkStart w:id="33" w:name="_Toc9321"/>
      <w:bookmarkStart w:id="34" w:name="_Ref467379094"/>
      <w:r>
        <w:rPr>
          <w:rFonts w:hint="eastAsia" w:ascii="宋体" w:hAnsi="宋体"/>
          <w:b/>
          <w:sz w:val="24"/>
        </w:rPr>
        <w:t>一、定义</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spacing w:line="480" w:lineRule="auto"/>
        <w:ind w:firstLine="480" w:firstLineChars="200"/>
        <w:rPr>
          <w:rFonts w:ascii="宋体" w:hAnsi="宋体" w:cs="宋体"/>
          <w:sz w:val="24"/>
        </w:rPr>
      </w:pPr>
      <w:r>
        <w:rPr>
          <w:rFonts w:hint="eastAsia" w:ascii="宋体" w:hAnsi="宋体" w:cs="宋体"/>
          <w:sz w:val="24"/>
        </w:rPr>
        <w:t>本合同中的下列术语应解释为：</w:t>
      </w:r>
    </w:p>
    <w:p>
      <w:pPr>
        <w:widowControl/>
        <w:spacing w:line="480" w:lineRule="auto"/>
        <w:ind w:firstLine="480" w:firstLineChars="200"/>
        <w:rPr>
          <w:rFonts w:ascii="宋体" w:hAnsi="宋体" w:cs="宋体"/>
          <w:sz w:val="24"/>
        </w:rPr>
      </w:pPr>
      <w:r>
        <w:rPr>
          <w:rFonts w:hint="eastAsia" w:ascii="宋体" w:hAnsi="宋体" w:cs="宋体"/>
          <w:sz w:val="24"/>
        </w:rPr>
        <w:t>（一）“合同”系指甲乙双方签署的、设立、变更、终止双方民事权利义务关系的协议， 包括所有的附件、附录和构成合同的其它文件。</w:t>
      </w:r>
    </w:p>
    <w:p>
      <w:pPr>
        <w:widowControl/>
        <w:spacing w:line="480" w:lineRule="auto"/>
        <w:ind w:firstLine="480" w:firstLineChars="200"/>
        <w:rPr>
          <w:rFonts w:ascii="宋体" w:hAnsi="宋体" w:cs="宋体"/>
          <w:sz w:val="24"/>
        </w:rPr>
      </w:pPr>
      <w:r>
        <w:rPr>
          <w:rFonts w:hint="eastAsia" w:ascii="宋体" w:hAnsi="宋体" w:cs="宋体"/>
          <w:sz w:val="24"/>
        </w:rPr>
        <w:t>（二）“合同价”系指根据合同约定，乙方在完全履行合同义务后甲方应付给乙方的价格。</w:t>
      </w:r>
    </w:p>
    <w:p>
      <w:pPr>
        <w:widowControl/>
        <w:spacing w:line="480" w:lineRule="auto"/>
        <w:ind w:firstLine="480" w:firstLineChars="200"/>
        <w:rPr>
          <w:rFonts w:ascii="宋体" w:hAnsi="宋体" w:cs="宋体"/>
          <w:sz w:val="24"/>
        </w:rPr>
      </w:pPr>
      <w:r>
        <w:rPr>
          <w:rFonts w:hint="eastAsia" w:ascii="宋体" w:hAnsi="宋体" w:cs="宋体"/>
          <w:sz w:val="24"/>
        </w:rPr>
        <w:t>（三）“货物”系指乙方根据合同约定须向甲方提供的一切设备、机械、仪表、备件，包括工具、手册等其它相关资料。</w:t>
      </w:r>
    </w:p>
    <w:p>
      <w:pPr>
        <w:widowControl/>
        <w:spacing w:line="480" w:lineRule="auto"/>
        <w:ind w:firstLine="480" w:firstLineChars="200"/>
        <w:rPr>
          <w:rFonts w:ascii="宋体" w:hAnsi="宋体" w:cs="宋体"/>
          <w:sz w:val="24"/>
        </w:rPr>
      </w:pPr>
      <w:r>
        <w:rPr>
          <w:rFonts w:hint="eastAsia" w:ascii="宋体" w:hAnsi="宋体" w:cs="宋体"/>
          <w:sz w:val="24"/>
        </w:rPr>
        <w:t>（四）“服务”系指根据合同约定乙方承担与供货有关的辅助服务，如运输、保险及安装、调试、提供技术援助、培训和其他类似的服务。</w:t>
      </w:r>
    </w:p>
    <w:p>
      <w:pPr>
        <w:widowControl/>
        <w:spacing w:line="480" w:lineRule="auto"/>
        <w:ind w:firstLine="480" w:firstLineChars="200"/>
        <w:rPr>
          <w:rFonts w:ascii="宋体" w:hAnsi="宋体" w:cs="宋体"/>
          <w:sz w:val="24"/>
        </w:rPr>
      </w:pPr>
      <w:bookmarkStart w:id="35" w:name="_Ref467378840"/>
      <w:r>
        <w:rPr>
          <w:rFonts w:hint="eastAsia" w:ascii="宋体" w:hAnsi="宋体" w:cs="宋体"/>
          <w:sz w:val="24"/>
        </w:rPr>
        <w:t>（五）“甲方”系指与中标人签署供货合同的单位（含最终用户）。</w:t>
      </w:r>
      <w:bookmarkEnd w:id="35"/>
    </w:p>
    <w:p>
      <w:pPr>
        <w:widowControl/>
        <w:spacing w:line="480" w:lineRule="auto"/>
        <w:ind w:firstLine="480" w:firstLineChars="200"/>
        <w:rPr>
          <w:rFonts w:ascii="宋体" w:hAnsi="宋体" w:cs="宋体"/>
          <w:sz w:val="24"/>
        </w:rPr>
      </w:pPr>
      <w:bookmarkStart w:id="36" w:name="_Ref467379400"/>
      <w:r>
        <w:rPr>
          <w:rFonts w:hint="eastAsia" w:ascii="宋体" w:hAnsi="宋体" w:cs="宋体"/>
          <w:sz w:val="24"/>
        </w:rPr>
        <w:t>（六）“乙方”系指根据合同约定提供货物及相关服务的中标人。</w:t>
      </w:r>
      <w:bookmarkEnd w:id="36"/>
    </w:p>
    <w:p>
      <w:pPr>
        <w:widowControl/>
        <w:spacing w:line="480" w:lineRule="auto"/>
        <w:ind w:firstLine="480" w:firstLineChars="200"/>
        <w:rPr>
          <w:rFonts w:ascii="宋体" w:hAnsi="宋体" w:cs="宋体"/>
          <w:sz w:val="24"/>
        </w:rPr>
      </w:pPr>
      <w:bookmarkStart w:id="37" w:name="_Ref467379436"/>
      <w:r>
        <w:rPr>
          <w:rFonts w:hint="eastAsia" w:ascii="宋体" w:hAnsi="宋体" w:cs="宋体"/>
          <w:sz w:val="24"/>
        </w:rPr>
        <w:t>（七）“现场”系指合同约定货物将要运至和安装的地点。</w:t>
      </w:r>
      <w:bookmarkEnd w:id="37"/>
    </w:p>
    <w:p>
      <w:pPr>
        <w:widowControl/>
        <w:spacing w:line="480" w:lineRule="auto"/>
        <w:ind w:firstLine="480" w:firstLineChars="200"/>
        <w:rPr>
          <w:rFonts w:ascii="宋体" w:hAnsi="宋体" w:cs="宋体"/>
          <w:sz w:val="24"/>
        </w:rPr>
      </w:pPr>
      <w:r>
        <w:rPr>
          <w:rFonts w:hint="eastAsia" w:ascii="宋体" w:hAnsi="宋体" w:cs="宋体"/>
          <w:sz w:val="24"/>
        </w:rPr>
        <w:t>（八）“验收”系指合同双方依据强制性的国家技术质量规范和合同约定，确认合同项下的货物符合合同规定的活动。</w:t>
      </w:r>
    </w:p>
    <w:p>
      <w:pPr>
        <w:widowControl/>
        <w:spacing w:line="480" w:lineRule="auto"/>
        <w:ind w:firstLine="482" w:firstLineChars="200"/>
        <w:rPr>
          <w:rFonts w:ascii="宋体" w:hAnsi="宋体" w:cs="宋体"/>
          <w:b/>
          <w:sz w:val="24"/>
        </w:rPr>
      </w:pPr>
      <w:bookmarkStart w:id="38" w:name="_Toc487900350"/>
      <w:bookmarkStart w:id="39" w:name="_Toc459109198"/>
      <w:bookmarkStart w:id="40" w:name="_Toc28368"/>
      <w:bookmarkStart w:id="41" w:name="_Toc461570697"/>
      <w:bookmarkStart w:id="42" w:name="_Toc467069844"/>
      <w:r>
        <w:rPr>
          <w:rFonts w:hint="eastAsia" w:ascii="宋体" w:hAnsi="宋体" w:cs="宋体"/>
          <w:b/>
          <w:sz w:val="24"/>
        </w:rPr>
        <w:t>二、技术规范</w:t>
      </w:r>
      <w:bookmarkEnd w:id="38"/>
      <w:bookmarkEnd w:id="39"/>
      <w:bookmarkEnd w:id="40"/>
      <w:bookmarkEnd w:id="41"/>
      <w:bookmarkEnd w:id="42"/>
    </w:p>
    <w:p>
      <w:pPr>
        <w:widowControl/>
        <w:spacing w:line="480" w:lineRule="auto"/>
        <w:ind w:firstLine="480" w:firstLineChars="200"/>
        <w:rPr>
          <w:rFonts w:ascii="宋体" w:hAnsi="宋体" w:cs="宋体"/>
          <w:sz w:val="24"/>
        </w:rPr>
      </w:pPr>
      <w:r>
        <w:rPr>
          <w:rFonts w:hint="eastAsia" w:ascii="宋体" w:hAnsi="宋体" w:cs="宋体"/>
          <w:sz w:val="24"/>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pPr>
        <w:widowControl/>
        <w:spacing w:line="480" w:lineRule="auto"/>
        <w:ind w:firstLine="482" w:firstLineChars="200"/>
        <w:rPr>
          <w:rFonts w:ascii="宋体" w:hAnsi="宋体" w:cs="宋体"/>
          <w:b/>
          <w:sz w:val="24"/>
        </w:rPr>
      </w:pPr>
      <w:bookmarkStart w:id="43" w:name="_Toc487900351"/>
      <w:bookmarkStart w:id="44" w:name="_Toc12117"/>
      <w:bookmarkStart w:id="45" w:name="_Toc461570698"/>
      <w:bookmarkStart w:id="46" w:name="_Toc467069845"/>
      <w:bookmarkStart w:id="47" w:name="_Toc459109199"/>
      <w:r>
        <w:rPr>
          <w:rFonts w:hint="eastAsia" w:ascii="宋体" w:hAnsi="宋体" w:cs="宋体"/>
          <w:b/>
          <w:sz w:val="24"/>
        </w:rPr>
        <w:t>三、知识产权</w:t>
      </w:r>
      <w:bookmarkEnd w:id="43"/>
      <w:bookmarkEnd w:id="44"/>
      <w:bookmarkEnd w:id="45"/>
      <w:bookmarkEnd w:id="46"/>
      <w:bookmarkEnd w:id="47"/>
      <w:r>
        <w:rPr>
          <w:rFonts w:hint="eastAsia" w:ascii="宋体" w:hAnsi="宋体" w:cs="宋体"/>
          <w:b/>
          <w:sz w:val="24"/>
        </w:rPr>
        <w:tab/>
      </w:r>
    </w:p>
    <w:p>
      <w:pPr>
        <w:widowControl/>
        <w:spacing w:line="480" w:lineRule="auto"/>
        <w:ind w:firstLine="480" w:firstLineChars="200"/>
        <w:rPr>
          <w:rFonts w:ascii="宋体" w:hAnsi="宋体" w:cs="宋体"/>
          <w:sz w:val="24"/>
        </w:rPr>
      </w:pPr>
      <w:r>
        <w:rPr>
          <w:rFonts w:hint="eastAsia" w:ascii="宋体" w:hAnsi="宋体" w:cs="宋体"/>
          <w:sz w:val="24"/>
        </w:rPr>
        <w:t>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pPr>
        <w:widowControl/>
        <w:spacing w:line="480" w:lineRule="auto"/>
        <w:ind w:firstLine="482" w:firstLineChars="200"/>
        <w:rPr>
          <w:rFonts w:ascii="宋体" w:hAnsi="宋体" w:cs="宋体"/>
          <w:b/>
          <w:sz w:val="24"/>
        </w:rPr>
      </w:pPr>
      <w:bookmarkStart w:id="48" w:name="_Toc13640"/>
      <w:bookmarkStart w:id="49" w:name="_Toc459109200"/>
      <w:bookmarkStart w:id="50" w:name="_Toc467069846"/>
      <w:bookmarkStart w:id="51" w:name="_Toc487900352"/>
      <w:bookmarkStart w:id="52" w:name="_Toc461570699"/>
      <w:r>
        <w:rPr>
          <w:rFonts w:hint="eastAsia" w:ascii="宋体" w:hAnsi="宋体" w:cs="宋体"/>
          <w:b/>
          <w:sz w:val="24"/>
        </w:rPr>
        <w:t>四、包装要求</w:t>
      </w:r>
      <w:bookmarkEnd w:id="48"/>
      <w:bookmarkEnd w:id="49"/>
      <w:bookmarkEnd w:id="50"/>
      <w:bookmarkEnd w:id="51"/>
      <w:bookmarkEnd w:id="52"/>
    </w:p>
    <w:p>
      <w:pPr>
        <w:widowControl/>
        <w:spacing w:line="480" w:lineRule="auto"/>
        <w:ind w:firstLine="480" w:firstLineChars="200"/>
        <w:rPr>
          <w:rFonts w:ascii="宋体" w:hAnsi="宋体" w:cs="宋体"/>
          <w:sz w:val="24"/>
        </w:rPr>
      </w:pPr>
      <w:r>
        <w:rPr>
          <w:rFonts w:hint="eastAsia" w:ascii="宋体" w:hAnsi="宋体" w:cs="宋体"/>
          <w:sz w:val="24"/>
        </w:rPr>
        <w:t>（一）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pPr>
        <w:widowControl/>
        <w:spacing w:line="480" w:lineRule="auto"/>
        <w:ind w:firstLine="480" w:firstLineChars="200"/>
        <w:rPr>
          <w:rFonts w:ascii="宋体" w:hAnsi="宋体" w:cs="宋体"/>
          <w:sz w:val="24"/>
        </w:rPr>
      </w:pPr>
      <w:r>
        <w:rPr>
          <w:rFonts w:hint="eastAsia" w:ascii="宋体" w:hAnsi="宋体" w:cs="宋体"/>
          <w:sz w:val="24"/>
        </w:rPr>
        <w:t>（二）每件包装箱内应附一份详细装箱单和质量合格证。</w:t>
      </w:r>
    </w:p>
    <w:p>
      <w:pPr>
        <w:widowControl/>
        <w:spacing w:line="480" w:lineRule="auto"/>
        <w:ind w:firstLine="482" w:firstLineChars="200"/>
        <w:rPr>
          <w:rFonts w:ascii="宋体" w:hAnsi="宋体" w:cs="宋体"/>
          <w:b/>
          <w:sz w:val="24"/>
        </w:rPr>
      </w:pPr>
      <w:bookmarkStart w:id="53" w:name="_Toc487900353"/>
      <w:bookmarkStart w:id="54" w:name="_Toc461570700"/>
      <w:bookmarkStart w:id="55" w:name="_Toc459109201"/>
      <w:bookmarkStart w:id="56" w:name="_Toc6361"/>
      <w:bookmarkStart w:id="57" w:name="_Toc467069847"/>
      <w:r>
        <w:rPr>
          <w:rFonts w:hint="eastAsia" w:ascii="宋体" w:hAnsi="宋体" w:cs="宋体"/>
          <w:b/>
          <w:sz w:val="24"/>
        </w:rPr>
        <w:t>五、装运标志</w:t>
      </w:r>
      <w:bookmarkEnd w:id="53"/>
      <w:bookmarkEnd w:id="54"/>
      <w:bookmarkEnd w:id="55"/>
      <w:bookmarkEnd w:id="56"/>
      <w:bookmarkEnd w:id="57"/>
    </w:p>
    <w:p>
      <w:pPr>
        <w:widowControl/>
        <w:spacing w:line="480" w:lineRule="auto"/>
        <w:ind w:firstLine="480" w:firstLineChars="200"/>
        <w:rPr>
          <w:rFonts w:ascii="宋体" w:hAnsi="宋体" w:cs="宋体"/>
          <w:sz w:val="24"/>
        </w:rPr>
      </w:pPr>
      <w:r>
        <w:rPr>
          <w:rFonts w:hint="eastAsia" w:ascii="宋体" w:hAnsi="宋体" w:cs="宋体"/>
          <w:sz w:val="24"/>
        </w:rPr>
        <w:t>（一）乙方应在每一包装箱的四侧用不褪色的油漆以醒目的中文字样做出下列标记：</w:t>
      </w:r>
    </w:p>
    <w:p>
      <w:pPr>
        <w:widowControl/>
        <w:spacing w:line="480" w:lineRule="auto"/>
        <w:ind w:firstLine="480" w:firstLineChars="200"/>
        <w:rPr>
          <w:rFonts w:ascii="宋体" w:hAnsi="宋体" w:cs="宋体"/>
          <w:sz w:val="24"/>
        </w:rPr>
      </w:pPr>
      <w:r>
        <w:rPr>
          <w:rFonts w:hint="eastAsia" w:ascii="宋体" w:hAnsi="宋体" w:cs="宋体"/>
          <w:sz w:val="24"/>
        </w:rPr>
        <w:t>收货人：</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合同号：</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装运标志：</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收货人代号：</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目的地：</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货物名称、品目号和箱号：</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 xml:space="preserve">毛重/净重： </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尺寸(长×宽×高以厘米计)：</w:t>
      </w:r>
      <w:r>
        <w:rPr>
          <w:rFonts w:hint="eastAsia" w:ascii="宋体" w:hAnsi="宋体" w:cs="宋体"/>
          <w:sz w:val="24"/>
          <w:u w:val="single"/>
        </w:rPr>
        <w:t>　　　　 　　　　　　　　</w:t>
      </w:r>
    </w:p>
    <w:p>
      <w:pPr>
        <w:widowControl/>
        <w:spacing w:line="480" w:lineRule="auto"/>
        <w:ind w:firstLine="480" w:firstLineChars="200"/>
        <w:rPr>
          <w:rFonts w:ascii="宋体" w:hAnsi="宋体" w:cs="宋体"/>
          <w:sz w:val="24"/>
        </w:rPr>
      </w:pPr>
      <w:r>
        <w:rPr>
          <w:rFonts w:hint="eastAsia" w:ascii="宋体" w:hAnsi="宋体" w:cs="宋体"/>
          <w:sz w:val="24"/>
        </w:rPr>
        <w:t>（二）如果货物单件重量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pPr>
        <w:widowControl/>
        <w:spacing w:line="480" w:lineRule="auto"/>
        <w:ind w:firstLine="482" w:firstLineChars="200"/>
        <w:rPr>
          <w:rFonts w:ascii="宋体" w:hAnsi="宋体" w:cs="宋体"/>
          <w:b/>
          <w:sz w:val="24"/>
        </w:rPr>
      </w:pPr>
      <w:bookmarkStart w:id="58" w:name="_Toc27162"/>
      <w:bookmarkStart w:id="59" w:name="_Toc487900354"/>
      <w:bookmarkStart w:id="60" w:name="_Toc467069848"/>
      <w:bookmarkStart w:id="61" w:name="_Ref467379536"/>
      <w:bookmarkStart w:id="62" w:name="_Ref467378591"/>
      <w:bookmarkStart w:id="63" w:name="_Ref467378541"/>
      <w:bookmarkStart w:id="64" w:name="_Ref467379527"/>
      <w:bookmarkStart w:id="65" w:name="_Ref467379542"/>
      <w:bookmarkStart w:id="66" w:name="_Toc461570701"/>
      <w:bookmarkStart w:id="67" w:name="_Toc459109202"/>
      <w:r>
        <w:rPr>
          <w:rFonts w:hint="eastAsia" w:ascii="宋体" w:hAnsi="宋体" w:cs="宋体"/>
          <w:b/>
          <w:sz w:val="24"/>
        </w:rPr>
        <w:t>六、交货方式</w:t>
      </w:r>
      <w:bookmarkEnd w:id="58"/>
      <w:bookmarkEnd w:id="59"/>
      <w:bookmarkEnd w:id="60"/>
      <w:bookmarkEnd w:id="61"/>
      <w:bookmarkEnd w:id="62"/>
      <w:bookmarkEnd w:id="63"/>
      <w:bookmarkEnd w:id="64"/>
      <w:bookmarkEnd w:id="65"/>
      <w:bookmarkEnd w:id="66"/>
      <w:bookmarkEnd w:id="67"/>
    </w:p>
    <w:p>
      <w:pPr>
        <w:widowControl/>
        <w:spacing w:line="480" w:lineRule="auto"/>
        <w:ind w:firstLine="480" w:firstLineChars="200"/>
        <w:rPr>
          <w:rFonts w:ascii="宋体" w:hAnsi="宋体" w:cs="宋体"/>
          <w:sz w:val="24"/>
        </w:rPr>
      </w:pPr>
      <w:bookmarkStart w:id="68" w:name="_Ref467379657"/>
      <w:r>
        <w:rPr>
          <w:rFonts w:hint="eastAsia" w:ascii="宋体" w:hAnsi="宋体" w:cs="宋体"/>
          <w:sz w:val="24"/>
        </w:rPr>
        <w:t>（一）交货方式一般为下列其中一种，具体在合同特殊条款中规定。</w:t>
      </w:r>
      <w:bookmarkEnd w:id="68"/>
    </w:p>
    <w:p>
      <w:pPr>
        <w:widowControl/>
        <w:spacing w:line="480" w:lineRule="auto"/>
        <w:ind w:firstLine="480" w:firstLineChars="200"/>
        <w:rPr>
          <w:rFonts w:ascii="宋体" w:hAnsi="宋体" w:cs="宋体"/>
          <w:sz w:val="24"/>
        </w:rPr>
      </w:pPr>
      <w:r>
        <w:rPr>
          <w:rFonts w:hint="eastAsia" w:ascii="宋体" w:hAnsi="宋体" w:cs="宋体"/>
          <w:sz w:val="24"/>
        </w:rPr>
        <w:t>1．现场交货：乙方负责办理运输和保险，将货物运抵现场。有关运输和保险的一切费用由乙方承担。所有货物运抵现场的日期为交货日期。</w:t>
      </w:r>
    </w:p>
    <w:p>
      <w:pPr>
        <w:widowControl/>
        <w:spacing w:line="480" w:lineRule="auto"/>
        <w:ind w:firstLine="480" w:firstLineChars="200"/>
        <w:rPr>
          <w:rFonts w:ascii="宋体" w:hAnsi="宋体" w:cs="宋体"/>
          <w:sz w:val="24"/>
        </w:rPr>
      </w:pPr>
      <w:r>
        <w:rPr>
          <w:rFonts w:hint="eastAsia" w:ascii="宋体" w:hAnsi="宋体" w:cs="宋体"/>
          <w:sz w:val="24"/>
        </w:rPr>
        <w:t>2．工厂交货：由乙方负责代办运输和保险事宜。运输费和保险费由甲方承担。运输部门出具收据的日期为交货日期。</w:t>
      </w:r>
    </w:p>
    <w:p>
      <w:pPr>
        <w:widowControl/>
        <w:spacing w:line="480" w:lineRule="auto"/>
        <w:ind w:firstLine="480" w:firstLineChars="200"/>
        <w:rPr>
          <w:rFonts w:ascii="宋体" w:hAnsi="宋体" w:cs="宋体"/>
          <w:sz w:val="24"/>
        </w:rPr>
      </w:pPr>
      <w:r>
        <w:rPr>
          <w:rFonts w:hint="eastAsia" w:ascii="宋体" w:hAnsi="宋体" w:cs="宋体"/>
          <w:sz w:val="24"/>
        </w:rPr>
        <w:t>3．甲方自提货物：由甲方在合同规定地点自行办理提货。提单日期为交货日期。</w:t>
      </w:r>
    </w:p>
    <w:p>
      <w:pPr>
        <w:widowControl/>
        <w:spacing w:line="480" w:lineRule="auto"/>
        <w:ind w:firstLine="480" w:firstLineChars="200"/>
        <w:rPr>
          <w:rFonts w:ascii="宋体" w:hAnsi="宋体" w:cs="宋体"/>
          <w:sz w:val="24"/>
        </w:rPr>
      </w:pPr>
      <w:r>
        <w:rPr>
          <w:rFonts w:hint="eastAsia" w:ascii="宋体" w:hAnsi="宋体" w:cs="宋体"/>
          <w:sz w:val="24"/>
        </w:rPr>
        <w:t>（二）乙方应在合同规定的交货期</w:t>
      </w:r>
      <w:r>
        <w:rPr>
          <w:rFonts w:hint="eastAsia" w:ascii="宋体" w:hAnsi="宋体" w:cs="宋体"/>
          <w:sz w:val="24"/>
          <w:u w:val="single"/>
        </w:rPr>
        <w:t xml:space="preserve"> </w:t>
      </w:r>
      <w:r>
        <w:rPr>
          <w:rFonts w:ascii="宋体" w:hAnsi="宋体" w:cs="宋体"/>
          <w:sz w:val="24"/>
          <w:u w:val="single"/>
        </w:rPr>
        <w:t xml:space="preserve">3 </w:t>
      </w:r>
      <w:r>
        <w:rPr>
          <w:rFonts w:hint="eastAsia" w:ascii="宋体" w:hAnsi="宋体" w:cs="宋体"/>
          <w:sz w:val="24"/>
        </w:rPr>
        <w:t>天以前以电报或传真形式将合同号、货物名称、数量、包装箱件数、总毛重、总体积(立方米)和备妥交货日期通知甲方。同时乙方应用挂号信将详细交货清单一式6份包括合同号、货物名称、规格、数量、总毛重、总体积(立方米)、包装箱件数和每个包装箱的尺寸(长×宽×高)、货物总价和备妥待交日期以及对货物在运输和仓储的特殊要求和注意事项通知甲方。</w:t>
      </w:r>
    </w:p>
    <w:p>
      <w:pPr>
        <w:widowControl/>
        <w:spacing w:line="480" w:lineRule="auto"/>
        <w:ind w:firstLine="480" w:firstLineChars="200"/>
        <w:rPr>
          <w:rFonts w:ascii="宋体" w:hAnsi="宋体" w:cs="宋体"/>
          <w:sz w:val="24"/>
        </w:rPr>
      </w:pPr>
      <w:r>
        <w:rPr>
          <w:rFonts w:hint="eastAsia" w:ascii="宋体" w:hAnsi="宋体" w:cs="宋体"/>
          <w:sz w:val="24"/>
        </w:rPr>
        <w:t xml:space="preserve">（三）在现场交货和工厂交货条件下，乙方装运的货物不应超过合同规定的数量或重量。否则，乙方应对超运部分引起的一切后果负责。 </w:t>
      </w:r>
    </w:p>
    <w:p>
      <w:pPr>
        <w:widowControl/>
        <w:spacing w:line="480" w:lineRule="auto"/>
        <w:ind w:firstLine="482" w:firstLineChars="200"/>
        <w:rPr>
          <w:rFonts w:ascii="宋体" w:hAnsi="宋体" w:cs="宋体"/>
          <w:b/>
          <w:sz w:val="24"/>
        </w:rPr>
      </w:pPr>
      <w:bookmarkStart w:id="69" w:name="_Toc467069849"/>
      <w:bookmarkStart w:id="70" w:name="_Toc11753"/>
      <w:bookmarkStart w:id="71" w:name="_Toc461570702"/>
      <w:bookmarkStart w:id="72" w:name="_Toc487900355"/>
      <w:bookmarkStart w:id="73" w:name="_Toc459109203"/>
      <w:r>
        <w:rPr>
          <w:rFonts w:hint="eastAsia" w:ascii="宋体" w:hAnsi="宋体" w:cs="宋体"/>
          <w:b/>
          <w:sz w:val="24"/>
        </w:rPr>
        <w:t>七、装运通知</w:t>
      </w:r>
      <w:bookmarkEnd w:id="69"/>
      <w:bookmarkEnd w:id="70"/>
      <w:bookmarkEnd w:id="71"/>
      <w:bookmarkEnd w:id="72"/>
      <w:bookmarkEnd w:id="73"/>
    </w:p>
    <w:p>
      <w:pPr>
        <w:widowControl/>
        <w:spacing w:line="480" w:lineRule="auto"/>
        <w:ind w:firstLine="480" w:firstLineChars="200"/>
        <w:rPr>
          <w:rFonts w:ascii="宋体" w:hAnsi="宋体" w:cs="宋体"/>
          <w:sz w:val="24"/>
        </w:rPr>
      </w:pPr>
      <w:r>
        <w:rPr>
          <w:rFonts w:hint="eastAsia" w:ascii="宋体" w:hAnsi="宋体" w:cs="宋体"/>
          <w:sz w:val="24"/>
        </w:rPr>
        <w:t>（一）在现场交货和工厂交货条件下的货物，乙方通知甲方货物已备妥待运输后24小时之内，应将合同号、货名、数量、毛重、总体积(立方米)、发票金额、运输工具名称及装运日期，以电报或传真通知甲方。</w:t>
      </w:r>
    </w:p>
    <w:p>
      <w:pPr>
        <w:widowControl/>
        <w:spacing w:line="480" w:lineRule="auto"/>
        <w:ind w:firstLine="480" w:firstLineChars="200"/>
        <w:rPr>
          <w:rFonts w:ascii="宋体" w:hAnsi="宋体" w:cs="宋体"/>
          <w:sz w:val="24"/>
        </w:rPr>
      </w:pPr>
      <w:r>
        <w:rPr>
          <w:rFonts w:hint="eastAsia" w:ascii="宋体" w:hAnsi="宋体" w:cs="宋体"/>
          <w:sz w:val="24"/>
        </w:rPr>
        <w:t>（二）如因乙方延误将上述内容用电报或传真通知甲方，由此引起的一切后果损失应由乙方负责。</w:t>
      </w:r>
    </w:p>
    <w:p>
      <w:pPr>
        <w:widowControl/>
        <w:spacing w:line="480" w:lineRule="auto"/>
        <w:ind w:firstLine="482" w:firstLineChars="200"/>
        <w:rPr>
          <w:rFonts w:ascii="宋体" w:hAnsi="宋体" w:cs="宋体"/>
          <w:b/>
          <w:sz w:val="24"/>
        </w:rPr>
      </w:pPr>
      <w:bookmarkStart w:id="74" w:name="_Ref467379793"/>
      <w:bookmarkStart w:id="75" w:name="_Ref467379807"/>
      <w:bookmarkStart w:id="76" w:name="_Toc31090"/>
      <w:bookmarkStart w:id="77" w:name="_Toc459109204"/>
      <w:bookmarkStart w:id="78" w:name="_Toc487900357"/>
      <w:bookmarkStart w:id="79" w:name="_Toc467069850"/>
      <w:bookmarkStart w:id="80" w:name="_Toc461570703"/>
      <w:r>
        <w:rPr>
          <w:rFonts w:hint="eastAsia" w:ascii="宋体" w:hAnsi="宋体" w:cs="宋体"/>
          <w:b/>
          <w:sz w:val="24"/>
        </w:rPr>
        <w:t>八、付款条件</w:t>
      </w:r>
      <w:bookmarkEnd w:id="74"/>
      <w:bookmarkEnd w:id="75"/>
      <w:bookmarkEnd w:id="76"/>
      <w:bookmarkEnd w:id="77"/>
      <w:bookmarkEnd w:id="78"/>
      <w:bookmarkEnd w:id="79"/>
      <w:bookmarkEnd w:id="80"/>
    </w:p>
    <w:p>
      <w:pPr>
        <w:spacing w:line="480" w:lineRule="auto"/>
        <w:ind w:firstLine="422" w:firstLineChars="176"/>
        <w:rPr>
          <w:rFonts w:ascii="宋体" w:hAnsi="宋体"/>
          <w:b/>
          <w:sz w:val="24"/>
        </w:rPr>
      </w:pPr>
      <w:r>
        <w:rPr>
          <w:rFonts w:hint="eastAsia" w:ascii="宋体" w:hAnsi="宋体" w:cs="宋体"/>
          <w:sz w:val="24"/>
        </w:rPr>
        <w:t>付款条件见 “合同特殊条款”。</w:t>
      </w:r>
    </w:p>
    <w:p>
      <w:pPr>
        <w:widowControl/>
        <w:spacing w:line="480" w:lineRule="auto"/>
        <w:ind w:firstLine="482" w:firstLineChars="200"/>
        <w:rPr>
          <w:rFonts w:ascii="宋体" w:hAnsi="宋体" w:cs="宋体"/>
          <w:b/>
          <w:sz w:val="24"/>
        </w:rPr>
      </w:pPr>
      <w:bookmarkStart w:id="81" w:name="_Ref467377962"/>
      <w:bookmarkStart w:id="82" w:name="_Ref467379937"/>
      <w:bookmarkStart w:id="83" w:name="_Toc459109206"/>
      <w:bookmarkStart w:id="84" w:name="_Ref467377798"/>
      <w:bookmarkStart w:id="85" w:name="_Toc487900359"/>
      <w:bookmarkStart w:id="86" w:name="_Toc461570705"/>
      <w:bookmarkStart w:id="87" w:name="_Toc8062"/>
      <w:bookmarkStart w:id="88" w:name="_Ref467379946"/>
      <w:bookmarkStart w:id="89" w:name="_Toc467069852"/>
      <w:r>
        <w:rPr>
          <w:rFonts w:hint="eastAsia" w:ascii="宋体" w:hAnsi="宋体" w:cs="宋体"/>
          <w:b/>
          <w:sz w:val="24"/>
        </w:rPr>
        <w:t>九、质量保证</w:t>
      </w:r>
      <w:bookmarkEnd w:id="81"/>
      <w:bookmarkEnd w:id="82"/>
      <w:bookmarkEnd w:id="83"/>
      <w:bookmarkEnd w:id="84"/>
      <w:bookmarkEnd w:id="85"/>
      <w:bookmarkEnd w:id="86"/>
      <w:bookmarkEnd w:id="87"/>
      <w:bookmarkEnd w:id="88"/>
      <w:bookmarkEnd w:id="89"/>
    </w:p>
    <w:p>
      <w:pPr>
        <w:widowControl/>
        <w:spacing w:line="480" w:lineRule="auto"/>
        <w:ind w:firstLine="480" w:firstLineChars="200"/>
        <w:rPr>
          <w:rFonts w:ascii="宋体" w:hAnsi="宋体" w:cs="宋体"/>
          <w:sz w:val="24"/>
        </w:rPr>
      </w:pPr>
      <w:r>
        <w:rPr>
          <w:rFonts w:hint="eastAsia" w:ascii="宋体" w:hAnsi="宋体" w:cs="宋体"/>
          <w:sz w:val="24"/>
        </w:rPr>
        <w:t>（一）乙方须保证货物是全新、未使用过的，并完全符合强制性的国家技术质量规范和合同规定的质量、规格、性能和技术规范等的要求。</w:t>
      </w:r>
    </w:p>
    <w:p>
      <w:pPr>
        <w:widowControl/>
        <w:spacing w:line="480" w:lineRule="auto"/>
        <w:ind w:firstLine="480" w:firstLineChars="200"/>
        <w:rPr>
          <w:rFonts w:ascii="宋体" w:hAnsi="宋体" w:cs="宋体"/>
          <w:sz w:val="24"/>
        </w:rPr>
      </w:pPr>
      <w:r>
        <w:rPr>
          <w:rFonts w:hint="eastAsia" w:ascii="宋体" w:hAnsi="宋体" w:cs="宋体"/>
          <w:sz w:val="24"/>
        </w:rPr>
        <w:t>（二）乙方须保证所提供的货物经正确安装、正常运转和保养，在其使用寿命期内须具有符合质量要求和产品说明书的性能。在货物质量保证期之内，乙方须对由于设计、工艺或材料的缺陷而发生的任何不足或故障负责。</w:t>
      </w:r>
    </w:p>
    <w:p>
      <w:pPr>
        <w:widowControl/>
        <w:spacing w:line="480" w:lineRule="auto"/>
        <w:ind w:firstLine="480" w:firstLineChars="200"/>
        <w:rPr>
          <w:rFonts w:ascii="宋体" w:hAnsi="宋体" w:cs="宋体"/>
          <w:sz w:val="24"/>
        </w:rPr>
      </w:pPr>
      <w:r>
        <w:rPr>
          <w:rFonts w:hint="eastAsia" w:ascii="宋体" w:hAnsi="宋体" w:cs="宋体"/>
          <w:sz w:val="24"/>
        </w:rPr>
        <w:t>（三）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ascii="宋体" w:hAnsi="宋体" w:cs="宋体"/>
          <w:sz w:val="24"/>
          <w:u w:val="single"/>
        </w:rPr>
        <w:t xml:space="preserve"> 3 </w:t>
      </w:r>
      <w:r>
        <w:rPr>
          <w:rFonts w:hint="eastAsia" w:ascii="宋体" w:hAnsi="宋体" w:cs="宋体"/>
          <w:sz w:val="24"/>
        </w:rPr>
        <w:t>天内应免费维修或更换有缺陷的货物或部件。</w:t>
      </w:r>
    </w:p>
    <w:p>
      <w:pPr>
        <w:widowControl/>
        <w:spacing w:line="480" w:lineRule="auto"/>
        <w:ind w:firstLine="480" w:firstLineChars="200"/>
        <w:rPr>
          <w:rFonts w:ascii="宋体" w:hAnsi="宋体" w:cs="宋体"/>
          <w:sz w:val="24"/>
        </w:rPr>
      </w:pPr>
      <w:r>
        <w:rPr>
          <w:rFonts w:hint="eastAsia" w:ascii="宋体" w:hAnsi="宋体" w:cs="宋体"/>
          <w:sz w:val="24"/>
        </w:rPr>
        <w:t>（四）如果乙方在收到通知后</w:t>
      </w:r>
      <w:r>
        <w:rPr>
          <w:rFonts w:hint="eastAsia" w:ascii="宋体" w:hAnsi="宋体" w:cs="宋体"/>
          <w:sz w:val="24"/>
          <w:u w:val="single"/>
        </w:rPr>
        <w:t xml:space="preserve"> 15</w:t>
      </w:r>
      <w:r>
        <w:rPr>
          <w:rFonts w:ascii="宋体" w:hAnsi="宋体" w:cs="宋体"/>
          <w:sz w:val="24"/>
          <w:u w:val="single"/>
        </w:rPr>
        <w:t xml:space="preserve"> </w:t>
      </w:r>
      <w:r>
        <w:rPr>
          <w:rFonts w:hint="eastAsia" w:ascii="宋体" w:hAnsi="宋体" w:cs="宋体"/>
          <w:sz w:val="24"/>
        </w:rPr>
        <w:t>天内没有弥补缺陷，甲方可采取必要的补救措施，但由此引发的风险和费用将由乙方承担。</w:t>
      </w:r>
    </w:p>
    <w:p>
      <w:pPr>
        <w:widowControl/>
        <w:spacing w:line="480" w:lineRule="auto"/>
        <w:ind w:firstLine="480" w:firstLineChars="200"/>
        <w:rPr>
          <w:rFonts w:ascii="宋体" w:hAnsi="宋体" w:cs="宋体"/>
          <w:sz w:val="24"/>
        </w:rPr>
      </w:pPr>
      <w:r>
        <w:rPr>
          <w:rFonts w:hint="eastAsia" w:ascii="宋体" w:hAnsi="宋体" w:cs="宋体"/>
          <w:sz w:val="24"/>
        </w:rPr>
        <w:t>（五）除“采购需求”特殊规定外，合同项下货物的质量保证期为自货物通过最终验收起12个月（</w:t>
      </w:r>
      <w:r>
        <w:rPr>
          <w:rFonts w:hint="eastAsia" w:ascii="宋体" w:hAnsi="宋体"/>
          <w:sz w:val="24"/>
        </w:rPr>
        <w:t>如第六章部分有其他要求的从其规定</w:t>
      </w:r>
      <w:r>
        <w:rPr>
          <w:rFonts w:hint="eastAsia" w:ascii="宋体" w:hAnsi="宋体" w:cs="宋体"/>
          <w:sz w:val="24"/>
        </w:rPr>
        <w:t>）。</w:t>
      </w:r>
    </w:p>
    <w:p>
      <w:pPr>
        <w:widowControl/>
        <w:spacing w:line="480" w:lineRule="auto"/>
        <w:ind w:firstLine="482" w:firstLineChars="200"/>
        <w:rPr>
          <w:rFonts w:ascii="宋体" w:hAnsi="宋体" w:cs="宋体"/>
          <w:b/>
          <w:sz w:val="24"/>
        </w:rPr>
      </w:pPr>
      <w:bookmarkStart w:id="90" w:name="_Toc487900360"/>
      <w:bookmarkStart w:id="91" w:name="_Ref467378018"/>
      <w:bookmarkStart w:id="92" w:name="_Toc23353"/>
      <w:bookmarkStart w:id="93" w:name="_Toc459109207"/>
      <w:bookmarkStart w:id="94" w:name="_Toc461570706"/>
      <w:bookmarkStart w:id="95" w:name="_Toc467069853"/>
      <w:r>
        <w:rPr>
          <w:rFonts w:hint="eastAsia" w:ascii="宋体" w:hAnsi="宋体" w:cs="宋体"/>
          <w:b/>
          <w:sz w:val="24"/>
        </w:rPr>
        <w:t>十、检验</w:t>
      </w:r>
      <w:bookmarkEnd w:id="90"/>
      <w:bookmarkEnd w:id="91"/>
      <w:r>
        <w:rPr>
          <w:rFonts w:hint="eastAsia" w:ascii="宋体" w:hAnsi="宋体" w:cs="宋体"/>
          <w:b/>
          <w:sz w:val="24"/>
        </w:rPr>
        <w:t>和验收</w:t>
      </w:r>
      <w:bookmarkEnd w:id="92"/>
      <w:bookmarkEnd w:id="93"/>
      <w:bookmarkEnd w:id="94"/>
      <w:bookmarkEnd w:id="95"/>
    </w:p>
    <w:p>
      <w:pPr>
        <w:widowControl/>
        <w:spacing w:line="480" w:lineRule="auto"/>
        <w:ind w:firstLine="480" w:firstLineChars="200"/>
        <w:rPr>
          <w:rFonts w:ascii="宋体" w:hAnsi="宋体" w:cs="宋体"/>
          <w:sz w:val="24"/>
        </w:rPr>
      </w:pPr>
      <w:r>
        <w:rPr>
          <w:rFonts w:hint="eastAsia" w:ascii="宋体" w:hAnsi="宋体" w:cs="宋体"/>
          <w:sz w:val="24"/>
        </w:rPr>
        <w:t>（一）在交货前，乙方应对货物的质量、规格、性能、数量和重量等进行详细而全面的检验，并出具证明货物符合合同规定的文件。该文件将作为申请付款单据的一部分，但有关质量、规格、性能、数量或重量的检验不应视为最终检验。</w:t>
      </w:r>
    </w:p>
    <w:p>
      <w:pPr>
        <w:widowControl/>
        <w:spacing w:line="480" w:lineRule="auto"/>
        <w:ind w:firstLine="480" w:firstLineChars="200"/>
        <w:rPr>
          <w:rFonts w:ascii="宋体" w:hAnsi="宋体" w:cs="宋体"/>
          <w:sz w:val="24"/>
        </w:rPr>
      </w:pPr>
      <w:r>
        <w:rPr>
          <w:rFonts w:hint="eastAsia" w:ascii="宋体" w:hAnsi="宋体" w:cs="宋体"/>
          <w:sz w:val="24"/>
        </w:rPr>
        <w:t>（二）货物运抵现场后，甲方应在</w:t>
      </w:r>
      <w:r>
        <w:rPr>
          <w:rFonts w:hint="eastAsia" w:ascii="宋体" w:hAnsi="宋体" w:cs="宋体"/>
          <w:sz w:val="24"/>
          <w:u w:val="single"/>
        </w:rPr>
        <w:t>5</w:t>
      </w:r>
      <w:r>
        <w:rPr>
          <w:rFonts w:hint="eastAsia" w:ascii="宋体" w:hAnsi="宋体" w:cs="宋体"/>
          <w:sz w:val="24"/>
        </w:rPr>
        <w:t>日内组织验收，</w:t>
      </w:r>
      <w:r>
        <w:rPr>
          <w:rFonts w:hint="eastAsia" w:ascii="宋体" w:hAnsi="宋体" w:eastAsia="宋体" w:cs="宋体"/>
          <w:sz w:val="24"/>
        </w:rPr>
        <w:t>货物不符合约定的，甲方有权拒收；货物符合合同约定，甲方应签署验收意见，视为验收通过，但不影响日后甲方因质量问题向乙方主张权利</w:t>
      </w:r>
      <w:r>
        <w:rPr>
          <w:rFonts w:hint="eastAsia" w:ascii="宋体" w:hAnsi="宋体" w:cs="宋体"/>
          <w:sz w:val="24"/>
        </w:rPr>
        <w:t>。</w:t>
      </w:r>
      <w:r>
        <w:rPr>
          <w:rFonts w:hint="eastAsia" w:ascii="宋体" w:hAnsi="宋体" w:eastAsia="宋体" w:cs="宋体"/>
          <w:sz w:val="24"/>
        </w:rPr>
        <w:t>如甲方在货物运抵现场后5日内不组织验收或者在货物运抵现场后15日内未向乙方提出书面异议，视为验收通过。</w:t>
      </w:r>
    </w:p>
    <w:p>
      <w:pPr>
        <w:widowControl/>
        <w:spacing w:line="480" w:lineRule="auto"/>
        <w:ind w:firstLine="480" w:firstLineChars="200"/>
        <w:rPr>
          <w:rFonts w:ascii="宋体" w:hAnsi="宋体" w:cs="宋体"/>
          <w:sz w:val="24"/>
        </w:rPr>
      </w:pPr>
      <w:r>
        <w:rPr>
          <w:rFonts w:hint="eastAsia" w:ascii="宋体" w:hAnsi="宋体" w:cs="宋体"/>
          <w:sz w:val="24"/>
        </w:rPr>
        <w:t>（三）甲方有在货物制造过程中派员监造的权利，乙方有义务为甲方监造人员行使该权利提供方便。</w:t>
      </w:r>
    </w:p>
    <w:p>
      <w:pPr>
        <w:widowControl/>
        <w:spacing w:line="480" w:lineRule="auto"/>
        <w:ind w:firstLine="480" w:firstLineChars="200"/>
        <w:rPr>
          <w:rFonts w:ascii="宋体" w:hAnsi="宋体" w:cs="宋体"/>
          <w:sz w:val="24"/>
        </w:rPr>
      </w:pPr>
      <w:r>
        <w:rPr>
          <w:rFonts w:hint="eastAsia" w:ascii="宋体" w:hAnsi="宋体" w:cs="宋体"/>
          <w:sz w:val="24"/>
        </w:rPr>
        <w:t>（四）制造厂对所供货物进行机械运转试验和性能试验时，乙方必须提前通知甲方。</w:t>
      </w:r>
    </w:p>
    <w:p>
      <w:pPr>
        <w:widowControl/>
        <w:spacing w:line="480" w:lineRule="auto"/>
        <w:ind w:firstLine="482" w:firstLineChars="200"/>
        <w:rPr>
          <w:rFonts w:ascii="宋体" w:hAnsi="宋体" w:cs="宋体"/>
          <w:b/>
          <w:sz w:val="24"/>
        </w:rPr>
      </w:pPr>
      <w:bookmarkStart w:id="96" w:name="_Toc487900361"/>
      <w:bookmarkStart w:id="97" w:name="_Toc461570707"/>
      <w:bookmarkStart w:id="98" w:name="_Toc459109208"/>
      <w:bookmarkStart w:id="99" w:name="_Toc467069854"/>
      <w:bookmarkStart w:id="100" w:name="_Toc32332"/>
      <w:r>
        <w:rPr>
          <w:rFonts w:hint="eastAsia" w:ascii="宋体" w:hAnsi="宋体" w:cs="宋体"/>
          <w:b/>
          <w:sz w:val="24"/>
        </w:rPr>
        <w:t>十一、索赔</w:t>
      </w:r>
      <w:bookmarkEnd w:id="96"/>
      <w:bookmarkEnd w:id="97"/>
      <w:bookmarkEnd w:id="98"/>
      <w:bookmarkEnd w:id="99"/>
      <w:bookmarkEnd w:id="100"/>
    </w:p>
    <w:p>
      <w:pPr>
        <w:widowControl/>
        <w:spacing w:line="480" w:lineRule="auto"/>
        <w:ind w:firstLine="480" w:firstLineChars="200"/>
        <w:rPr>
          <w:rFonts w:hint="eastAsia" w:ascii="宋体" w:hAnsi="宋体" w:cs="宋体"/>
          <w:sz w:val="24"/>
        </w:rPr>
      </w:pPr>
      <w:r>
        <w:rPr>
          <w:rFonts w:hint="eastAsia" w:ascii="宋体" w:hAnsi="宋体" w:cs="宋体"/>
          <w:sz w:val="24"/>
        </w:rPr>
        <w:t>（一）如果货物的质量、规格、数量、重量等与合同不符，或在第九条第（五）款规定的质量保证期内证实货物存有缺陷，包括潜在的缺陷或使用不符合要求的材料等，甲方有权根据</w:t>
      </w:r>
      <w:r>
        <w:rPr>
          <w:rFonts w:hint="eastAsia" w:ascii="宋体" w:hAnsi="宋体" w:eastAsia="宋体" w:cs="宋体"/>
          <w:sz w:val="24"/>
        </w:rPr>
        <w:t>经甲乙双方认可的</w:t>
      </w:r>
      <w:r>
        <w:rPr>
          <w:rFonts w:hint="eastAsia" w:ascii="宋体" w:hAnsi="宋体" w:cs="宋体"/>
          <w:sz w:val="24"/>
        </w:rPr>
        <w:t>有资质的权威质检机构的检验结果向乙方提出索赔</w:t>
      </w:r>
      <w:r>
        <w:rPr>
          <w:rFonts w:hint="eastAsia" w:ascii="宋体" w:hAnsi="宋体" w:eastAsia="宋体" w:cs="宋体"/>
          <w:sz w:val="24"/>
        </w:rPr>
        <w:t>，乙方应当向甲方承担违约责任，包括但不限于退货、更换货物、维修、减少价款、赔偿甲方损失等违约责任。乙方不得以“责任应由保险公司或运输部门承担”作为抗辩理由。乙方向甲方承担完毕违约责任之后，如果该损失属于保险理赔范围的或者运输部门对于造成该损失存在过错的，乙方有权向其追偿</w:t>
      </w:r>
      <w:r>
        <w:rPr>
          <w:rFonts w:hint="eastAsia" w:ascii="宋体" w:hAnsi="宋体" w:cs="宋体"/>
          <w:sz w:val="24"/>
        </w:rPr>
        <w:t>。</w:t>
      </w:r>
    </w:p>
    <w:p>
      <w:pPr>
        <w:widowControl/>
        <w:spacing w:line="480" w:lineRule="auto"/>
        <w:ind w:firstLine="480" w:firstLineChars="200"/>
        <w:rPr>
          <w:rFonts w:hint="eastAsia" w:ascii="宋体" w:hAnsi="宋体" w:cs="宋体"/>
          <w:sz w:val="24"/>
        </w:rPr>
      </w:pPr>
      <w:bookmarkStart w:id="101" w:name="_Ref467378076"/>
      <w:r>
        <w:rPr>
          <w:rFonts w:hint="eastAsia" w:ascii="宋体" w:hAnsi="宋体" w:cs="宋体"/>
          <w:sz w:val="24"/>
        </w:rPr>
        <w:t>（二）在根据合同第九条和第十条规定的检验期和质量保证期内，如果乙方对甲方提出的索赔负有责任，乙方应按照甲方同意的下列一种或多种方式解决索赔事宜：</w:t>
      </w:r>
      <w:bookmarkEnd w:id="101"/>
    </w:p>
    <w:p>
      <w:pPr>
        <w:widowControl/>
        <w:spacing w:line="48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如果属于质量问题或者该问题经过乙方三次维修仍旧无法修复的，甲方有权要求退货</w:t>
      </w:r>
      <w:r>
        <w:rPr>
          <w:rFonts w:hint="eastAsia" w:ascii="宋体" w:hAnsi="宋体" w:cs="宋体"/>
          <w:sz w:val="24"/>
        </w:rPr>
        <w:t>，乙方应按合同规定将货款退还给甲方，并承担由此发生的一切损失和费用，包括利息、银行手续费、运费、保险费、检验费、仓储费、装卸费以及为保护退回货物所需的其它必要费用</w:t>
      </w:r>
      <w:r>
        <w:rPr>
          <w:rFonts w:hint="eastAsia" w:ascii="宋体" w:hAnsi="宋体" w:eastAsia="宋体" w:cs="宋体"/>
          <w:sz w:val="24"/>
        </w:rPr>
        <w:t>及承担合同总金额5%的违约金</w:t>
      </w:r>
      <w:r>
        <w:rPr>
          <w:rFonts w:hint="eastAsia" w:ascii="宋体" w:hAnsi="宋体" w:cs="宋体"/>
          <w:sz w:val="24"/>
        </w:rPr>
        <w:t>。</w:t>
      </w:r>
    </w:p>
    <w:p>
      <w:pPr>
        <w:widowControl/>
        <w:spacing w:line="480" w:lineRule="auto"/>
        <w:ind w:firstLine="480" w:firstLineChars="200"/>
        <w:rPr>
          <w:rFonts w:ascii="宋体" w:hAnsi="宋体" w:cs="宋体"/>
          <w:sz w:val="24"/>
        </w:rPr>
      </w:pPr>
      <w:r>
        <w:rPr>
          <w:rFonts w:hint="eastAsia" w:ascii="宋体" w:hAnsi="宋体" w:cs="宋体"/>
          <w:sz w:val="24"/>
        </w:rPr>
        <w:t>2．根据货物低劣程度、损坏程度以及甲方所遭受损失的数额，经甲乙双方商定降低货物的价格，或由有权的部门评估，以降低后的价格或评估价格为准。</w:t>
      </w:r>
    </w:p>
    <w:p>
      <w:pPr>
        <w:widowControl/>
        <w:spacing w:line="480" w:lineRule="auto"/>
        <w:ind w:firstLine="480" w:firstLineChars="200"/>
        <w:rPr>
          <w:rFonts w:ascii="宋体" w:hAnsi="宋体" w:cs="宋体"/>
          <w:sz w:val="24"/>
        </w:rPr>
      </w:pPr>
      <w:r>
        <w:rPr>
          <w:rFonts w:hint="eastAsia" w:ascii="宋体" w:hAnsi="宋体" w:cs="宋体"/>
          <w:sz w:val="24"/>
        </w:rPr>
        <w:t>3．用符合规格、质量和性能要求的新零件、部件或货物来更换有缺陷的部分或/和修补缺陷部分，乙方应承担一切费用和风险并负担甲方所发生的一切直接费用。同时，乙方应按合同第九条规定，相应延长修补或更换件的质量保证期。</w:t>
      </w:r>
    </w:p>
    <w:p>
      <w:pPr>
        <w:widowControl/>
        <w:spacing w:line="480" w:lineRule="auto"/>
        <w:ind w:firstLine="480" w:firstLineChars="200"/>
        <w:rPr>
          <w:rFonts w:ascii="宋体" w:hAnsi="宋体" w:cs="宋体"/>
          <w:sz w:val="24"/>
        </w:rPr>
      </w:pPr>
      <w:r>
        <w:rPr>
          <w:rFonts w:hint="eastAsia" w:ascii="宋体" w:hAnsi="宋体" w:cs="宋体"/>
          <w:sz w:val="24"/>
        </w:rPr>
        <w:t>（三）如果在乙方收到索赔通知后</w:t>
      </w:r>
      <w:r>
        <w:rPr>
          <w:rFonts w:hint="eastAsia" w:ascii="宋体" w:hAnsi="宋体" w:cs="宋体"/>
          <w:sz w:val="24"/>
          <w:u w:val="single"/>
        </w:rPr>
        <w:t>14</w:t>
      </w:r>
      <w:r>
        <w:rPr>
          <w:rFonts w:hint="eastAsia" w:ascii="宋体" w:hAnsi="宋体" w:cs="宋体"/>
          <w:sz w:val="24"/>
        </w:rPr>
        <w:t>天内，乙方未作答复，上述索赔应视为已被乙方接受。如乙方未能在收到甲方索赔通知后</w:t>
      </w:r>
      <w:r>
        <w:rPr>
          <w:rFonts w:hint="eastAsia" w:ascii="宋体" w:hAnsi="宋体" w:cs="宋体"/>
          <w:sz w:val="24"/>
          <w:u w:val="single"/>
        </w:rPr>
        <w:t>30</w:t>
      </w:r>
      <w:r>
        <w:rPr>
          <w:rFonts w:hint="eastAsia" w:ascii="宋体" w:hAnsi="宋体" w:cs="宋体"/>
          <w:sz w:val="24"/>
        </w:rPr>
        <w:t>天内或甲方同意的更长时间内，按照本合同第十一条第（二）款规定的任何一种方法解决索赔事宜，甲方将从合同款中扣回索赔金额。如果这些金额不足以补偿索赔金额，甲方有权向乙方提出不足部分的补偿。</w:t>
      </w:r>
    </w:p>
    <w:p>
      <w:pPr>
        <w:widowControl/>
        <w:spacing w:line="480" w:lineRule="auto"/>
        <w:ind w:firstLine="482" w:firstLineChars="200"/>
        <w:rPr>
          <w:rFonts w:ascii="宋体" w:hAnsi="宋体" w:cs="宋体"/>
          <w:b/>
          <w:sz w:val="24"/>
        </w:rPr>
      </w:pPr>
      <w:bookmarkStart w:id="102" w:name="_Toc17464"/>
      <w:bookmarkStart w:id="103" w:name="_Toc459109209"/>
      <w:bookmarkStart w:id="104" w:name="_Toc461570708"/>
      <w:bookmarkStart w:id="105" w:name="_Toc487900362"/>
      <w:bookmarkStart w:id="106" w:name="_Toc467069855"/>
      <w:r>
        <w:rPr>
          <w:rFonts w:hint="eastAsia" w:ascii="宋体" w:hAnsi="宋体" w:cs="宋体"/>
          <w:b/>
          <w:sz w:val="24"/>
        </w:rPr>
        <w:t>十二、延迟交货</w:t>
      </w:r>
      <w:bookmarkEnd w:id="102"/>
      <w:bookmarkEnd w:id="103"/>
      <w:bookmarkEnd w:id="104"/>
      <w:bookmarkEnd w:id="105"/>
      <w:bookmarkEnd w:id="106"/>
    </w:p>
    <w:p>
      <w:pPr>
        <w:widowControl/>
        <w:spacing w:line="480" w:lineRule="auto"/>
        <w:ind w:firstLine="480" w:firstLineChars="200"/>
        <w:rPr>
          <w:rFonts w:ascii="宋体" w:hAnsi="宋体" w:cs="宋体"/>
          <w:sz w:val="24"/>
        </w:rPr>
      </w:pPr>
      <w:r>
        <w:rPr>
          <w:rFonts w:hint="eastAsia" w:ascii="宋体" w:hAnsi="宋体" w:cs="宋体"/>
          <w:sz w:val="24"/>
        </w:rPr>
        <w:t>（一）乙方应按照“货物需求一览表及技术规格”中甲方规定的时间表交货和提供服务。</w:t>
      </w:r>
    </w:p>
    <w:p>
      <w:pPr>
        <w:widowControl/>
        <w:spacing w:line="480" w:lineRule="auto"/>
        <w:ind w:firstLine="480" w:firstLineChars="200"/>
        <w:rPr>
          <w:rFonts w:ascii="宋体" w:hAnsi="宋体" w:cs="宋体"/>
          <w:sz w:val="24"/>
        </w:rPr>
      </w:pPr>
      <w:r>
        <w:rPr>
          <w:rFonts w:hint="eastAsia" w:ascii="宋体" w:hAnsi="宋体" w:cs="宋体"/>
          <w:sz w:val="24"/>
        </w:rPr>
        <w:t>（二）如果乙方无正当理由迟延交货，甲方有权提出违约损失赔偿或解除合同。</w:t>
      </w:r>
    </w:p>
    <w:p>
      <w:pPr>
        <w:widowControl/>
        <w:spacing w:line="480" w:lineRule="auto"/>
        <w:ind w:firstLine="480" w:firstLineChars="200"/>
        <w:rPr>
          <w:rFonts w:ascii="宋体" w:hAnsi="宋体" w:cs="宋体"/>
          <w:sz w:val="24"/>
        </w:rPr>
      </w:pPr>
      <w:r>
        <w:rPr>
          <w:rFonts w:hint="eastAsia" w:ascii="宋体" w:hAnsi="宋体" w:cs="宋体"/>
          <w:sz w:val="24"/>
        </w:rPr>
        <w:t>（三）在履行合同过程中，如果乙方遇到不能按时交货和提供服务的情况，应及时以书面形式将不能按时交货的理由、预期延误时间通知甲方。甲方收到乙方通知后，认为其理由正当的，可酌情延长交货时间。</w:t>
      </w:r>
      <w:r>
        <w:rPr>
          <w:rFonts w:hint="eastAsia" w:ascii="宋体" w:hAnsi="宋体" w:eastAsia="宋体" w:cs="宋体"/>
          <w:sz w:val="24"/>
        </w:rPr>
        <w:t>甲方不同意延长的，且该理由完全系乙方自身原因的，乙方应承担违约责任。</w:t>
      </w:r>
    </w:p>
    <w:p>
      <w:pPr>
        <w:widowControl/>
        <w:spacing w:line="480" w:lineRule="auto"/>
        <w:ind w:firstLine="482" w:firstLineChars="200"/>
        <w:rPr>
          <w:rFonts w:ascii="宋体" w:hAnsi="宋体" w:cs="宋体"/>
          <w:b/>
          <w:sz w:val="24"/>
        </w:rPr>
      </w:pPr>
      <w:bookmarkStart w:id="107" w:name="_Toc487900363"/>
      <w:bookmarkStart w:id="108" w:name="_Toc461570709"/>
      <w:bookmarkStart w:id="109" w:name="_Toc467069856"/>
      <w:bookmarkStart w:id="110" w:name="_Toc3895"/>
      <w:bookmarkStart w:id="111" w:name="_Toc459109210"/>
      <w:r>
        <w:rPr>
          <w:rFonts w:hint="eastAsia" w:ascii="宋体" w:hAnsi="宋体" w:cs="宋体"/>
          <w:b/>
          <w:sz w:val="24"/>
        </w:rPr>
        <w:t>十三、违约赔偿</w:t>
      </w:r>
      <w:bookmarkEnd w:id="107"/>
      <w:bookmarkEnd w:id="108"/>
      <w:bookmarkEnd w:id="109"/>
      <w:bookmarkEnd w:id="110"/>
      <w:bookmarkEnd w:id="111"/>
    </w:p>
    <w:p>
      <w:pPr>
        <w:widowControl/>
        <w:spacing w:line="480" w:lineRule="auto"/>
        <w:ind w:firstLine="480" w:firstLineChars="200"/>
        <w:rPr>
          <w:rFonts w:ascii="宋体" w:hAnsi="宋体" w:cs="宋体"/>
          <w:sz w:val="24"/>
        </w:rPr>
      </w:pPr>
      <w:r>
        <w:rPr>
          <w:rFonts w:hint="eastAsia" w:ascii="宋体" w:hAnsi="宋体" w:cs="宋体"/>
          <w:sz w:val="24"/>
        </w:rPr>
        <w:t>除合同第十四条规定外，如果乙方没有按照合同规定的时间交货和提供服务，甲方可要求乙方支付违约金。违约金每日按迟交货物或未提供服务交货</w:t>
      </w:r>
      <w:r>
        <w:rPr>
          <w:rFonts w:hint="eastAsia" w:ascii="宋体" w:hAnsi="宋体" w:cs="宋体"/>
          <w:color w:val="auto"/>
          <w:sz w:val="24"/>
        </w:rPr>
        <w:t>价的0.</w:t>
      </w:r>
      <w:r>
        <w:rPr>
          <w:rFonts w:hint="eastAsia" w:ascii="宋体" w:hAnsi="宋体" w:cs="宋体"/>
          <w:color w:val="auto"/>
          <w:sz w:val="24"/>
          <w:lang w:val="en-US" w:eastAsia="zh-CN"/>
        </w:rPr>
        <w:t>05</w:t>
      </w:r>
      <w:r>
        <w:rPr>
          <w:rFonts w:hint="eastAsia" w:ascii="宋体" w:hAnsi="宋体" w:cs="宋体"/>
          <w:color w:val="auto"/>
          <w:sz w:val="24"/>
        </w:rPr>
        <w:t>%计收</w:t>
      </w:r>
      <w:r>
        <w:rPr>
          <w:rFonts w:hint="eastAsia" w:ascii="宋体" w:hAnsi="宋体" w:eastAsia="宋体" w:cs="宋体"/>
          <w:sz w:val="24"/>
        </w:rPr>
        <w:t>，但违约金的最高限额为迟交货物或没有提供服务的合同价的5%，如果达到最高限额，甲方有权解除合同，并按照十一（二）.1款追究违约责任</w:t>
      </w:r>
      <w:r>
        <w:rPr>
          <w:rFonts w:hint="eastAsia" w:ascii="宋体" w:hAnsi="宋体" w:cs="宋体"/>
          <w:sz w:val="24"/>
        </w:rPr>
        <w:t>。</w:t>
      </w:r>
    </w:p>
    <w:p>
      <w:pPr>
        <w:widowControl/>
        <w:spacing w:line="480" w:lineRule="auto"/>
        <w:ind w:firstLine="482" w:firstLineChars="200"/>
        <w:rPr>
          <w:rFonts w:ascii="宋体" w:hAnsi="宋体" w:cs="宋体"/>
          <w:b/>
          <w:sz w:val="24"/>
        </w:rPr>
      </w:pPr>
      <w:bookmarkStart w:id="112" w:name="_Toc459109211"/>
      <w:bookmarkStart w:id="113" w:name="_Toc6502"/>
      <w:bookmarkStart w:id="114" w:name="_Toc467069857"/>
      <w:bookmarkStart w:id="115" w:name="_Toc487900364"/>
      <w:bookmarkStart w:id="116" w:name="_Toc461570710"/>
      <w:bookmarkStart w:id="117" w:name="_Ref467378121"/>
      <w:r>
        <w:rPr>
          <w:rFonts w:hint="eastAsia" w:ascii="宋体" w:hAnsi="宋体" w:cs="宋体"/>
          <w:b/>
          <w:sz w:val="24"/>
        </w:rPr>
        <w:t>十四、不可抗力</w:t>
      </w:r>
      <w:bookmarkEnd w:id="112"/>
      <w:bookmarkEnd w:id="113"/>
      <w:bookmarkEnd w:id="114"/>
      <w:bookmarkEnd w:id="115"/>
      <w:bookmarkEnd w:id="116"/>
      <w:bookmarkEnd w:id="117"/>
    </w:p>
    <w:p>
      <w:pPr>
        <w:widowControl/>
        <w:spacing w:line="480" w:lineRule="auto"/>
        <w:ind w:firstLine="480" w:firstLineChars="200"/>
        <w:rPr>
          <w:rFonts w:ascii="宋体" w:hAnsi="宋体" w:cs="宋体"/>
          <w:sz w:val="24"/>
        </w:rPr>
      </w:pPr>
      <w:r>
        <w:rPr>
          <w:rFonts w:hint="eastAsia" w:ascii="宋体" w:hAnsi="宋体" w:cs="宋体"/>
          <w:sz w:val="24"/>
        </w:rPr>
        <w:t>（一）如果双方中任何一方遭遇法律规定的不可抗力，致使合同履行受阻时，履行合同的期限应予延长，延长的期限应相当于不可抗力所影响的时间。</w:t>
      </w:r>
    </w:p>
    <w:p>
      <w:pPr>
        <w:widowControl/>
        <w:spacing w:line="480" w:lineRule="auto"/>
        <w:ind w:firstLine="480" w:firstLineChars="200"/>
        <w:rPr>
          <w:rFonts w:ascii="宋体" w:hAnsi="宋体" w:cs="宋体"/>
          <w:sz w:val="24"/>
        </w:rPr>
      </w:pPr>
      <w:r>
        <w:rPr>
          <w:rFonts w:hint="eastAsia" w:ascii="宋体" w:hAnsi="宋体" w:cs="宋体"/>
          <w:sz w:val="24"/>
        </w:rPr>
        <w:t>（二）受事故影响的一方应在不可抗力的事故发生后尽快书面形式通知另一方，并在事故发生后</w:t>
      </w:r>
      <w:r>
        <w:rPr>
          <w:rFonts w:ascii="宋体" w:hAnsi="宋体" w:cs="宋体"/>
          <w:sz w:val="24"/>
        </w:rPr>
        <w:t>3</w:t>
      </w:r>
      <w:r>
        <w:rPr>
          <w:rFonts w:hint="eastAsia" w:ascii="宋体" w:hAnsi="宋体" w:cs="宋体"/>
          <w:sz w:val="24"/>
        </w:rPr>
        <w:t>天内，将有关部门出具的证明文件送达另一方。</w:t>
      </w:r>
    </w:p>
    <w:p>
      <w:pPr>
        <w:widowControl/>
        <w:spacing w:line="480" w:lineRule="auto"/>
        <w:ind w:firstLine="480" w:firstLineChars="200"/>
        <w:rPr>
          <w:rFonts w:ascii="宋体" w:hAnsi="宋体" w:cs="宋体"/>
          <w:sz w:val="24"/>
        </w:rPr>
      </w:pPr>
      <w:r>
        <w:rPr>
          <w:rFonts w:hint="eastAsia" w:ascii="宋体" w:hAnsi="宋体" w:cs="宋体"/>
          <w:sz w:val="24"/>
        </w:rPr>
        <w:t>（三）不可抗力使合同的某些内容有变更必要的，双方应通过协商在日内达成进一步履行合同的协议，因不可抗力致使合同不能履行的，合同终止。</w:t>
      </w:r>
    </w:p>
    <w:p>
      <w:pPr>
        <w:widowControl/>
        <w:spacing w:line="480" w:lineRule="auto"/>
        <w:ind w:firstLine="482" w:firstLineChars="200"/>
        <w:rPr>
          <w:rFonts w:ascii="宋体" w:hAnsi="宋体" w:cs="宋体"/>
          <w:b/>
          <w:sz w:val="24"/>
        </w:rPr>
      </w:pPr>
      <w:bookmarkStart w:id="118" w:name="_Toc13574"/>
      <w:bookmarkStart w:id="119" w:name="_Toc487900365"/>
      <w:bookmarkStart w:id="120" w:name="_Toc461570711"/>
      <w:bookmarkStart w:id="121" w:name="_Toc467069858"/>
      <w:bookmarkStart w:id="122" w:name="_Toc459109212"/>
      <w:r>
        <w:rPr>
          <w:rFonts w:hint="eastAsia" w:ascii="宋体" w:hAnsi="宋体" w:cs="宋体"/>
          <w:b/>
          <w:sz w:val="24"/>
        </w:rPr>
        <w:t>十五、税费</w:t>
      </w:r>
      <w:bookmarkEnd w:id="118"/>
      <w:bookmarkEnd w:id="119"/>
      <w:bookmarkEnd w:id="120"/>
      <w:bookmarkEnd w:id="121"/>
      <w:bookmarkEnd w:id="122"/>
    </w:p>
    <w:p>
      <w:pPr>
        <w:widowControl/>
        <w:spacing w:line="480" w:lineRule="auto"/>
        <w:ind w:firstLine="480" w:firstLineChars="200"/>
        <w:rPr>
          <w:rFonts w:ascii="宋体" w:hAnsi="宋体" w:cs="宋体"/>
          <w:sz w:val="24"/>
        </w:rPr>
      </w:pPr>
      <w:r>
        <w:rPr>
          <w:rFonts w:hint="eastAsia" w:ascii="宋体" w:hAnsi="宋体" w:cs="宋体"/>
          <w:sz w:val="24"/>
        </w:rPr>
        <w:t>与本合同有关的一切税费均适用中华人民共和国法律的相关规定。</w:t>
      </w:r>
    </w:p>
    <w:p>
      <w:pPr>
        <w:widowControl/>
        <w:spacing w:line="480" w:lineRule="auto"/>
        <w:ind w:firstLine="482" w:firstLineChars="200"/>
        <w:rPr>
          <w:rFonts w:ascii="宋体" w:hAnsi="宋体" w:cs="宋体"/>
          <w:b/>
          <w:sz w:val="24"/>
        </w:rPr>
      </w:pPr>
      <w:bookmarkStart w:id="123" w:name="_Hlt487900425"/>
      <w:bookmarkEnd w:id="123"/>
      <w:bookmarkStart w:id="124" w:name="_Toc487900366"/>
      <w:bookmarkStart w:id="125" w:name="_Toc459109213"/>
      <w:bookmarkStart w:id="126" w:name="_Toc461570712"/>
      <w:bookmarkStart w:id="127" w:name="_Toc467069859"/>
      <w:bookmarkStart w:id="128" w:name="_Toc138"/>
      <w:r>
        <w:rPr>
          <w:rFonts w:hint="eastAsia" w:ascii="宋体" w:hAnsi="宋体" w:cs="宋体"/>
          <w:b/>
          <w:sz w:val="24"/>
        </w:rPr>
        <w:t>十</w:t>
      </w:r>
      <w:bookmarkEnd w:id="124"/>
      <w:r>
        <w:rPr>
          <w:rFonts w:hint="eastAsia" w:ascii="宋体" w:hAnsi="宋体" w:cs="宋体"/>
          <w:b/>
          <w:sz w:val="24"/>
        </w:rPr>
        <w:t>六、合同争议的解决</w:t>
      </w:r>
      <w:bookmarkEnd w:id="125"/>
      <w:bookmarkEnd w:id="126"/>
      <w:bookmarkEnd w:id="127"/>
      <w:bookmarkEnd w:id="128"/>
    </w:p>
    <w:p>
      <w:pPr>
        <w:widowControl/>
        <w:spacing w:line="480" w:lineRule="auto"/>
        <w:ind w:firstLine="480" w:firstLineChars="200"/>
        <w:rPr>
          <w:rFonts w:ascii="宋体" w:hAnsi="宋体" w:cs="宋体"/>
          <w:sz w:val="24"/>
        </w:rPr>
      </w:pPr>
      <w:r>
        <w:rPr>
          <w:rFonts w:hint="eastAsia" w:ascii="宋体" w:hAnsi="宋体" w:cs="宋体"/>
          <w:sz w:val="24"/>
        </w:rPr>
        <w:t>（一）因合同履行中发生的争议，合同当事人双方可通过协商解决。协商不成的，选择下列第</w:t>
      </w:r>
      <w:r>
        <w:rPr>
          <w:rFonts w:hint="eastAsia" w:ascii="宋体" w:hAnsi="宋体" w:cs="宋体"/>
          <w:sz w:val="24"/>
          <w:u w:val="single"/>
        </w:rPr>
        <w:t xml:space="preserve">  2  </w:t>
      </w:r>
      <w:r>
        <w:rPr>
          <w:rFonts w:hint="eastAsia" w:ascii="宋体" w:hAnsi="宋体" w:cs="宋体"/>
          <w:sz w:val="24"/>
        </w:rPr>
        <w:t>种方式解决争议：</w:t>
      </w:r>
    </w:p>
    <w:p>
      <w:pPr>
        <w:widowControl/>
        <w:spacing w:line="480" w:lineRule="auto"/>
        <w:ind w:firstLine="480" w:firstLineChars="200"/>
        <w:rPr>
          <w:rFonts w:ascii="宋体" w:hAnsi="宋体" w:cs="宋体"/>
          <w:sz w:val="24"/>
        </w:rPr>
      </w:pPr>
      <w:r>
        <w:rPr>
          <w:rFonts w:hint="eastAsia" w:ascii="宋体" w:hAnsi="宋体" w:cs="宋体"/>
          <w:sz w:val="24"/>
        </w:rPr>
        <w:t>1.提请北京仲裁委员会仲裁；</w:t>
      </w:r>
    </w:p>
    <w:p>
      <w:pPr>
        <w:widowControl/>
        <w:spacing w:line="480" w:lineRule="auto"/>
        <w:ind w:firstLine="480" w:firstLineChars="200"/>
        <w:rPr>
          <w:rFonts w:ascii="宋体" w:hAnsi="宋体" w:cs="宋体"/>
          <w:sz w:val="24"/>
        </w:rPr>
      </w:pPr>
      <w:r>
        <w:rPr>
          <w:rFonts w:hint="eastAsia" w:ascii="宋体" w:hAnsi="宋体" w:cs="宋体"/>
          <w:sz w:val="24"/>
        </w:rPr>
        <w:t>2.向甲方所在地人民法院提起诉讼。</w:t>
      </w:r>
    </w:p>
    <w:p>
      <w:pPr>
        <w:widowControl/>
        <w:spacing w:line="480" w:lineRule="auto"/>
        <w:ind w:firstLine="480" w:firstLineChars="200"/>
        <w:rPr>
          <w:rFonts w:ascii="宋体" w:hAnsi="宋体" w:cs="宋体"/>
          <w:sz w:val="24"/>
        </w:rPr>
      </w:pPr>
      <w:bookmarkStart w:id="129" w:name="_Toc467069860"/>
      <w:bookmarkStart w:id="130" w:name="_Toc461570713"/>
      <w:bookmarkStart w:id="131" w:name="_Toc7170"/>
      <w:bookmarkStart w:id="132" w:name="_Toc487900367"/>
      <w:bookmarkStart w:id="133" w:name="_Toc459109214"/>
      <w:r>
        <w:rPr>
          <w:rFonts w:hint="eastAsia" w:ascii="宋体" w:hAnsi="宋体" w:cs="宋体"/>
          <w:sz w:val="24"/>
        </w:rPr>
        <w:t>（二）守约方通过诉讼或仲裁向违约方主张权利所发生的律师费、差旅费等，由违约方承担。</w:t>
      </w:r>
    </w:p>
    <w:p>
      <w:pPr>
        <w:widowControl/>
        <w:spacing w:line="480" w:lineRule="auto"/>
        <w:ind w:firstLine="482" w:firstLineChars="200"/>
        <w:rPr>
          <w:rFonts w:ascii="宋体" w:hAnsi="宋体" w:cs="宋体"/>
          <w:b/>
          <w:sz w:val="24"/>
        </w:rPr>
      </w:pPr>
      <w:r>
        <w:rPr>
          <w:rFonts w:hint="eastAsia" w:ascii="宋体" w:hAnsi="宋体" w:cs="宋体"/>
          <w:b/>
          <w:sz w:val="24"/>
        </w:rPr>
        <w:t>十七、违约解除合同</w:t>
      </w:r>
      <w:bookmarkEnd w:id="129"/>
      <w:bookmarkEnd w:id="130"/>
      <w:bookmarkEnd w:id="131"/>
      <w:bookmarkEnd w:id="132"/>
      <w:bookmarkEnd w:id="133"/>
    </w:p>
    <w:p>
      <w:pPr>
        <w:widowControl/>
        <w:spacing w:line="480" w:lineRule="auto"/>
        <w:ind w:firstLine="480" w:firstLineChars="200"/>
        <w:rPr>
          <w:rFonts w:ascii="宋体" w:hAnsi="宋体" w:cs="宋体"/>
          <w:sz w:val="24"/>
        </w:rPr>
      </w:pPr>
      <w:bookmarkStart w:id="134" w:name="_Ref467378234"/>
      <w:r>
        <w:rPr>
          <w:rFonts w:hint="eastAsia" w:ascii="宋体" w:hAnsi="宋体" w:cs="宋体"/>
          <w:sz w:val="24"/>
        </w:rPr>
        <w:t>（一）在乙方违约的情况下，甲方可向乙方发出书面通知，部分或全部终止合同。</w:t>
      </w:r>
      <w:bookmarkEnd w:id="134"/>
    </w:p>
    <w:p>
      <w:pPr>
        <w:widowControl/>
        <w:spacing w:line="480" w:lineRule="auto"/>
        <w:ind w:firstLine="480" w:firstLineChars="200"/>
        <w:rPr>
          <w:rFonts w:ascii="宋体" w:hAnsi="宋体" w:cs="宋体"/>
          <w:sz w:val="24"/>
        </w:rPr>
      </w:pPr>
      <w:r>
        <w:rPr>
          <w:rFonts w:hint="eastAsia" w:ascii="宋体" w:hAnsi="宋体" w:cs="宋体"/>
          <w:sz w:val="24"/>
        </w:rPr>
        <w:t>1．乙方未能在合同规定的限期或甲方同意延长的限期内，提供全部或部分货物,按合同第十四条的规定可以解除合同的；</w:t>
      </w:r>
    </w:p>
    <w:p>
      <w:pPr>
        <w:widowControl/>
        <w:spacing w:line="480" w:lineRule="auto"/>
        <w:ind w:firstLine="480" w:firstLineChars="200"/>
        <w:rPr>
          <w:rFonts w:ascii="宋体" w:hAnsi="宋体" w:cs="宋体"/>
          <w:sz w:val="24"/>
        </w:rPr>
      </w:pPr>
      <w:r>
        <w:rPr>
          <w:rFonts w:hint="eastAsia" w:ascii="宋体" w:hAnsi="宋体" w:cs="宋体"/>
          <w:sz w:val="24"/>
        </w:rPr>
        <w:t>2．乙方未能履行合同规定的其它主要义务的；</w:t>
      </w:r>
    </w:p>
    <w:p>
      <w:pPr>
        <w:widowControl/>
        <w:spacing w:line="480" w:lineRule="auto"/>
        <w:ind w:firstLine="480" w:firstLineChars="200"/>
        <w:rPr>
          <w:rFonts w:ascii="宋体" w:hAnsi="宋体" w:cs="宋体"/>
          <w:sz w:val="24"/>
        </w:rPr>
      </w:pPr>
      <w:r>
        <w:rPr>
          <w:rFonts w:hint="eastAsia" w:ascii="宋体" w:hAnsi="宋体" w:cs="宋体"/>
          <w:sz w:val="24"/>
        </w:rPr>
        <w:t>3．在本合同履行过程中有腐败和欺诈行为的。</w:t>
      </w:r>
    </w:p>
    <w:p>
      <w:pPr>
        <w:widowControl/>
        <w:spacing w:line="480" w:lineRule="auto"/>
        <w:ind w:firstLine="480" w:firstLineChars="200"/>
        <w:rPr>
          <w:rFonts w:ascii="宋体" w:hAnsi="宋体" w:cs="宋体"/>
          <w:sz w:val="24"/>
        </w:rPr>
      </w:pPr>
      <w:r>
        <w:rPr>
          <w:rFonts w:hint="eastAsia" w:ascii="宋体" w:hAnsi="宋体" w:cs="宋体"/>
          <w:sz w:val="24"/>
        </w:rPr>
        <w:t>（1）“腐败行为”和“欺诈行为”定义如下：</w:t>
      </w:r>
    </w:p>
    <w:p>
      <w:pPr>
        <w:widowControl/>
        <w:spacing w:line="480" w:lineRule="auto"/>
        <w:ind w:firstLine="480" w:firstLineChars="200"/>
        <w:rPr>
          <w:rFonts w:ascii="宋体" w:hAnsi="宋体" w:cs="宋体"/>
          <w:sz w:val="24"/>
        </w:rPr>
      </w:pPr>
      <w:r>
        <w:rPr>
          <w:rFonts w:hint="eastAsia" w:ascii="宋体" w:hAnsi="宋体" w:cs="宋体"/>
          <w:sz w:val="24"/>
        </w:rPr>
        <w:t>①“腐败行为”是指提供/给予/接受或索取任何有价值的东西来影响甲方在合同签订、履行过程中的行为。</w:t>
      </w:r>
    </w:p>
    <w:p>
      <w:pPr>
        <w:widowControl/>
        <w:spacing w:line="480" w:lineRule="auto"/>
        <w:ind w:firstLine="480" w:firstLineChars="200"/>
        <w:rPr>
          <w:rFonts w:ascii="宋体" w:hAnsi="宋体" w:cs="宋体"/>
          <w:sz w:val="24"/>
        </w:rPr>
      </w:pPr>
      <w:r>
        <w:rPr>
          <w:rFonts w:hint="eastAsia" w:ascii="宋体" w:hAnsi="宋体" w:cs="宋体"/>
          <w:sz w:val="24"/>
        </w:rPr>
        <w:t>②“欺诈行为”是指为了影响合同签订、履行过程，以谎报事实的方法，损害甲方的利益的行为。</w:t>
      </w:r>
    </w:p>
    <w:p>
      <w:pPr>
        <w:pStyle w:val="2"/>
        <w:widowControl/>
        <w:spacing w:line="480" w:lineRule="auto"/>
        <w:rPr>
          <w:rFonts w:cs="宋体" w:asciiTheme="minorEastAsia" w:hAnsiTheme="minorEastAsia" w:eastAsiaTheme="minorEastAsia"/>
          <w:sz w:val="24"/>
        </w:rPr>
      </w:pPr>
      <w:r>
        <w:rPr>
          <w:rFonts w:hint="eastAsia"/>
        </w:rPr>
        <w:t xml:space="preserve">4. </w:t>
      </w:r>
      <w:r>
        <w:rPr>
          <w:rFonts w:cs="宋体" w:asciiTheme="minorEastAsia" w:hAnsiTheme="minorEastAsia" w:eastAsiaTheme="minorEastAsia"/>
          <w:sz w:val="24"/>
        </w:rPr>
        <w:t>合同约定的符合解除的其他情形的</w:t>
      </w:r>
      <w:r>
        <w:rPr>
          <w:rFonts w:hint="eastAsia" w:cs="宋体" w:asciiTheme="minorEastAsia" w:hAnsiTheme="minorEastAsia" w:eastAsiaTheme="minorEastAsia"/>
          <w:sz w:val="24"/>
        </w:rPr>
        <w:t>。</w:t>
      </w:r>
    </w:p>
    <w:p>
      <w:pPr>
        <w:widowControl/>
        <w:spacing w:line="480" w:lineRule="auto"/>
        <w:ind w:firstLine="480" w:firstLineChars="200"/>
        <w:rPr>
          <w:rFonts w:ascii="宋体" w:hAnsi="宋体" w:cs="宋体"/>
          <w:sz w:val="24"/>
        </w:rPr>
      </w:pPr>
      <w:r>
        <w:rPr>
          <w:rFonts w:hint="eastAsia" w:ascii="宋体" w:hAnsi="宋体" w:cs="宋体"/>
          <w:sz w:val="24"/>
        </w:rPr>
        <w:t>（二）在甲方根据上述第十七条第一款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widowControl/>
        <w:spacing w:line="480" w:lineRule="auto"/>
        <w:ind w:firstLine="482" w:firstLineChars="200"/>
        <w:rPr>
          <w:rFonts w:ascii="宋体" w:hAnsi="宋体" w:cs="宋体"/>
          <w:b/>
          <w:sz w:val="24"/>
        </w:rPr>
      </w:pPr>
      <w:bookmarkStart w:id="135" w:name="_Toc461570714"/>
      <w:bookmarkStart w:id="136" w:name="_Toc487900368"/>
      <w:bookmarkStart w:id="137" w:name="_Toc467069861"/>
      <w:bookmarkStart w:id="138" w:name="_Toc459109215"/>
      <w:bookmarkStart w:id="139" w:name="_Toc1027"/>
      <w:r>
        <w:rPr>
          <w:rFonts w:hint="eastAsia" w:ascii="宋体" w:hAnsi="宋体" w:cs="宋体"/>
          <w:b/>
          <w:sz w:val="24"/>
        </w:rPr>
        <w:t>十八、破产终止合同</w:t>
      </w:r>
      <w:bookmarkEnd w:id="135"/>
      <w:bookmarkEnd w:id="136"/>
      <w:bookmarkEnd w:id="137"/>
      <w:bookmarkEnd w:id="138"/>
      <w:bookmarkEnd w:id="139"/>
    </w:p>
    <w:p>
      <w:pPr>
        <w:widowControl/>
        <w:spacing w:line="48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widowControl/>
        <w:spacing w:line="480" w:lineRule="auto"/>
        <w:ind w:firstLine="482" w:firstLineChars="200"/>
        <w:rPr>
          <w:rFonts w:ascii="宋体" w:hAnsi="宋体" w:cs="宋体"/>
          <w:b/>
          <w:sz w:val="24"/>
        </w:rPr>
      </w:pPr>
      <w:bookmarkStart w:id="140" w:name="_Toc16244"/>
      <w:bookmarkStart w:id="141" w:name="_Toc459109216"/>
      <w:bookmarkStart w:id="142" w:name="_Toc467069862"/>
      <w:bookmarkStart w:id="143" w:name="_Toc487900369"/>
      <w:bookmarkStart w:id="144" w:name="_Toc461570715"/>
      <w:r>
        <w:rPr>
          <w:rFonts w:hint="eastAsia" w:ascii="宋体" w:hAnsi="宋体" w:cs="宋体"/>
          <w:b/>
          <w:sz w:val="24"/>
        </w:rPr>
        <w:t>十九、转让和分包</w:t>
      </w:r>
      <w:bookmarkEnd w:id="140"/>
      <w:bookmarkEnd w:id="141"/>
      <w:bookmarkEnd w:id="142"/>
      <w:bookmarkEnd w:id="143"/>
      <w:bookmarkEnd w:id="144"/>
    </w:p>
    <w:p>
      <w:pPr>
        <w:widowControl/>
        <w:spacing w:line="480" w:lineRule="auto"/>
        <w:ind w:firstLine="480" w:firstLineChars="200"/>
        <w:rPr>
          <w:rFonts w:ascii="宋体" w:hAnsi="宋体" w:cs="宋体"/>
          <w:sz w:val="24"/>
        </w:rPr>
      </w:pPr>
      <w:r>
        <w:rPr>
          <w:rFonts w:hint="eastAsia" w:ascii="宋体" w:hAnsi="宋体" w:cs="宋体"/>
          <w:sz w:val="24"/>
        </w:rPr>
        <w:t>（一）政府采购合同不能转让。</w:t>
      </w:r>
    </w:p>
    <w:p>
      <w:pPr>
        <w:widowControl/>
        <w:spacing w:line="480" w:lineRule="auto"/>
        <w:ind w:firstLine="480" w:firstLineChars="200"/>
        <w:rPr>
          <w:rFonts w:ascii="宋体" w:hAnsi="宋体" w:cs="宋体"/>
          <w:sz w:val="24"/>
        </w:rPr>
      </w:pPr>
      <w:r>
        <w:rPr>
          <w:rFonts w:hint="eastAsia" w:ascii="宋体" w:hAnsi="宋体" w:cs="宋体"/>
          <w:sz w:val="24"/>
        </w:rPr>
        <w:t>（二）不允许分包。</w:t>
      </w:r>
    </w:p>
    <w:p>
      <w:pPr>
        <w:widowControl/>
        <w:spacing w:line="480" w:lineRule="auto"/>
        <w:ind w:firstLine="482" w:firstLineChars="200"/>
        <w:rPr>
          <w:rFonts w:ascii="宋体" w:hAnsi="宋体" w:cs="宋体"/>
          <w:b/>
          <w:sz w:val="24"/>
        </w:rPr>
      </w:pPr>
      <w:bookmarkStart w:id="145" w:name="_Toc487900370"/>
      <w:bookmarkStart w:id="146" w:name="_Toc467069863"/>
      <w:bookmarkStart w:id="147" w:name="_Toc2738"/>
      <w:bookmarkStart w:id="148" w:name="_Toc461570716"/>
      <w:bookmarkStart w:id="149" w:name="_Toc459109217"/>
      <w:r>
        <w:rPr>
          <w:rFonts w:hint="eastAsia" w:ascii="宋体" w:hAnsi="宋体" w:cs="宋体"/>
          <w:b/>
          <w:sz w:val="24"/>
        </w:rPr>
        <w:t>二十、合同修改</w:t>
      </w:r>
      <w:bookmarkEnd w:id="145"/>
      <w:bookmarkEnd w:id="146"/>
      <w:bookmarkEnd w:id="147"/>
      <w:bookmarkEnd w:id="148"/>
      <w:bookmarkEnd w:id="149"/>
    </w:p>
    <w:p>
      <w:pPr>
        <w:widowControl/>
        <w:spacing w:line="480" w:lineRule="auto"/>
        <w:ind w:firstLine="480" w:firstLineChars="200"/>
        <w:rPr>
          <w:rFonts w:ascii="宋体" w:hAnsi="宋体" w:cs="宋体"/>
          <w:sz w:val="24"/>
        </w:rPr>
      </w:pPr>
      <w:r>
        <w:rPr>
          <w:rFonts w:hint="eastAsia" w:ascii="宋体" w:hAnsi="宋体" w:cs="宋体"/>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pPr>
        <w:widowControl/>
        <w:spacing w:line="480" w:lineRule="auto"/>
        <w:ind w:firstLine="482" w:firstLineChars="200"/>
        <w:rPr>
          <w:rFonts w:ascii="宋体" w:hAnsi="宋体" w:cs="宋体"/>
          <w:b/>
          <w:sz w:val="24"/>
        </w:rPr>
      </w:pPr>
      <w:bookmarkStart w:id="150" w:name="_Toc461570717"/>
      <w:bookmarkStart w:id="151" w:name="_Toc487900371"/>
      <w:bookmarkStart w:id="152" w:name="_Toc26743"/>
      <w:bookmarkStart w:id="153" w:name="_Toc459109218"/>
      <w:bookmarkStart w:id="154" w:name="_Toc467069864"/>
      <w:r>
        <w:rPr>
          <w:rFonts w:hint="eastAsia" w:ascii="宋体" w:hAnsi="宋体" w:cs="宋体"/>
          <w:b/>
          <w:sz w:val="24"/>
        </w:rPr>
        <w:t>二十一、通知</w:t>
      </w:r>
      <w:bookmarkEnd w:id="150"/>
      <w:bookmarkEnd w:id="151"/>
      <w:bookmarkEnd w:id="152"/>
      <w:bookmarkEnd w:id="153"/>
      <w:bookmarkEnd w:id="154"/>
    </w:p>
    <w:p>
      <w:pPr>
        <w:widowControl/>
        <w:spacing w:line="480" w:lineRule="auto"/>
        <w:ind w:firstLine="480" w:firstLineChars="200"/>
        <w:rPr>
          <w:rFonts w:ascii="宋体" w:hAnsi="宋体" w:cs="宋体"/>
          <w:sz w:val="24"/>
        </w:rPr>
      </w:pPr>
      <w:r>
        <w:rPr>
          <w:rFonts w:hint="eastAsia" w:ascii="宋体" w:hAnsi="宋体" w:cs="宋体"/>
          <w:sz w:val="24"/>
        </w:rPr>
        <w:t>本合同任何一方给另一方的通知，都应以书面形式发送，而另一方也应以书面形式确认并发送到对方明确的地址。</w:t>
      </w:r>
    </w:p>
    <w:p>
      <w:pPr>
        <w:widowControl/>
        <w:spacing w:line="480" w:lineRule="auto"/>
        <w:ind w:firstLine="482" w:firstLineChars="200"/>
        <w:rPr>
          <w:rFonts w:ascii="宋体" w:hAnsi="宋体" w:cs="宋体"/>
          <w:b/>
          <w:sz w:val="24"/>
        </w:rPr>
      </w:pPr>
      <w:bookmarkStart w:id="155" w:name="_Toc487900372"/>
      <w:bookmarkStart w:id="156" w:name="_Toc461570718"/>
      <w:bookmarkStart w:id="157" w:name="_Toc459109219"/>
      <w:bookmarkStart w:id="158" w:name="_Toc467069865"/>
      <w:bookmarkStart w:id="159" w:name="_Toc10268"/>
      <w:r>
        <w:rPr>
          <w:rFonts w:hint="eastAsia" w:ascii="宋体" w:hAnsi="宋体" w:cs="宋体"/>
          <w:b/>
          <w:sz w:val="24"/>
        </w:rPr>
        <w:t>二十二、计量单位</w:t>
      </w:r>
      <w:bookmarkEnd w:id="155"/>
      <w:bookmarkEnd w:id="156"/>
      <w:bookmarkEnd w:id="157"/>
      <w:bookmarkEnd w:id="158"/>
      <w:bookmarkEnd w:id="159"/>
    </w:p>
    <w:p>
      <w:pPr>
        <w:widowControl/>
        <w:spacing w:line="480" w:lineRule="auto"/>
        <w:ind w:firstLine="480" w:firstLineChars="200"/>
        <w:rPr>
          <w:rFonts w:ascii="宋体" w:hAnsi="宋体" w:cs="宋体"/>
          <w:sz w:val="24"/>
        </w:rPr>
      </w:pPr>
      <w:r>
        <w:rPr>
          <w:rFonts w:hint="eastAsia" w:ascii="宋体" w:hAnsi="宋体" w:cs="宋体"/>
          <w:sz w:val="24"/>
        </w:rPr>
        <w:t>技术规范中另有规定外，计量单位均使用国家法定计量单位。</w:t>
      </w:r>
    </w:p>
    <w:p>
      <w:pPr>
        <w:widowControl/>
        <w:spacing w:line="480" w:lineRule="auto"/>
        <w:ind w:firstLine="482" w:firstLineChars="200"/>
        <w:rPr>
          <w:rFonts w:ascii="宋体" w:hAnsi="宋体" w:cs="宋体"/>
          <w:b/>
          <w:sz w:val="24"/>
        </w:rPr>
      </w:pPr>
      <w:bookmarkStart w:id="160" w:name="_Toc487900373"/>
      <w:bookmarkStart w:id="161" w:name="_Toc459109220"/>
      <w:bookmarkStart w:id="162" w:name="_Toc467069866"/>
      <w:bookmarkStart w:id="163" w:name="_Toc461570719"/>
      <w:bookmarkStart w:id="164" w:name="_Toc22532"/>
      <w:r>
        <w:rPr>
          <w:rFonts w:hint="eastAsia" w:ascii="宋体" w:hAnsi="宋体" w:cs="宋体"/>
          <w:b/>
          <w:sz w:val="24"/>
        </w:rPr>
        <w:t>二十三、适用法律</w:t>
      </w:r>
      <w:bookmarkEnd w:id="160"/>
      <w:bookmarkEnd w:id="161"/>
      <w:bookmarkEnd w:id="162"/>
      <w:bookmarkEnd w:id="163"/>
      <w:bookmarkEnd w:id="164"/>
    </w:p>
    <w:p>
      <w:pPr>
        <w:widowControl/>
        <w:spacing w:line="480" w:lineRule="auto"/>
        <w:ind w:firstLine="480" w:firstLineChars="200"/>
        <w:rPr>
          <w:rFonts w:ascii="宋体" w:hAnsi="宋体" w:cs="宋体"/>
          <w:sz w:val="24"/>
        </w:rPr>
      </w:pPr>
      <w:r>
        <w:rPr>
          <w:rFonts w:hint="eastAsia" w:ascii="宋体" w:hAnsi="宋体" w:cs="宋体"/>
          <w:sz w:val="24"/>
        </w:rPr>
        <w:t>本合同应按照中华人民共和国的法律进行解释。</w:t>
      </w:r>
      <w:bookmarkStart w:id="165" w:name="_Toc487900374"/>
    </w:p>
    <w:p>
      <w:pPr>
        <w:widowControl/>
        <w:spacing w:line="480" w:lineRule="auto"/>
        <w:ind w:firstLine="482" w:firstLineChars="200"/>
        <w:rPr>
          <w:rFonts w:ascii="宋体" w:hAnsi="宋体" w:cs="宋体"/>
          <w:b/>
          <w:sz w:val="24"/>
        </w:rPr>
      </w:pPr>
      <w:bookmarkStart w:id="166" w:name="_Toc459109222"/>
      <w:bookmarkStart w:id="167" w:name="_Toc467069868"/>
      <w:bookmarkStart w:id="168" w:name="_Toc7832"/>
      <w:bookmarkStart w:id="169" w:name="_Toc461570721"/>
      <w:r>
        <w:rPr>
          <w:rFonts w:hint="eastAsia" w:ascii="宋体" w:hAnsi="宋体" w:cs="宋体"/>
          <w:b/>
          <w:sz w:val="24"/>
        </w:rPr>
        <w:t>二十四、合同生效</w:t>
      </w:r>
      <w:bookmarkEnd w:id="165"/>
      <w:r>
        <w:rPr>
          <w:rFonts w:hint="eastAsia" w:ascii="宋体" w:hAnsi="宋体" w:cs="宋体"/>
          <w:b/>
          <w:sz w:val="24"/>
        </w:rPr>
        <w:t>和其它</w:t>
      </w:r>
      <w:bookmarkEnd w:id="166"/>
      <w:bookmarkEnd w:id="167"/>
      <w:bookmarkEnd w:id="168"/>
      <w:bookmarkEnd w:id="169"/>
    </w:p>
    <w:p>
      <w:pPr>
        <w:widowControl/>
        <w:spacing w:line="480" w:lineRule="auto"/>
        <w:ind w:firstLine="480" w:firstLineChars="200"/>
        <w:rPr>
          <w:rFonts w:ascii="宋体" w:hAnsi="宋体" w:cs="宋体"/>
          <w:sz w:val="24"/>
        </w:rPr>
      </w:pPr>
      <w:r>
        <w:rPr>
          <w:rFonts w:hint="eastAsia" w:ascii="宋体" w:hAnsi="宋体" w:cs="宋体"/>
          <w:sz w:val="24"/>
        </w:rPr>
        <w:t>（一）政府采购项目的采购合同内容的确定应以招标文件和投标文件为基础，不得违背其实质性内容。合同将在双方法定代表人或其授权代表签字、加盖公章后开始生效。</w:t>
      </w:r>
    </w:p>
    <w:p>
      <w:pPr>
        <w:widowControl/>
        <w:spacing w:line="480" w:lineRule="auto"/>
        <w:ind w:firstLine="480" w:firstLineChars="200"/>
        <w:rPr>
          <w:rFonts w:ascii="宋体" w:hAnsi="宋体" w:cs="宋体"/>
          <w:sz w:val="24"/>
        </w:rPr>
      </w:pPr>
      <w:r>
        <w:rPr>
          <w:rFonts w:hint="eastAsia" w:ascii="宋体" w:hAnsi="宋体" w:cs="宋体"/>
          <w:sz w:val="24"/>
        </w:rPr>
        <w:t>（二）本合同一式</w:t>
      </w:r>
      <w:r>
        <w:rPr>
          <w:rFonts w:hint="eastAsia" w:ascii="宋体" w:hAnsi="宋体" w:cs="宋体"/>
          <w:sz w:val="24"/>
          <w:u w:val="single"/>
        </w:rPr>
        <w:t>肆</w:t>
      </w:r>
      <w:r>
        <w:rPr>
          <w:rFonts w:hint="eastAsia" w:ascii="宋体" w:hAnsi="宋体" w:cs="宋体"/>
          <w:sz w:val="24"/>
        </w:rPr>
        <w:t>份，具有同等法律效力。</w:t>
      </w:r>
      <w:r>
        <w:rPr>
          <w:rFonts w:hint="eastAsia" w:ascii="宋体" w:hAnsi="宋体" w:cs="宋体"/>
          <w:sz w:val="24"/>
          <w:u w:val="single"/>
        </w:rPr>
        <w:t>甲方</w:t>
      </w:r>
      <w:r>
        <w:rPr>
          <w:rFonts w:hint="eastAsia" w:ascii="宋体" w:hAnsi="宋体" w:cs="宋体"/>
          <w:sz w:val="24"/>
        </w:rPr>
        <w:t>和</w:t>
      </w:r>
      <w:r>
        <w:rPr>
          <w:rFonts w:hint="eastAsia" w:ascii="宋体" w:hAnsi="宋体" w:cs="宋体"/>
          <w:sz w:val="24"/>
          <w:u w:val="single"/>
        </w:rPr>
        <w:t>乙方</w:t>
      </w:r>
      <w:r>
        <w:rPr>
          <w:rFonts w:hint="eastAsia" w:ascii="宋体" w:hAnsi="宋体" w:cs="宋体"/>
          <w:sz w:val="24"/>
        </w:rPr>
        <w:t>各执</w:t>
      </w:r>
      <w:r>
        <w:rPr>
          <w:rFonts w:hint="eastAsia" w:ascii="宋体" w:hAnsi="宋体" w:cs="宋体"/>
          <w:sz w:val="24"/>
          <w:u w:val="single"/>
        </w:rPr>
        <w:t>贰</w:t>
      </w:r>
      <w:r>
        <w:rPr>
          <w:rFonts w:hint="eastAsia" w:ascii="宋体" w:hAnsi="宋体" w:cs="宋体"/>
          <w:sz w:val="24"/>
        </w:rPr>
        <w:t>份。</w:t>
      </w:r>
    </w:p>
    <w:p>
      <w:pPr>
        <w:widowControl/>
        <w:suppressAutoHyphens w:val="0"/>
        <w:autoSpaceDN/>
        <w:spacing w:line="480" w:lineRule="auto"/>
        <w:jc w:val="left"/>
        <w:rPr>
          <w:rFonts w:cs="宋体" w:asciiTheme="minorEastAsia" w:hAnsiTheme="minorEastAsia" w:eastAsiaTheme="minorEastAsia"/>
          <w:b/>
          <w:sz w:val="24"/>
        </w:rPr>
        <w:sectPr>
          <w:footerReference r:id="rId3" w:type="default"/>
          <w:pgSz w:w="11907" w:h="16840"/>
          <w:pgMar w:top="1134" w:right="1134" w:bottom="1134" w:left="1134" w:header="851" w:footer="851" w:gutter="284"/>
          <w:cols w:space="720" w:num="1"/>
        </w:sectPr>
      </w:pPr>
    </w:p>
    <w:p>
      <w:pPr>
        <w:widowControl/>
        <w:spacing w:before="120" w:line="480" w:lineRule="auto"/>
        <w:jc w:val="center"/>
        <w:rPr>
          <w:rFonts w:ascii="宋体" w:hAnsi="宋体" w:cs="宋体"/>
          <w:b/>
          <w:sz w:val="24"/>
        </w:rPr>
      </w:pPr>
      <w:r>
        <w:rPr>
          <w:rFonts w:hint="eastAsia" w:ascii="宋体" w:hAnsi="宋体" w:cs="宋体"/>
          <w:b/>
          <w:sz w:val="24"/>
        </w:rPr>
        <w:t>合同特殊条款</w:t>
      </w:r>
    </w:p>
    <w:p>
      <w:pPr>
        <w:spacing w:line="480" w:lineRule="auto"/>
        <w:ind w:firstLine="480" w:firstLineChars="200"/>
        <w:rPr>
          <w:rFonts w:ascii="宋体" w:hAnsi="宋体"/>
          <w:sz w:val="24"/>
        </w:rPr>
      </w:pPr>
      <w:r>
        <w:rPr>
          <w:rFonts w:hint="eastAsia" w:ascii="宋体" w:hAnsi="宋体"/>
          <w:sz w:val="24"/>
        </w:rPr>
        <w:t>合同特殊条款是合同一般条款的补充和修改。如果两者之间有抵触，应以特殊条款为准。合同特殊条款的序号将与合同一般条款序号相对应。</w:t>
      </w:r>
    </w:p>
    <w:p>
      <w:pPr>
        <w:spacing w:line="480" w:lineRule="auto"/>
        <w:ind w:firstLine="480" w:firstLineChars="200"/>
        <w:rPr>
          <w:rFonts w:ascii="宋体" w:hAnsi="宋体"/>
          <w:sz w:val="24"/>
        </w:rPr>
      </w:pPr>
      <w:r>
        <w:rPr>
          <w:rFonts w:hint="eastAsia" w:ascii="宋体" w:hAnsi="宋体"/>
          <w:sz w:val="24"/>
        </w:rPr>
        <w:t>一、定义</w:t>
      </w:r>
    </w:p>
    <w:p>
      <w:pPr>
        <w:spacing w:line="480" w:lineRule="auto"/>
        <w:ind w:left="1" w:firstLine="480" w:firstLineChars="200"/>
        <w:rPr>
          <w:rFonts w:ascii="宋体" w:hAnsi="宋体"/>
          <w:sz w:val="24"/>
        </w:rPr>
      </w:pPr>
      <w:r>
        <w:rPr>
          <w:rFonts w:hint="eastAsia" w:ascii="宋体" w:hAnsi="宋体"/>
          <w:sz w:val="24"/>
        </w:rPr>
        <w:t>（一）甲方：本合同甲方系指：</w:t>
      </w:r>
      <w:r>
        <w:rPr>
          <w:rFonts w:hint="eastAsia" w:ascii="宋体" w:hAnsi="宋体"/>
          <w:sz w:val="24"/>
          <w:u w:val="single"/>
        </w:rPr>
        <w:t>北京市大兴区生态环境局</w:t>
      </w:r>
      <w:r>
        <w:rPr>
          <w:rFonts w:hint="eastAsia" w:ascii="宋体" w:hAnsi="宋体"/>
          <w:sz w:val="24"/>
        </w:rPr>
        <w:t>。</w:t>
      </w:r>
    </w:p>
    <w:p>
      <w:pPr>
        <w:spacing w:line="480" w:lineRule="auto"/>
        <w:ind w:left="1" w:firstLine="480" w:firstLineChars="200"/>
        <w:rPr>
          <w:rFonts w:ascii="宋体" w:hAnsi="宋体"/>
          <w:sz w:val="24"/>
        </w:rPr>
      </w:pPr>
      <w:r>
        <w:rPr>
          <w:rFonts w:hint="eastAsia" w:ascii="宋体" w:hAnsi="宋体"/>
          <w:sz w:val="24"/>
        </w:rPr>
        <w:t>（二）乙方：本合同乙方系指：</w:t>
      </w:r>
      <w:r>
        <w:rPr>
          <w:rFonts w:hint="eastAsia" w:ascii="宋体" w:hAnsi="宋体"/>
          <w:sz w:val="24"/>
          <w:u w:val="single"/>
        </w:rPr>
        <w:t>苏州市伏泰信息科技股份有限公司</w:t>
      </w:r>
      <w:r>
        <w:rPr>
          <w:rFonts w:hint="eastAsia" w:ascii="宋体" w:hAnsi="宋体"/>
          <w:sz w:val="24"/>
        </w:rPr>
        <w:t>。</w:t>
      </w:r>
    </w:p>
    <w:p>
      <w:pPr>
        <w:spacing w:line="480" w:lineRule="auto"/>
        <w:ind w:left="1" w:firstLine="480" w:firstLineChars="200"/>
        <w:rPr>
          <w:rFonts w:ascii="宋体" w:hAnsi="宋体"/>
          <w:sz w:val="24"/>
        </w:rPr>
      </w:pPr>
      <w:r>
        <w:rPr>
          <w:rFonts w:hint="eastAsia" w:ascii="宋体" w:hAnsi="宋体"/>
          <w:sz w:val="24"/>
        </w:rPr>
        <w:t>（三）现场：本合同项下的货物安装和运行地点位于：</w:t>
      </w:r>
      <w:r>
        <w:rPr>
          <w:rFonts w:hint="eastAsia" w:ascii="宋体" w:hAnsi="宋体"/>
          <w:sz w:val="24"/>
          <w:u w:val="single"/>
        </w:rPr>
        <w:t>甲方指定地点</w:t>
      </w:r>
      <w:r>
        <w:rPr>
          <w:rFonts w:hint="eastAsia" w:ascii="宋体" w:hAnsi="宋体"/>
          <w:sz w:val="24"/>
        </w:rPr>
        <w:t>。</w:t>
      </w:r>
    </w:p>
    <w:p>
      <w:pPr>
        <w:spacing w:line="480" w:lineRule="auto"/>
        <w:ind w:left="1" w:firstLine="480" w:firstLineChars="200"/>
        <w:rPr>
          <w:rFonts w:ascii="宋体" w:hAnsi="宋体"/>
          <w:sz w:val="24"/>
        </w:rPr>
      </w:pPr>
      <w:r>
        <w:rPr>
          <w:rFonts w:hint="eastAsia" w:ascii="宋体" w:hAnsi="宋体"/>
          <w:sz w:val="24"/>
        </w:rPr>
        <w:t>六、交货方式</w:t>
      </w:r>
    </w:p>
    <w:p>
      <w:pPr>
        <w:spacing w:line="480" w:lineRule="auto"/>
        <w:ind w:firstLine="480" w:firstLineChars="200"/>
        <w:rPr>
          <w:rFonts w:ascii="宋体" w:hAnsi="宋体"/>
          <w:sz w:val="24"/>
        </w:rPr>
      </w:pPr>
      <w:r>
        <w:rPr>
          <w:rFonts w:hint="eastAsia" w:ascii="宋体" w:hAnsi="宋体"/>
          <w:sz w:val="24"/>
        </w:rPr>
        <w:t>（一）本合同项下的货物交货方式为：</w:t>
      </w:r>
      <w:r>
        <w:rPr>
          <w:rFonts w:hint="eastAsia" w:ascii="宋体" w:hAnsi="宋体"/>
          <w:sz w:val="24"/>
          <w:u w:val="single"/>
        </w:rPr>
        <w:t>现场交货。</w:t>
      </w:r>
    </w:p>
    <w:p>
      <w:pPr>
        <w:spacing w:before="120" w:line="480" w:lineRule="auto"/>
        <w:ind w:left="1" w:firstLine="480" w:firstLineChars="200"/>
        <w:rPr>
          <w:rFonts w:ascii="宋体" w:hAnsi="宋体"/>
          <w:sz w:val="24"/>
        </w:rPr>
      </w:pPr>
      <w:r>
        <w:rPr>
          <w:rFonts w:hint="eastAsia" w:ascii="宋体" w:hAnsi="宋体"/>
          <w:sz w:val="24"/>
        </w:rPr>
        <w:t>八、付款条件：</w:t>
      </w:r>
    </w:p>
    <w:p>
      <w:pPr>
        <w:spacing w:before="120" w:line="480" w:lineRule="auto"/>
        <w:ind w:left="1" w:firstLine="480" w:firstLineChars="200"/>
        <w:rPr>
          <w:rFonts w:hint="eastAsia" w:ascii="宋体" w:hAnsi="宋体"/>
          <w:sz w:val="24"/>
        </w:rPr>
      </w:pPr>
      <w:bookmarkStart w:id="170" w:name="_Hlk25095940"/>
      <w:r>
        <w:rPr>
          <w:rFonts w:hint="eastAsia" w:ascii="宋体" w:hAnsi="宋体"/>
          <w:sz w:val="24"/>
        </w:rPr>
        <w:t>本合同总价款为</w:t>
      </w:r>
      <w:r>
        <w:rPr>
          <w:rFonts w:hint="eastAsia" w:ascii="宋体" w:hAnsi="宋体"/>
          <w:sz w:val="24"/>
          <w:lang w:eastAsia="zh-CN"/>
        </w:rPr>
        <w:t>3</w:t>
      </w:r>
      <w:r>
        <w:rPr>
          <w:rFonts w:hint="eastAsia" w:ascii="宋体" w:hAnsi="宋体"/>
          <w:sz w:val="24"/>
          <w:lang w:val="en-US" w:eastAsia="zh-CN"/>
        </w:rPr>
        <w:t>883000</w:t>
      </w:r>
      <w:r>
        <w:rPr>
          <w:rFonts w:hint="eastAsia" w:ascii="宋体" w:hAnsi="宋体"/>
          <w:sz w:val="24"/>
        </w:rPr>
        <w:t>元，合同签订后7个工作日内甲方向乙方支付合同金额的50%人民币</w:t>
      </w:r>
      <w:r>
        <w:rPr>
          <w:rFonts w:hint="eastAsia" w:ascii="宋体" w:hAnsi="宋体"/>
          <w:sz w:val="24"/>
          <w:lang w:eastAsia="zh-CN"/>
        </w:rPr>
        <w:t>1</w:t>
      </w:r>
      <w:r>
        <w:rPr>
          <w:rFonts w:hint="eastAsia" w:ascii="宋体" w:hAnsi="宋体"/>
          <w:sz w:val="24"/>
          <w:lang w:val="en-US" w:eastAsia="zh-CN"/>
        </w:rPr>
        <w:t>941500</w:t>
      </w:r>
      <w:r>
        <w:rPr>
          <w:rFonts w:hint="eastAsia" w:ascii="宋体" w:hAnsi="宋体"/>
          <w:sz w:val="24"/>
        </w:rPr>
        <w:t>元，货物全部到达甲方指定地点并交付完成后，甲方支付乙方合同款的30%人民币</w:t>
      </w:r>
      <w:r>
        <w:rPr>
          <w:rFonts w:hint="eastAsia" w:ascii="宋体" w:hAnsi="宋体"/>
          <w:sz w:val="24"/>
          <w:lang w:eastAsia="zh-CN"/>
        </w:rPr>
        <w:t>1</w:t>
      </w:r>
      <w:r>
        <w:rPr>
          <w:rFonts w:hint="eastAsia" w:ascii="宋体" w:hAnsi="宋体"/>
          <w:sz w:val="24"/>
          <w:lang w:val="en-US" w:eastAsia="zh-CN"/>
        </w:rPr>
        <w:t>164900</w:t>
      </w:r>
      <w:r>
        <w:rPr>
          <w:rFonts w:hint="eastAsia" w:ascii="宋体" w:hAnsi="宋体"/>
          <w:sz w:val="24"/>
        </w:rPr>
        <w:t>元；货物全部安装、调试至正常使用状态后，且设备经过360小时运行合格，或经过初步验收证书签署后20天内，甲方支付乙方合同款15%人民币</w:t>
      </w:r>
      <w:r>
        <w:rPr>
          <w:rFonts w:hint="eastAsia" w:ascii="宋体" w:hAnsi="宋体"/>
          <w:sz w:val="24"/>
          <w:lang w:eastAsia="zh-CN"/>
        </w:rPr>
        <w:t>5</w:t>
      </w:r>
      <w:r>
        <w:rPr>
          <w:rFonts w:hint="eastAsia" w:ascii="宋体" w:hAnsi="宋体"/>
          <w:sz w:val="24"/>
          <w:lang w:val="en-US" w:eastAsia="zh-CN"/>
        </w:rPr>
        <w:t>82450</w:t>
      </w:r>
      <w:r>
        <w:rPr>
          <w:rFonts w:hint="eastAsia" w:ascii="宋体" w:hAnsi="宋体"/>
          <w:sz w:val="24"/>
        </w:rPr>
        <w:t>元。待运行满壹年后，无质量问题的情况下，甲方支付乙方合同金额的5％人民币</w:t>
      </w:r>
      <w:r>
        <w:rPr>
          <w:rFonts w:hint="eastAsia" w:ascii="宋体" w:hAnsi="宋体"/>
          <w:sz w:val="24"/>
          <w:lang w:eastAsia="zh-CN"/>
        </w:rPr>
        <w:t>1</w:t>
      </w:r>
      <w:r>
        <w:rPr>
          <w:rFonts w:hint="eastAsia" w:ascii="宋体" w:hAnsi="宋体"/>
          <w:sz w:val="24"/>
          <w:lang w:val="en-US" w:eastAsia="zh-CN"/>
        </w:rPr>
        <w:t>94150</w:t>
      </w:r>
      <w:r>
        <w:rPr>
          <w:rFonts w:hint="eastAsia" w:ascii="宋体" w:hAnsi="宋体"/>
          <w:sz w:val="24"/>
        </w:rPr>
        <w:t>元（履约保证金）。</w:t>
      </w:r>
      <w:bookmarkEnd w:id="170"/>
    </w:p>
    <w:p>
      <w:pPr>
        <w:spacing w:before="120" w:line="480" w:lineRule="auto"/>
        <w:ind w:left="1" w:firstLine="480" w:firstLineChars="200"/>
        <w:rPr>
          <w:rFonts w:ascii="宋体" w:hAnsi="宋体"/>
          <w:sz w:val="24"/>
        </w:rPr>
      </w:pPr>
      <w:r>
        <w:rPr>
          <w:rFonts w:hint="eastAsia" w:ascii="宋体" w:hAnsi="宋体"/>
          <w:sz w:val="24"/>
        </w:rPr>
        <w:t>十、质量保证：</w:t>
      </w:r>
    </w:p>
    <w:p>
      <w:pPr>
        <w:spacing w:before="120" w:line="480" w:lineRule="auto"/>
        <w:ind w:left="1" w:firstLine="480" w:firstLineChars="200"/>
        <w:rPr>
          <w:rFonts w:ascii="宋体" w:hAnsi="宋体"/>
          <w:sz w:val="24"/>
        </w:rPr>
      </w:pPr>
      <w:r>
        <w:rPr>
          <w:rFonts w:hint="eastAsia" w:ascii="宋体" w:hAnsi="宋体"/>
          <w:sz w:val="24"/>
        </w:rPr>
        <w:t>（一）乙方在收到通知后</w:t>
      </w:r>
      <w:r>
        <w:rPr>
          <w:rFonts w:hint="eastAsia" w:ascii="宋体" w:hAnsi="宋体"/>
          <w:sz w:val="24"/>
          <w:u w:val="single"/>
        </w:rPr>
        <w:t>15</w:t>
      </w:r>
      <w:r>
        <w:rPr>
          <w:rFonts w:hint="eastAsia" w:ascii="宋体" w:hAnsi="宋体"/>
          <w:sz w:val="24"/>
        </w:rPr>
        <w:t>天内应免费维修或更换有缺陷的货物或部件。</w:t>
      </w:r>
    </w:p>
    <w:p>
      <w:pPr>
        <w:spacing w:before="120" w:line="480" w:lineRule="auto"/>
        <w:ind w:firstLine="480" w:firstLineChars="200"/>
        <w:rPr>
          <w:rFonts w:ascii="宋体" w:hAnsi="宋体"/>
          <w:sz w:val="24"/>
        </w:rPr>
      </w:pPr>
      <w:r>
        <w:rPr>
          <w:rFonts w:hint="eastAsia" w:ascii="宋体" w:hAnsi="宋体"/>
          <w:sz w:val="24"/>
        </w:rPr>
        <w:t>（二）如果乙方在收到通知后</w:t>
      </w:r>
      <w:r>
        <w:rPr>
          <w:rFonts w:hint="eastAsia" w:ascii="宋体" w:hAnsi="宋体"/>
          <w:sz w:val="24"/>
          <w:u w:val="single"/>
        </w:rPr>
        <w:t xml:space="preserve"> 15 </w:t>
      </w:r>
      <w:r>
        <w:rPr>
          <w:rFonts w:hint="eastAsia" w:ascii="宋体" w:hAnsi="宋体"/>
          <w:sz w:val="24"/>
        </w:rPr>
        <w:t>天内没有弥补缺陷，甲方可采取必要的补救措施，但风险和费用将由乙方承担。</w:t>
      </w:r>
    </w:p>
    <w:p>
      <w:pPr>
        <w:spacing w:before="120" w:line="480" w:lineRule="auto"/>
        <w:ind w:left="2" w:firstLine="480" w:firstLineChars="200"/>
        <w:rPr>
          <w:rFonts w:ascii="宋体" w:hAnsi="宋体"/>
          <w:sz w:val="24"/>
        </w:rPr>
      </w:pPr>
      <w:r>
        <w:rPr>
          <w:rFonts w:hint="eastAsia" w:ascii="宋体" w:hAnsi="宋体"/>
          <w:sz w:val="24"/>
        </w:rPr>
        <w:t>（三）合同项下货物的质量保证期为自货物通过最终验收起</w:t>
      </w:r>
      <w:r>
        <w:rPr>
          <w:rFonts w:ascii="宋体" w:hAnsi="宋体"/>
          <w:sz w:val="24"/>
          <w:u w:val="single"/>
        </w:rPr>
        <w:t>12</w:t>
      </w:r>
      <w:r>
        <w:rPr>
          <w:rFonts w:hint="eastAsia" w:ascii="宋体" w:hAnsi="宋体"/>
          <w:sz w:val="24"/>
        </w:rPr>
        <w:t>个月（如第六章部分有其他要求的从其规定）内保修，终身免费维修。</w:t>
      </w:r>
    </w:p>
    <w:p>
      <w:pPr>
        <w:spacing w:before="120" w:line="480" w:lineRule="auto"/>
        <w:ind w:left="1" w:firstLine="480" w:firstLineChars="200"/>
        <w:rPr>
          <w:rFonts w:ascii="宋体" w:hAnsi="宋体"/>
          <w:sz w:val="24"/>
        </w:rPr>
      </w:pPr>
      <w:r>
        <w:rPr>
          <w:rFonts w:hint="eastAsia" w:ascii="宋体" w:hAnsi="宋体"/>
          <w:sz w:val="24"/>
        </w:rPr>
        <w:t>十一、检验和验收：所有系统、监测设备安装调试完成后均达到招标规格要求的既定功能。</w:t>
      </w:r>
    </w:p>
    <w:p>
      <w:pPr>
        <w:spacing w:before="120" w:line="480" w:lineRule="auto"/>
        <w:ind w:left="1" w:firstLine="480" w:firstLineChars="200"/>
        <w:rPr>
          <w:rFonts w:ascii="宋体" w:hAnsi="宋体"/>
          <w:sz w:val="24"/>
        </w:rPr>
      </w:pPr>
      <w:r>
        <w:rPr>
          <w:rFonts w:hint="eastAsia" w:ascii="宋体" w:hAnsi="宋体"/>
          <w:sz w:val="24"/>
        </w:rPr>
        <w:t>十二、索赔：</w:t>
      </w:r>
    </w:p>
    <w:p>
      <w:pPr>
        <w:spacing w:before="120" w:line="480" w:lineRule="auto"/>
        <w:ind w:firstLine="480" w:firstLineChars="200"/>
        <w:rPr>
          <w:rFonts w:ascii="宋体" w:hAnsi="宋体"/>
          <w:sz w:val="24"/>
        </w:rPr>
      </w:pPr>
      <w:r>
        <w:rPr>
          <w:rFonts w:hint="eastAsia" w:ascii="宋体" w:hAnsi="宋体"/>
          <w:sz w:val="24"/>
        </w:rPr>
        <w:t>索赔通知期限：</w:t>
      </w:r>
      <w:r>
        <w:rPr>
          <w:rFonts w:hint="eastAsia" w:ascii="宋体" w:hAnsi="宋体"/>
          <w:sz w:val="24"/>
          <w:u w:val="single"/>
        </w:rPr>
        <w:t>15</w:t>
      </w:r>
      <w:r>
        <w:rPr>
          <w:rFonts w:hint="eastAsia" w:ascii="宋体" w:hAnsi="宋体"/>
          <w:sz w:val="24"/>
        </w:rPr>
        <w:t>天。</w:t>
      </w:r>
    </w:p>
    <w:p>
      <w:pPr>
        <w:spacing w:before="120" w:line="480" w:lineRule="auto"/>
        <w:ind w:left="1" w:firstLine="480" w:firstLineChars="200"/>
        <w:rPr>
          <w:rFonts w:ascii="宋体" w:hAnsi="宋体"/>
          <w:sz w:val="24"/>
        </w:rPr>
      </w:pPr>
      <w:r>
        <w:rPr>
          <w:rFonts w:hint="eastAsia" w:ascii="宋体" w:hAnsi="宋体"/>
          <w:sz w:val="24"/>
        </w:rPr>
        <w:t>十五、不可抗力：</w:t>
      </w:r>
    </w:p>
    <w:p>
      <w:pPr>
        <w:spacing w:before="120" w:line="480" w:lineRule="auto"/>
        <w:ind w:firstLine="480" w:firstLineChars="200"/>
        <w:rPr>
          <w:rFonts w:ascii="宋体" w:hAnsi="宋体"/>
          <w:sz w:val="24"/>
        </w:rPr>
      </w:pPr>
      <w:r>
        <w:rPr>
          <w:rFonts w:hint="eastAsia" w:ascii="宋体" w:hAnsi="宋体"/>
          <w:sz w:val="24"/>
        </w:rPr>
        <w:t>不可抗力通知送达时间：事故发生后</w:t>
      </w:r>
      <w:r>
        <w:rPr>
          <w:rFonts w:hint="eastAsia" w:ascii="宋体" w:hAnsi="宋体"/>
          <w:sz w:val="24"/>
          <w:u w:val="single"/>
        </w:rPr>
        <w:t>14</w:t>
      </w:r>
      <w:r>
        <w:rPr>
          <w:rFonts w:hint="eastAsia" w:ascii="宋体" w:hAnsi="宋体"/>
          <w:sz w:val="24"/>
        </w:rPr>
        <w:t>天内。</w:t>
      </w:r>
    </w:p>
    <w:p>
      <w:pPr>
        <w:spacing w:before="120" w:line="480" w:lineRule="auto"/>
        <w:ind w:left="1" w:firstLine="480" w:firstLineChars="200"/>
        <w:rPr>
          <w:rFonts w:ascii="宋体" w:hAnsi="宋体"/>
          <w:sz w:val="24"/>
        </w:rPr>
      </w:pPr>
      <w:r>
        <w:rPr>
          <w:rFonts w:hint="eastAsia" w:ascii="宋体" w:hAnsi="宋体"/>
          <w:sz w:val="24"/>
        </w:rPr>
        <w:t>二十五.履约保证金：合同款5%作为履约保证金。</w:t>
      </w:r>
    </w:p>
    <w:p>
      <w:pPr>
        <w:widowControl/>
        <w:suppressAutoHyphens w:val="0"/>
        <w:autoSpaceDN/>
        <w:jc w:val="left"/>
        <w:rPr>
          <w:rFonts w:ascii="宋体" w:hAnsi="宋体"/>
          <w:sz w:val="24"/>
        </w:rPr>
      </w:pPr>
      <w:r>
        <w:rPr>
          <w:rFonts w:ascii="宋体" w:hAnsi="宋体"/>
          <w:sz w:val="24"/>
        </w:rPr>
        <w:br w:type="page"/>
      </w:r>
    </w:p>
    <w:p>
      <w:pPr>
        <w:spacing w:before="120" w:line="480" w:lineRule="auto"/>
        <w:ind w:left="1" w:firstLine="480" w:firstLineChars="200"/>
        <w:rPr>
          <w:rFonts w:ascii="宋体" w:hAnsi="宋体"/>
          <w:sz w:val="24"/>
        </w:rPr>
      </w:pPr>
      <w:r>
        <w:rPr>
          <w:rFonts w:hint="eastAsia" w:ascii="宋体" w:hAnsi="宋体"/>
          <w:sz w:val="24"/>
        </w:rPr>
        <w:t>附件一：货物清单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06"/>
        <w:gridCol w:w="1176"/>
        <w:gridCol w:w="1245"/>
        <w:gridCol w:w="696"/>
        <w:gridCol w:w="576"/>
        <w:gridCol w:w="1296"/>
        <w:gridCol w:w="1416"/>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序号</w:t>
            </w:r>
          </w:p>
        </w:tc>
        <w:tc>
          <w:tcPr>
            <w:tcW w:w="591"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名称</w:t>
            </w:r>
          </w:p>
        </w:tc>
        <w:tc>
          <w:tcPr>
            <w:tcW w:w="68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型号/规格</w:t>
            </w:r>
          </w:p>
        </w:tc>
        <w:tc>
          <w:tcPr>
            <w:tcW w:w="731"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产地/品牌</w:t>
            </w:r>
          </w:p>
        </w:tc>
        <w:tc>
          <w:tcPr>
            <w:tcW w:w="408"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是否进口</w:t>
            </w:r>
          </w:p>
        </w:tc>
        <w:tc>
          <w:tcPr>
            <w:tcW w:w="338"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数量</w:t>
            </w:r>
          </w:p>
        </w:tc>
        <w:tc>
          <w:tcPr>
            <w:tcW w:w="760"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单价（元）</w:t>
            </w:r>
          </w:p>
        </w:tc>
        <w:tc>
          <w:tcPr>
            <w:tcW w:w="831" w:type="pct"/>
            <w:tcBorders>
              <w:top w:val="single" w:color="auto" w:sz="4" w:space="0"/>
              <w:left w:val="single" w:color="auto" w:sz="4" w:space="0"/>
              <w:bottom w:val="single" w:color="auto" w:sz="4" w:space="0"/>
              <w:right w:val="single" w:color="auto" w:sz="4" w:space="0"/>
            </w:tcBorders>
            <w:vAlign w:val="center"/>
          </w:tcPr>
          <w:p>
            <w:pPr>
              <w:pStyle w:val="12"/>
              <w:ind w:right="-132" w:rightChars="-63"/>
              <w:jc w:val="center"/>
              <w:rPr>
                <w:sz w:val="24"/>
                <w:szCs w:val="24"/>
              </w:rPr>
            </w:pPr>
            <w:r>
              <w:rPr>
                <w:rFonts w:hint="eastAsia"/>
                <w:sz w:val="24"/>
                <w:szCs w:val="24"/>
              </w:rPr>
              <w:t>总价（元）</w:t>
            </w:r>
          </w:p>
        </w:tc>
        <w:tc>
          <w:tcPr>
            <w:tcW w:w="33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1</w:t>
            </w:r>
          </w:p>
        </w:tc>
        <w:tc>
          <w:tcPr>
            <w:tcW w:w="591"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油烟三参数在线监测设备</w:t>
            </w:r>
          </w:p>
        </w:tc>
        <w:tc>
          <w:tcPr>
            <w:tcW w:w="689"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sz w:val="24"/>
                <w:szCs w:val="24"/>
              </w:rPr>
              <w:t>YT-YY-07</w:t>
            </w:r>
          </w:p>
        </w:tc>
        <w:tc>
          <w:tcPr>
            <w:tcW w:w="731" w:type="pct"/>
            <w:tcBorders>
              <w:top w:val="single" w:color="auto" w:sz="4" w:space="0"/>
              <w:left w:val="single" w:color="auto" w:sz="4" w:space="0"/>
              <w:bottom w:val="single" w:color="auto" w:sz="4" w:space="0"/>
              <w:right w:val="single" w:color="auto" w:sz="4" w:space="0"/>
            </w:tcBorders>
            <w:vAlign w:val="center"/>
          </w:tcPr>
          <w:p>
            <w:pPr>
              <w:pStyle w:val="12"/>
              <w:jc w:val="left"/>
              <w:rPr>
                <w:sz w:val="24"/>
                <w:szCs w:val="24"/>
              </w:rPr>
            </w:pPr>
            <w:r>
              <w:rPr>
                <w:rFonts w:hint="eastAsia"/>
                <w:sz w:val="24"/>
                <w:szCs w:val="24"/>
              </w:rPr>
              <w:t>中国</w:t>
            </w:r>
          </w:p>
          <w:p>
            <w:pPr>
              <w:pStyle w:val="12"/>
              <w:jc w:val="left"/>
              <w:rPr>
                <w:sz w:val="24"/>
                <w:szCs w:val="24"/>
              </w:rPr>
            </w:pPr>
            <w:r>
              <w:rPr>
                <w:rFonts w:hint="eastAsia"/>
                <w:sz w:val="24"/>
                <w:szCs w:val="24"/>
              </w:rPr>
              <w:t>河北誉天环保科技有限公司</w:t>
            </w:r>
          </w:p>
        </w:tc>
        <w:tc>
          <w:tcPr>
            <w:tcW w:w="408" w:type="pct"/>
            <w:tcBorders>
              <w:top w:val="single" w:color="auto" w:sz="4" w:space="0"/>
              <w:left w:val="single" w:color="auto" w:sz="4" w:space="0"/>
              <w:bottom w:val="single" w:color="auto" w:sz="4" w:space="0"/>
              <w:right w:val="single" w:color="auto" w:sz="4" w:space="0"/>
            </w:tcBorders>
            <w:vAlign w:val="center"/>
          </w:tcPr>
          <w:p>
            <w:pPr>
              <w:pStyle w:val="12"/>
              <w:ind w:firstLine="240"/>
              <w:rPr>
                <w:sz w:val="24"/>
                <w:szCs w:val="24"/>
              </w:rPr>
            </w:pPr>
            <w:r>
              <w:rPr>
                <w:rFonts w:hint="eastAsia"/>
                <w:sz w:val="24"/>
                <w:szCs w:val="24"/>
              </w:rPr>
              <w:t>否</w:t>
            </w:r>
          </w:p>
        </w:tc>
        <w:tc>
          <w:tcPr>
            <w:tcW w:w="338"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1</w:t>
            </w:r>
            <w:r>
              <w:rPr>
                <w:sz w:val="24"/>
                <w:szCs w:val="24"/>
              </w:rPr>
              <w:t>07</w:t>
            </w:r>
          </w:p>
        </w:tc>
        <w:tc>
          <w:tcPr>
            <w:tcW w:w="760"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30400</w:t>
            </w:r>
            <w:r>
              <w:rPr>
                <w:sz w:val="24"/>
                <w:szCs w:val="24"/>
              </w:rPr>
              <w:t>.00</w:t>
            </w:r>
          </w:p>
        </w:tc>
        <w:tc>
          <w:tcPr>
            <w:tcW w:w="831"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3252800</w:t>
            </w:r>
            <w:r>
              <w:rPr>
                <w:sz w:val="24"/>
                <w:szCs w:val="24"/>
              </w:rPr>
              <w:t>.00</w:t>
            </w:r>
          </w:p>
        </w:tc>
        <w:tc>
          <w:tcPr>
            <w:tcW w:w="339" w:type="pct"/>
            <w:tcBorders>
              <w:top w:val="single" w:color="auto" w:sz="4" w:space="0"/>
              <w:left w:val="single" w:color="auto" w:sz="4" w:space="0"/>
              <w:bottom w:val="single" w:color="auto" w:sz="4" w:space="0"/>
              <w:right w:val="single" w:color="auto" w:sz="4" w:space="0"/>
            </w:tcBorders>
            <w:vAlign w:val="center"/>
          </w:tcPr>
          <w:p>
            <w:pPr>
              <w:pStyle w:val="12"/>
              <w:ind w:firstLine="24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2</w:t>
            </w:r>
          </w:p>
        </w:tc>
        <w:tc>
          <w:tcPr>
            <w:tcW w:w="591"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油烟三参数在线监测软件系统升级</w:t>
            </w:r>
          </w:p>
        </w:tc>
        <w:tc>
          <w:tcPr>
            <w:tcW w:w="689"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油烟在线监控系统V1.0</w:t>
            </w:r>
          </w:p>
        </w:tc>
        <w:tc>
          <w:tcPr>
            <w:tcW w:w="731" w:type="pct"/>
            <w:tcBorders>
              <w:top w:val="single" w:color="auto" w:sz="4" w:space="0"/>
              <w:left w:val="single" w:color="auto" w:sz="4" w:space="0"/>
              <w:bottom w:val="single" w:color="auto" w:sz="4" w:space="0"/>
              <w:right w:val="single" w:color="auto" w:sz="4" w:space="0"/>
            </w:tcBorders>
            <w:vAlign w:val="center"/>
          </w:tcPr>
          <w:p>
            <w:pPr>
              <w:pStyle w:val="12"/>
              <w:jc w:val="left"/>
              <w:rPr>
                <w:sz w:val="24"/>
                <w:szCs w:val="24"/>
              </w:rPr>
            </w:pPr>
            <w:r>
              <w:rPr>
                <w:rFonts w:hint="eastAsia"/>
                <w:sz w:val="24"/>
                <w:szCs w:val="24"/>
              </w:rPr>
              <w:t>中国</w:t>
            </w:r>
          </w:p>
          <w:p>
            <w:pPr>
              <w:pStyle w:val="12"/>
              <w:jc w:val="left"/>
              <w:rPr>
                <w:sz w:val="24"/>
                <w:szCs w:val="24"/>
              </w:rPr>
            </w:pPr>
            <w:r>
              <w:rPr>
                <w:rFonts w:hint="eastAsia"/>
                <w:sz w:val="24"/>
                <w:szCs w:val="24"/>
              </w:rPr>
              <w:t>苏州市伏泰信息科技股份有限公司</w:t>
            </w:r>
          </w:p>
        </w:tc>
        <w:tc>
          <w:tcPr>
            <w:tcW w:w="408" w:type="pct"/>
            <w:tcBorders>
              <w:top w:val="single" w:color="auto" w:sz="4" w:space="0"/>
              <w:left w:val="single" w:color="auto" w:sz="4" w:space="0"/>
              <w:bottom w:val="single" w:color="auto" w:sz="4" w:space="0"/>
              <w:right w:val="single" w:color="auto" w:sz="4" w:space="0"/>
            </w:tcBorders>
            <w:vAlign w:val="center"/>
          </w:tcPr>
          <w:p>
            <w:pPr>
              <w:pStyle w:val="12"/>
              <w:ind w:firstLine="240"/>
              <w:rPr>
                <w:sz w:val="24"/>
                <w:szCs w:val="24"/>
              </w:rPr>
            </w:pPr>
            <w:r>
              <w:rPr>
                <w:rFonts w:hint="eastAsia"/>
                <w:sz w:val="24"/>
                <w:szCs w:val="24"/>
              </w:rPr>
              <w:t>否</w:t>
            </w:r>
          </w:p>
        </w:tc>
        <w:tc>
          <w:tcPr>
            <w:tcW w:w="338"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1</w:t>
            </w:r>
          </w:p>
        </w:tc>
        <w:tc>
          <w:tcPr>
            <w:tcW w:w="7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45000.00</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45000.00</w:t>
            </w:r>
          </w:p>
        </w:tc>
        <w:tc>
          <w:tcPr>
            <w:tcW w:w="3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3</w:t>
            </w:r>
          </w:p>
        </w:tc>
        <w:tc>
          <w:tcPr>
            <w:tcW w:w="591"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r>
              <w:rPr>
                <w:rFonts w:hint="eastAsia"/>
                <w:sz w:val="24"/>
                <w:szCs w:val="24"/>
              </w:rPr>
              <w:t>安装及辅材</w:t>
            </w:r>
          </w:p>
        </w:tc>
        <w:tc>
          <w:tcPr>
            <w:tcW w:w="689" w:type="pct"/>
            <w:tcBorders>
              <w:top w:val="single" w:color="auto" w:sz="4" w:space="0"/>
              <w:left w:val="single" w:color="auto" w:sz="4" w:space="0"/>
              <w:bottom w:val="single" w:color="auto" w:sz="4" w:space="0"/>
              <w:right w:val="single" w:color="auto" w:sz="4" w:space="0"/>
            </w:tcBorders>
            <w:vAlign w:val="center"/>
          </w:tcPr>
          <w:p>
            <w:pPr>
              <w:pStyle w:val="12"/>
              <w:rPr>
                <w:sz w:val="24"/>
                <w:szCs w:val="24"/>
              </w:rPr>
            </w:pPr>
          </w:p>
        </w:tc>
        <w:tc>
          <w:tcPr>
            <w:tcW w:w="731" w:type="pct"/>
            <w:tcBorders>
              <w:top w:val="single" w:color="auto" w:sz="4" w:space="0"/>
              <w:left w:val="single" w:color="auto" w:sz="4" w:space="0"/>
              <w:bottom w:val="single" w:color="auto" w:sz="4" w:space="0"/>
              <w:right w:val="single" w:color="auto" w:sz="4" w:space="0"/>
            </w:tcBorders>
            <w:vAlign w:val="center"/>
          </w:tcPr>
          <w:p>
            <w:pPr>
              <w:pStyle w:val="12"/>
              <w:jc w:val="left"/>
              <w:rPr>
                <w:sz w:val="24"/>
                <w:szCs w:val="24"/>
              </w:rPr>
            </w:pPr>
          </w:p>
        </w:tc>
        <w:tc>
          <w:tcPr>
            <w:tcW w:w="408" w:type="pct"/>
            <w:tcBorders>
              <w:top w:val="single" w:color="auto" w:sz="4" w:space="0"/>
              <w:left w:val="single" w:color="auto" w:sz="4" w:space="0"/>
              <w:bottom w:val="single" w:color="auto" w:sz="4" w:space="0"/>
              <w:right w:val="single" w:color="auto" w:sz="4" w:space="0"/>
            </w:tcBorders>
            <w:vAlign w:val="center"/>
          </w:tcPr>
          <w:p>
            <w:pPr>
              <w:pStyle w:val="12"/>
              <w:ind w:firstLine="240"/>
              <w:rPr>
                <w:sz w:val="24"/>
                <w:szCs w:val="24"/>
              </w:rPr>
            </w:pPr>
            <w:r>
              <w:rPr>
                <w:rFonts w:hint="eastAsia"/>
                <w:sz w:val="24"/>
                <w:szCs w:val="24"/>
              </w:rPr>
              <w:t>否</w:t>
            </w:r>
          </w:p>
        </w:tc>
        <w:tc>
          <w:tcPr>
            <w:tcW w:w="338" w:type="pct"/>
            <w:tcBorders>
              <w:top w:val="single" w:color="auto" w:sz="4" w:space="0"/>
              <w:left w:val="single" w:color="auto" w:sz="4" w:space="0"/>
              <w:bottom w:val="single" w:color="auto" w:sz="4" w:space="0"/>
              <w:right w:val="single" w:color="auto" w:sz="4" w:space="0"/>
            </w:tcBorders>
            <w:vAlign w:val="center"/>
          </w:tcPr>
          <w:p>
            <w:pPr>
              <w:pStyle w:val="12"/>
              <w:jc w:val="center"/>
              <w:rPr>
                <w:sz w:val="24"/>
                <w:szCs w:val="24"/>
              </w:rPr>
            </w:pPr>
            <w:r>
              <w:rPr>
                <w:rFonts w:hint="eastAsia"/>
                <w:sz w:val="24"/>
                <w:szCs w:val="24"/>
              </w:rPr>
              <w:t>107</w:t>
            </w:r>
          </w:p>
        </w:tc>
        <w:tc>
          <w:tcPr>
            <w:tcW w:w="7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r>
              <w:rPr>
                <w:rFonts w:hint="eastAsia" w:ascii="宋体" w:hAnsi="宋体"/>
                <w:color w:val="000000"/>
                <w:kern w:val="0"/>
                <w:sz w:val="24"/>
              </w:rPr>
              <w:t>3600.00</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r>
              <w:rPr>
                <w:rFonts w:hint="eastAsia" w:ascii="宋体" w:hAnsi="宋体"/>
                <w:color w:val="000000"/>
                <w:kern w:val="0"/>
                <w:sz w:val="24"/>
              </w:rPr>
              <w:t>385200.00</w:t>
            </w:r>
          </w:p>
        </w:tc>
        <w:tc>
          <w:tcPr>
            <w:tcW w:w="3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kern w:val="0"/>
                <w:sz w:val="24"/>
              </w:rPr>
            </w:pPr>
            <w:r>
              <w:rPr>
                <w:rFonts w:hint="eastAsia" w:ascii="宋体" w:hAnsi="宋体"/>
                <w:sz w:val="24"/>
              </w:rPr>
              <w:t>合同总价（元）：叁佰捌拾捌万叁仟元整，小写：3</w:t>
            </w:r>
            <w:r>
              <w:rPr>
                <w:rFonts w:ascii="宋体" w:hAnsi="宋体"/>
                <w:sz w:val="24"/>
              </w:rPr>
              <w:t>883000.00</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2"/>
              <w:jc w:val="left"/>
              <w:rPr>
                <w:rFonts w:hint="default" w:eastAsia="宋体"/>
                <w:color w:val="auto"/>
                <w:lang w:val="en-US" w:eastAsia="zh-CN"/>
              </w:rPr>
            </w:pPr>
            <w:r>
              <w:rPr>
                <w:rFonts w:hint="eastAsia" w:ascii="宋体" w:hAnsi="宋体" w:cs="宋体"/>
                <w:color w:val="auto"/>
                <w:sz w:val="24"/>
                <w:u w:val="single"/>
                <w:lang w:val="en-US" w:eastAsia="zh-CN"/>
              </w:rPr>
              <w:t>每台设备运维费用为8000元/年，自</w:t>
            </w:r>
            <w:bookmarkStart w:id="191" w:name="_GoBack"/>
            <w:bookmarkEnd w:id="191"/>
            <w:r>
              <w:rPr>
                <w:rFonts w:hint="eastAsia" w:ascii="宋体" w:hAnsi="宋体" w:cs="宋体"/>
                <w:color w:val="auto"/>
                <w:sz w:val="24"/>
                <w:u w:val="single"/>
                <w:lang w:val="en-US" w:eastAsia="zh-CN"/>
              </w:rPr>
              <w:t>验收合格起免费运维半年。</w:t>
            </w:r>
          </w:p>
          <w:p>
            <w:pPr>
              <w:jc w:val="left"/>
              <w:rPr>
                <w:rFonts w:hint="eastAsia" w:ascii="宋体" w:hAnsi="宋体"/>
                <w:sz w:val="24"/>
              </w:rPr>
            </w:pPr>
          </w:p>
        </w:tc>
      </w:tr>
    </w:tbl>
    <w:p>
      <w:pPr>
        <w:pStyle w:val="2"/>
      </w:pPr>
      <w:r>
        <w:br w:type="page"/>
      </w:r>
    </w:p>
    <w:p>
      <w:pPr>
        <w:spacing w:before="120" w:line="360" w:lineRule="auto"/>
        <w:ind w:left="1" w:firstLine="480" w:firstLineChars="200"/>
        <w:rPr>
          <w:rFonts w:ascii="宋体" w:hAnsi="宋体"/>
          <w:sz w:val="24"/>
        </w:rPr>
      </w:pPr>
      <w:r>
        <w:rPr>
          <w:rFonts w:hint="eastAsia" w:ascii="宋体" w:hAnsi="宋体"/>
          <w:sz w:val="24"/>
        </w:rPr>
        <w:t>附件二：售后服务条款</w:t>
      </w:r>
    </w:p>
    <w:p>
      <w:pPr>
        <w:spacing w:before="120" w:line="360" w:lineRule="auto"/>
        <w:ind w:left="1" w:firstLine="482" w:firstLineChars="200"/>
        <w:rPr>
          <w:rFonts w:ascii="宋体" w:hAnsi="宋体"/>
          <w:b/>
          <w:bCs/>
          <w:sz w:val="24"/>
        </w:rPr>
      </w:pPr>
      <w:bookmarkStart w:id="171" w:name="_Toc489982551"/>
      <w:bookmarkStart w:id="172" w:name="_Toc331287632"/>
      <w:bookmarkStart w:id="173" w:name="_Toc1413330"/>
      <w:bookmarkStart w:id="174" w:name="_Toc331106443"/>
      <w:bookmarkStart w:id="175" w:name="_Toc330828094"/>
      <w:bookmarkStart w:id="176" w:name="_Toc474154921"/>
      <w:bookmarkStart w:id="177" w:name="_Toc474136759"/>
      <w:r>
        <w:rPr>
          <w:rFonts w:hint="eastAsia" w:ascii="宋体" w:hAnsi="宋体"/>
          <w:b/>
          <w:bCs/>
          <w:sz w:val="24"/>
        </w:rPr>
        <w:t>一、售后服务承诺</w:t>
      </w:r>
      <w:bookmarkEnd w:id="171"/>
      <w:bookmarkEnd w:id="172"/>
      <w:bookmarkEnd w:id="173"/>
      <w:bookmarkEnd w:id="174"/>
      <w:bookmarkEnd w:id="175"/>
    </w:p>
    <w:p>
      <w:pPr>
        <w:spacing w:line="360" w:lineRule="auto"/>
        <w:ind w:firstLine="480" w:firstLineChars="200"/>
        <w:rPr>
          <w:rFonts w:ascii="宋体" w:hAnsi="宋体"/>
          <w:sz w:val="24"/>
        </w:rPr>
      </w:pPr>
      <w:r>
        <w:rPr>
          <w:rFonts w:hint="eastAsia" w:ascii="宋体" w:hAnsi="宋体"/>
          <w:sz w:val="24"/>
        </w:rPr>
        <w:t>1、我公司承诺自本项目验收</w:t>
      </w:r>
      <w:r>
        <w:rPr>
          <w:rFonts w:ascii="宋体" w:hAnsi="宋体"/>
          <w:sz w:val="24"/>
        </w:rPr>
        <w:t>合格后，提供</w:t>
      </w:r>
      <w:r>
        <w:rPr>
          <w:rFonts w:hint="eastAsia" w:ascii="宋体" w:hAnsi="宋体"/>
          <w:sz w:val="24"/>
          <w:u w:val="single"/>
        </w:rPr>
        <w:t xml:space="preserve"> </w:t>
      </w:r>
      <w:r>
        <w:rPr>
          <w:rFonts w:hint="eastAsia" w:ascii="宋体" w:hAnsi="宋体"/>
          <w:b/>
          <w:sz w:val="24"/>
          <w:u w:val="single"/>
        </w:rPr>
        <w:t xml:space="preserve">一年 </w:t>
      </w:r>
      <w:r>
        <w:rPr>
          <w:rFonts w:hint="eastAsia" w:ascii="宋体" w:hAnsi="宋体"/>
          <w:sz w:val="24"/>
        </w:rPr>
        <w:t>质保期；</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、我</w:t>
      </w:r>
      <w:r>
        <w:rPr>
          <w:rFonts w:ascii="宋体" w:hAnsi="宋体"/>
          <w:sz w:val="24"/>
        </w:rPr>
        <w:t>公司</w:t>
      </w:r>
      <w:r>
        <w:rPr>
          <w:rFonts w:hint="eastAsia" w:ascii="宋体" w:hAnsi="宋体"/>
          <w:sz w:val="24"/>
        </w:rPr>
        <w:t>承诺</w:t>
      </w:r>
      <w:r>
        <w:rPr>
          <w:rFonts w:ascii="宋体" w:hAnsi="宋体"/>
          <w:sz w:val="24"/>
        </w:rPr>
        <w:t>在</w:t>
      </w:r>
      <w:r>
        <w:rPr>
          <w:rFonts w:hint="eastAsia" w:ascii="宋体" w:hAnsi="宋体"/>
          <w:sz w:val="24"/>
        </w:rPr>
        <w:t>质保期内，对</w:t>
      </w:r>
      <w:r>
        <w:rPr>
          <w:rFonts w:ascii="宋体" w:hAnsi="宋体"/>
          <w:sz w:val="24"/>
        </w:rPr>
        <w:t>项目所有的设备</w:t>
      </w:r>
      <w:r>
        <w:rPr>
          <w:rFonts w:hint="eastAsia" w:ascii="宋体" w:hAnsi="宋体"/>
          <w:sz w:val="24"/>
        </w:rPr>
        <w:t>和产品</w:t>
      </w:r>
      <w:r>
        <w:rPr>
          <w:rFonts w:ascii="宋体" w:hAnsi="宋体"/>
          <w:sz w:val="24"/>
        </w:rPr>
        <w:t>进行保修；</w:t>
      </w:r>
    </w:p>
    <w:p>
      <w:pPr>
        <w:spacing w:line="360" w:lineRule="auto"/>
        <w:ind w:firstLine="480" w:firstLineChars="200"/>
        <w:rPr>
          <w:rFonts w:ascii="宋体" w:hAnsi="宋体"/>
          <w:sz w:val="24"/>
        </w:rPr>
      </w:pPr>
      <w:r>
        <w:rPr>
          <w:rFonts w:hint="eastAsia" w:ascii="宋体" w:hAnsi="宋体"/>
          <w:sz w:val="24"/>
        </w:rPr>
        <w:t>3、我</w:t>
      </w:r>
      <w:r>
        <w:rPr>
          <w:rFonts w:ascii="宋体" w:hAnsi="宋体"/>
          <w:sz w:val="24"/>
        </w:rPr>
        <w:t>公司</w:t>
      </w:r>
      <w:r>
        <w:rPr>
          <w:rFonts w:hint="eastAsia" w:ascii="宋体" w:hAnsi="宋体"/>
          <w:sz w:val="24"/>
        </w:rPr>
        <w:t>承诺</w:t>
      </w:r>
      <w:r>
        <w:rPr>
          <w:rFonts w:ascii="宋体" w:hAnsi="宋体"/>
          <w:sz w:val="24"/>
        </w:rPr>
        <w:t>在</w:t>
      </w:r>
      <w:r>
        <w:rPr>
          <w:rFonts w:hint="eastAsia" w:ascii="宋体" w:hAnsi="宋体"/>
          <w:sz w:val="24"/>
        </w:rPr>
        <w:t>质保期内，</w:t>
      </w:r>
      <w:r>
        <w:rPr>
          <w:rFonts w:ascii="宋体" w:hAnsi="宋体"/>
          <w:sz w:val="24"/>
        </w:rPr>
        <w:t>成本更换</w:t>
      </w:r>
      <w:r>
        <w:rPr>
          <w:rFonts w:hint="eastAsia" w:ascii="宋体" w:hAnsi="宋体"/>
          <w:sz w:val="24"/>
        </w:rPr>
        <w:t>所有</w:t>
      </w:r>
      <w:r>
        <w:rPr>
          <w:rFonts w:ascii="宋体" w:hAnsi="宋体"/>
          <w:sz w:val="24"/>
        </w:rPr>
        <w:t>设备</w:t>
      </w:r>
      <w:r>
        <w:rPr>
          <w:rFonts w:hint="eastAsia" w:ascii="宋体" w:hAnsi="宋体"/>
          <w:sz w:val="24"/>
        </w:rPr>
        <w:t>和产品</w:t>
      </w:r>
      <w:r>
        <w:rPr>
          <w:rFonts w:ascii="宋体" w:hAnsi="宋体"/>
          <w:sz w:val="24"/>
        </w:rPr>
        <w:t>涉及的耗材</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、我</w:t>
      </w:r>
      <w:r>
        <w:rPr>
          <w:rFonts w:ascii="宋体" w:hAnsi="宋体"/>
          <w:sz w:val="24"/>
        </w:rPr>
        <w:t>公司</w:t>
      </w:r>
      <w:r>
        <w:rPr>
          <w:rFonts w:hint="eastAsia" w:ascii="宋体" w:hAnsi="宋体"/>
          <w:sz w:val="24"/>
        </w:rPr>
        <w:t>承诺</w:t>
      </w:r>
      <w:r>
        <w:rPr>
          <w:rFonts w:ascii="宋体" w:hAnsi="宋体"/>
          <w:sz w:val="24"/>
        </w:rPr>
        <w:t>质保期满后</w:t>
      </w:r>
      <w:r>
        <w:rPr>
          <w:rFonts w:hint="eastAsia" w:ascii="宋体" w:hAnsi="宋体"/>
          <w:sz w:val="24"/>
        </w:rPr>
        <w:t>针对</w:t>
      </w:r>
      <w:r>
        <w:rPr>
          <w:rFonts w:ascii="宋体" w:hAnsi="宋体"/>
          <w:sz w:val="24"/>
        </w:rPr>
        <w:t>本项目</w:t>
      </w:r>
      <w:r>
        <w:rPr>
          <w:rFonts w:hint="eastAsia" w:ascii="宋体" w:hAnsi="宋体"/>
          <w:sz w:val="24"/>
        </w:rPr>
        <w:t>所</w:t>
      </w:r>
      <w:r>
        <w:rPr>
          <w:rFonts w:ascii="宋体" w:hAnsi="宋体"/>
          <w:sz w:val="24"/>
        </w:rPr>
        <w:t>涉及的产品、部件和材料终身成本维修</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、我公司</w:t>
      </w:r>
      <w:r>
        <w:rPr>
          <w:rFonts w:ascii="宋体" w:hAnsi="宋体"/>
          <w:sz w:val="24"/>
        </w:rPr>
        <w:t>提供7×24小时电话技术支持</w:t>
      </w:r>
      <w:r>
        <w:rPr>
          <w:rFonts w:hint="eastAsia" w:ascii="宋体" w:hAnsi="宋体"/>
          <w:sz w:val="24"/>
        </w:rPr>
        <w:t>。售后服务响应时间为1</w:t>
      </w:r>
      <w:r>
        <w:rPr>
          <w:rFonts w:ascii="宋体" w:hAnsi="宋体"/>
          <w:sz w:val="24"/>
        </w:rPr>
        <w:t>0</w:t>
      </w:r>
      <w:r>
        <w:rPr>
          <w:rFonts w:hint="eastAsia" w:ascii="宋体" w:hAnsi="宋体"/>
          <w:sz w:val="24"/>
        </w:rPr>
        <w:t>分钟</w:t>
      </w:r>
      <w:r>
        <w:rPr>
          <w:rFonts w:ascii="宋体" w:hAnsi="宋体"/>
          <w:sz w:val="24"/>
        </w:rPr>
        <w:t>，并于2小时内修复</w:t>
      </w:r>
      <w:r>
        <w:rPr>
          <w:rFonts w:hint="eastAsia" w:ascii="宋体" w:hAnsi="宋体"/>
          <w:sz w:val="24"/>
        </w:rPr>
        <w:t>；</w:t>
      </w:r>
      <w:r>
        <w:rPr>
          <w:rFonts w:ascii="宋体" w:hAnsi="宋体"/>
          <w:sz w:val="24"/>
        </w:rPr>
        <w:t>特殊情况无法修复的，</w:t>
      </w:r>
      <w:r>
        <w:rPr>
          <w:rFonts w:hint="eastAsia" w:ascii="宋体" w:hAnsi="宋体"/>
          <w:sz w:val="24"/>
        </w:rPr>
        <w:t>提供全新备用机免费更换服务</w:t>
      </w:r>
      <w:r>
        <w:rPr>
          <w:rFonts w:ascii="宋体" w:hAnsi="宋体"/>
          <w:sz w:val="24"/>
        </w:rPr>
        <w:t>使系统正常使用。</w:t>
      </w:r>
    </w:p>
    <w:p>
      <w:pPr>
        <w:spacing w:before="120" w:line="360" w:lineRule="auto"/>
        <w:ind w:left="1" w:firstLine="482" w:firstLineChars="200"/>
        <w:rPr>
          <w:rFonts w:ascii="宋体" w:hAnsi="宋体"/>
          <w:b/>
          <w:bCs/>
          <w:sz w:val="24"/>
        </w:rPr>
      </w:pPr>
      <w:bookmarkStart w:id="178" w:name="_Toc245796561"/>
      <w:bookmarkStart w:id="179" w:name="_Toc229453953"/>
      <w:bookmarkStart w:id="180" w:name="_Toc228361680"/>
      <w:bookmarkStart w:id="181" w:name="_Toc229465238"/>
      <w:bookmarkStart w:id="182" w:name="_Toc330828097"/>
      <w:bookmarkStart w:id="183" w:name="_Toc1413331"/>
      <w:bookmarkStart w:id="184" w:name="_Toc233366807"/>
      <w:bookmarkStart w:id="185" w:name="_Toc331287635"/>
      <w:bookmarkStart w:id="186" w:name="_Toc228290960"/>
      <w:bookmarkStart w:id="187" w:name="_Toc331106446"/>
      <w:bookmarkStart w:id="188" w:name="_Toc309635096"/>
      <w:r>
        <w:rPr>
          <w:rFonts w:hint="eastAsia" w:ascii="宋体" w:hAnsi="宋体"/>
          <w:b/>
          <w:bCs/>
          <w:sz w:val="24"/>
        </w:rPr>
        <w:t>二、售后服务原则</w:t>
      </w:r>
      <w:bookmarkEnd w:id="178"/>
      <w:bookmarkEnd w:id="179"/>
      <w:bookmarkEnd w:id="180"/>
      <w:bookmarkEnd w:id="181"/>
      <w:bookmarkEnd w:id="182"/>
      <w:bookmarkEnd w:id="183"/>
      <w:bookmarkEnd w:id="184"/>
      <w:bookmarkEnd w:id="185"/>
      <w:bookmarkEnd w:id="186"/>
      <w:bookmarkEnd w:id="187"/>
      <w:bookmarkEnd w:id="188"/>
    </w:p>
    <w:p>
      <w:pPr>
        <w:spacing w:line="360" w:lineRule="auto"/>
        <w:ind w:firstLine="480" w:firstLineChars="200"/>
        <w:rPr>
          <w:rFonts w:ascii="宋体" w:hAnsi="宋体"/>
          <w:sz w:val="24"/>
        </w:rPr>
      </w:pPr>
      <w:r>
        <w:rPr>
          <w:rFonts w:hint="eastAsia" w:ascii="宋体" w:hAnsi="宋体"/>
          <w:sz w:val="24"/>
        </w:rPr>
        <w:t>为了切实作好系统的售后服务工作，制定以下原则作为指导工作的主要原则：</w:t>
      </w:r>
    </w:p>
    <w:p>
      <w:pPr>
        <w:widowControl/>
        <w:numPr>
          <w:ilvl w:val="0"/>
          <w:numId w:val="2"/>
        </w:numPr>
        <w:suppressAutoHyphens w:val="0"/>
        <w:autoSpaceDN/>
        <w:spacing w:line="360" w:lineRule="auto"/>
        <w:ind w:firstLine="200"/>
        <w:jc w:val="left"/>
        <w:rPr>
          <w:rFonts w:ascii="宋体" w:hAnsi="宋体"/>
          <w:sz w:val="24"/>
        </w:rPr>
      </w:pPr>
      <w:r>
        <w:rPr>
          <w:rFonts w:hint="eastAsia" w:ascii="宋体" w:hAnsi="宋体"/>
          <w:sz w:val="24"/>
        </w:rPr>
        <w:t>响应及时性原则</w:t>
      </w:r>
    </w:p>
    <w:p>
      <w:pPr>
        <w:spacing w:line="360" w:lineRule="auto"/>
        <w:ind w:firstLine="480" w:firstLineChars="200"/>
        <w:rPr>
          <w:rFonts w:ascii="宋体" w:hAnsi="宋体"/>
          <w:sz w:val="24"/>
        </w:rPr>
      </w:pPr>
      <w:r>
        <w:rPr>
          <w:rFonts w:hint="eastAsia" w:ascii="宋体" w:hAnsi="宋体"/>
          <w:sz w:val="24"/>
        </w:rPr>
        <w:t>我</w:t>
      </w:r>
      <w:r>
        <w:rPr>
          <w:rFonts w:ascii="宋体" w:hAnsi="宋体"/>
          <w:sz w:val="24"/>
        </w:rPr>
        <w:t>公司</w:t>
      </w:r>
      <w:r>
        <w:rPr>
          <w:rFonts w:hint="eastAsia" w:ascii="宋体" w:hAnsi="宋体"/>
          <w:sz w:val="24"/>
        </w:rPr>
        <w:t>的技术服务部以及客户服务中心将负责对本项目进行快速响应，并提供</w:t>
      </w:r>
      <w:r>
        <w:rPr>
          <w:rFonts w:ascii="宋体" w:hAnsi="宋体"/>
          <w:sz w:val="24"/>
        </w:rPr>
        <w:t>7x24</w:t>
      </w:r>
      <w:r>
        <w:rPr>
          <w:rFonts w:hint="eastAsia" w:ascii="宋体" w:hAnsi="宋体"/>
          <w:sz w:val="24"/>
        </w:rPr>
        <w:t>小时响应服务。</w:t>
      </w:r>
    </w:p>
    <w:p>
      <w:pPr>
        <w:widowControl/>
        <w:numPr>
          <w:ilvl w:val="0"/>
          <w:numId w:val="2"/>
        </w:numPr>
        <w:suppressAutoHyphens w:val="0"/>
        <w:autoSpaceDN/>
        <w:spacing w:line="360" w:lineRule="auto"/>
        <w:ind w:firstLine="200"/>
        <w:jc w:val="left"/>
        <w:rPr>
          <w:rFonts w:ascii="宋体" w:hAnsi="宋体"/>
          <w:sz w:val="24"/>
        </w:rPr>
      </w:pPr>
      <w:r>
        <w:rPr>
          <w:rFonts w:hint="eastAsia" w:ascii="宋体" w:hAnsi="宋体"/>
          <w:sz w:val="24"/>
        </w:rPr>
        <w:t>服务规范性原则</w:t>
      </w:r>
    </w:p>
    <w:p>
      <w:pPr>
        <w:spacing w:line="360" w:lineRule="auto"/>
        <w:ind w:firstLine="480" w:firstLineChars="200"/>
        <w:rPr>
          <w:rFonts w:ascii="宋体" w:hAnsi="宋体"/>
          <w:sz w:val="24"/>
        </w:rPr>
      </w:pPr>
      <w:r>
        <w:rPr>
          <w:rFonts w:hint="eastAsia" w:ascii="宋体" w:hAnsi="宋体"/>
          <w:sz w:val="24"/>
        </w:rPr>
        <w:t>我们的实施工程师和技术支持、维护工程师不仅具有专业技术技能，而且都通过公司客户服务规范的培训，并严格按照我公司的客户服务规范提供客户服务。</w:t>
      </w:r>
    </w:p>
    <w:p>
      <w:pPr>
        <w:widowControl/>
        <w:numPr>
          <w:ilvl w:val="0"/>
          <w:numId w:val="2"/>
        </w:numPr>
        <w:suppressAutoHyphens w:val="0"/>
        <w:autoSpaceDN/>
        <w:spacing w:line="360" w:lineRule="auto"/>
        <w:ind w:firstLine="200"/>
        <w:jc w:val="left"/>
        <w:rPr>
          <w:rFonts w:ascii="宋体" w:hAnsi="宋体"/>
          <w:sz w:val="24"/>
        </w:rPr>
      </w:pPr>
      <w:r>
        <w:rPr>
          <w:rFonts w:hint="eastAsia" w:ascii="宋体" w:hAnsi="宋体"/>
          <w:sz w:val="24"/>
        </w:rPr>
        <w:t>解决问题高效性原则</w:t>
      </w:r>
    </w:p>
    <w:p>
      <w:pPr>
        <w:spacing w:line="360" w:lineRule="auto"/>
        <w:ind w:firstLine="480" w:firstLineChars="200"/>
        <w:rPr>
          <w:rFonts w:ascii="宋体" w:hAnsi="宋体"/>
          <w:sz w:val="24"/>
        </w:rPr>
      </w:pPr>
      <w:r>
        <w:rPr>
          <w:rFonts w:hint="eastAsia" w:ascii="宋体" w:hAnsi="宋体"/>
          <w:sz w:val="24"/>
        </w:rPr>
        <w:t>解决问题高效性是通过现场支持工程师的专业技能快速定位和解决问题。</w:t>
      </w:r>
    </w:p>
    <w:p>
      <w:pPr>
        <w:spacing w:before="120" w:line="360" w:lineRule="auto"/>
        <w:ind w:left="1" w:firstLine="482" w:firstLineChars="200"/>
        <w:rPr>
          <w:rFonts w:ascii="宋体" w:hAnsi="宋体"/>
          <w:sz w:val="24"/>
        </w:rPr>
      </w:pPr>
      <w:bookmarkStart w:id="189" w:name="_Toc1413332"/>
      <w:r>
        <w:rPr>
          <w:rFonts w:hint="eastAsia" w:ascii="宋体" w:hAnsi="宋体"/>
          <w:b/>
          <w:bCs/>
          <w:sz w:val="24"/>
        </w:rPr>
        <w:t>三、服务响应时间</w:t>
      </w:r>
      <w:bookmarkEnd w:id="189"/>
    </w:p>
    <w:p>
      <w:pPr>
        <w:spacing w:line="360" w:lineRule="auto"/>
        <w:ind w:firstLine="480" w:firstLineChars="200"/>
        <w:rPr>
          <w:rFonts w:ascii="宋体" w:hAnsi="宋体"/>
          <w:sz w:val="24"/>
        </w:rPr>
      </w:pPr>
      <w:r>
        <w:rPr>
          <w:rFonts w:hint="eastAsia" w:ascii="宋体" w:hAnsi="宋体"/>
          <w:sz w:val="24"/>
        </w:rPr>
        <w:t>从试运行期开始，我司</w:t>
      </w:r>
      <w:r>
        <w:rPr>
          <w:rFonts w:ascii="宋体" w:hAnsi="宋体"/>
          <w:sz w:val="24"/>
        </w:rPr>
        <w:t>提供7×24小时电话技术支持服务。</w:t>
      </w:r>
      <w:r>
        <w:rPr>
          <w:rFonts w:hint="eastAsia" w:ascii="宋体" w:hAnsi="宋体"/>
          <w:sz w:val="24"/>
        </w:rPr>
        <w:t>售后服务响应时间</w:t>
      </w:r>
      <w:r>
        <w:rPr>
          <w:rFonts w:ascii="宋体" w:hAnsi="宋体"/>
          <w:sz w:val="24"/>
        </w:rPr>
        <w:t>为10</w:t>
      </w:r>
      <w:r>
        <w:rPr>
          <w:rFonts w:hint="eastAsia" w:ascii="宋体" w:hAnsi="宋体"/>
          <w:sz w:val="24"/>
        </w:rPr>
        <w:t>分钟</w:t>
      </w:r>
      <w:r>
        <w:rPr>
          <w:rFonts w:ascii="宋体" w:hAnsi="宋体"/>
          <w:sz w:val="24"/>
        </w:rPr>
        <w:t>内，并于2小时内修复，特殊情况在2小时内无法修复的，</w:t>
      </w:r>
      <w:r>
        <w:rPr>
          <w:rFonts w:hint="eastAsia"/>
          <w:sz w:val="24"/>
        </w:rPr>
        <w:t>提供全新备用机免费更换服务，</w:t>
      </w:r>
      <w:r>
        <w:rPr>
          <w:rFonts w:ascii="宋体" w:hAnsi="宋体"/>
          <w:sz w:val="24"/>
        </w:rPr>
        <w:t>使系统正常使用。</w:t>
      </w:r>
    </w:p>
    <w:p>
      <w:pPr>
        <w:spacing w:before="120" w:line="360" w:lineRule="auto"/>
        <w:ind w:left="1" w:firstLine="482" w:firstLineChars="200"/>
        <w:rPr>
          <w:rFonts w:ascii="宋体" w:hAnsi="宋体"/>
          <w:sz w:val="24"/>
        </w:rPr>
      </w:pPr>
      <w:bookmarkStart w:id="190" w:name="_Toc1413333"/>
      <w:r>
        <w:rPr>
          <w:rFonts w:hint="eastAsia" w:ascii="宋体" w:hAnsi="宋体"/>
          <w:b/>
          <w:bCs/>
          <w:sz w:val="24"/>
        </w:rPr>
        <w:t>四、售后服务内容</w:t>
      </w:r>
      <w:bookmarkEnd w:id="190"/>
    </w:p>
    <w:p>
      <w:pPr>
        <w:spacing w:line="360" w:lineRule="auto"/>
        <w:ind w:firstLine="480" w:firstLineChars="200"/>
        <w:rPr>
          <w:rFonts w:ascii="宋体" w:hAnsi="宋体"/>
          <w:sz w:val="24"/>
        </w:rPr>
      </w:pPr>
      <w:r>
        <w:rPr>
          <w:rFonts w:hint="eastAsia" w:ascii="宋体" w:hAnsi="宋体"/>
          <w:sz w:val="24"/>
        </w:rPr>
        <w:t>我公司按ISO9001质量保证体系，建立了完善的技术支持和售后服务体系，向用户提供优质的规范化和标准化服务，并根据具体项目，定制服务计划。</w:t>
      </w:r>
    </w:p>
    <w:p>
      <w:pPr>
        <w:spacing w:line="360" w:lineRule="auto"/>
        <w:ind w:firstLine="480" w:firstLineChars="200"/>
        <w:rPr>
          <w:rFonts w:ascii="宋体" w:hAnsi="宋体"/>
          <w:sz w:val="24"/>
        </w:rPr>
      </w:pPr>
      <w:r>
        <w:rPr>
          <w:rFonts w:hint="eastAsia" w:ascii="宋体" w:hAnsi="宋体"/>
          <w:sz w:val="24"/>
        </w:rPr>
        <w:t>我公司郑重承诺，如果能够有机会参与本项目建设工作，我公司承诺将针对</w:t>
      </w:r>
      <w:r>
        <w:rPr>
          <w:rFonts w:hint="eastAsia" w:ascii="宋体" w:hAnsi="宋体"/>
          <w:sz w:val="24"/>
          <w:u w:val="single"/>
        </w:rPr>
        <w:t xml:space="preserve"> </w:t>
      </w:r>
      <w:r>
        <w:rPr>
          <w:rFonts w:hint="eastAsia" w:ascii="宋体" w:hAnsi="宋体"/>
          <w:b/>
          <w:sz w:val="24"/>
          <w:u w:val="single"/>
        </w:rPr>
        <w:t>本项目</w:t>
      </w:r>
      <w:r>
        <w:rPr>
          <w:rFonts w:ascii="宋体" w:hAnsi="宋体"/>
          <w:b/>
          <w:sz w:val="24"/>
          <w:u w:val="single"/>
        </w:rPr>
        <w:t>所有的设备</w:t>
      </w:r>
      <w:r>
        <w:rPr>
          <w:rFonts w:hint="eastAsia" w:ascii="宋体" w:hAnsi="宋体"/>
          <w:b/>
          <w:sz w:val="24"/>
          <w:u w:val="single"/>
        </w:rPr>
        <w:t xml:space="preserve">和产品 </w:t>
      </w:r>
      <w:r>
        <w:rPr>
          <w:rFonts w:hint="eastAsia" w:ascii="宋体" w:hAnsi="宋体"/>
          <w:sz w:val="24"/>
        </w:rPr>
        <w:t>提供“一站式”服务，由我公司统一协调完成对项目涉及所有内容进行售后服务及技术支持。</w:t>
      </w:r>
    </w:p>
    <w:p>
      <w:pPr>
        <w:spacing w:line="360" w:lineRule="auto"/>
        <w:ind w:firstLine="480" w:firstLineChars="200"/>
        <w:rPr>
          <w:rFonts w:ascii="宋体" w:hAnsi="宋体"/>
          <w:sz w:val="24"/>
        </w:rPr>
      </w:pPr>
      <w:r>
        <w:rPr>
          <w:rFonts w:ascii="宋体" w:hAnsi="宋体"/>
          <w:sz w:val="24"/>
        </w:rPr>
        <w:t>树立以服务为中心的工作作风，强化服务意识和服务技能，以优质服务切实保障本项目系统的正常运行和良好的应用效果，</w:t>
      </w:r>
      <w:r>
        <w:rPr>
          <w:rFonts w:hint="eastAsia" w:ascii="宋体" w:hAnsi="宋体"/>
          <w:sz w:val="24"/>
        </w:rPr>
        <w:t>实现客户满意最大化。</w:t>
      </w:r>
    </w:p>
    <w:p>
      <w:pPr>
        <w:pStyle w:val="2"/>
      </w:pPr>
      <w:r>
        <w:br w:type="page"/>
      </w:r>
    </w:p>
    <w:p>
      <w:pPr>
        <w:spacing w:line="360" w:lineRule="auto"/>
        <w:ind w:firstLine="480" w:firstLineChars="200"/>
        <w:rPr>
          <w:rFonts w:ascii="宋体" w:hAnsi="宋体"/>
          <w:sz w:val="24"/>
        </w:rPr>
      </w:pPr>
    </w:p>
    <w:p>
      <w:pPr>
        <w:spacing w:before="120" w:line="360" w:lineRule="auto"/>
        <w:ind w:left="1" w:firstLine="480" w:firstLineChars="200"/>
        <w:rPr>
          <w:rFonts w:ascii="宋体" w:hAnsi="宋体"/>
          <w:sz w:val="24"/>
        </w:rPr>
      </w:pPr>
      <w:r>
        <w:rPr>
          <w:rFonts w:hint="eastAsia" w:ascii="宋体" w:hAnsi="宋体"/>
          <w:sz w:val="24"/>
        </w:rPr>
        <w:t>附件三：中标通知书</w:t>
      </w:r>
      <w:bookmarkEnd w:id="176"/>
      <w:bookmarkEnd w:id="177"/>
    </w:p>
    <w:p>
      <w:pPr>
        <w:widowControl/>
        <w:spacing w:line="720" w:lineRule="auto"/>
        <w:rPr>
          <w:rFonts w:ascii="宋体" w:hAnsi="宋体" w:cs="宋体"/>
          <w:sz w:val="24"/>
          <w:u w:val="single"/>
        </w:rPr>
      </w:pPr>
      <w:r>
        <w:rPr>
          <w:rFonts w:ascii="宋体" w:hAnsi="宋体" w:cs="宋体"/>
          <w:sz w:val="24"/>
          <w:u w:val="single"/>
        </w:rPr>
        <w:drawing>
          <wp:inline distT="0" distB="0" distL="0" distR="0">
            <wp:extent cx="5638800" cy="79768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40707" cy="7980132"/>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67523"/>
    </w:sdtPr>
    <w:sdtContent>
      <w:sdt>
        <w:sdtPr>
          <w:id w:val="-1705238520"/>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157C5"/>
    <w:multiLevelType w:val="multilevel"/>
    <w:tmpl w:val="250157C5"/>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42993473"/>
    <w:multiLevelType w:val="multilevel"/>
    <w:tmpl w:val="42993473"/>
    <w:lvl w:ilvl="0" w:tentative="0">
      <w:start w:val="1"/>
      <w:numFmt w:val="chineseCountingThousand"/>
      <w:pStyle w:val="3"/>
      <w:suff w:val="space"/>
      <w:lvlText w:val="%1、"/>
      <w:lvlJc w:val="left"/>
      <w:pPr>
        <w:ind w:left="142" w:firstLine="0"/>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4"/>
      <w:isLgl/>
      <w:suff w:val="space"/>
      <w:lvlText w:val="%1.%2"/>
      <w:lvlJc w:val="left"/>
      <w:pPr>
        <w:ind w:left="0" w:firstLine="0"/>
      </w:pPr>
      <w:rPr>
        <w:b/>
        <w:bCs w:val="0"/>
        <w:i w:val="0"/>
        <w:iCs w:val="0"/>
        <w:caps w:val="0"/>
        <w:smallCaps w:val="0"/>
        <w:strike w:val="0"/>
        <w:dstrike w:val="0"/>
        <w:vanish w:val="0"/>
        <w:color w:val="000000"/>
        <w:spacing w:val="0"/>
        <w:position w:val="0"/>
        <w:u w:val="none"/>
        <w:vertAlign w:val="baseline"/>
      </w:rPr>
    </w:lvl>
    <w:lvl w:ilvl="2" w:tentative="0">
      <w:start w:val="1"/>
      <w:numFmt w:val="decimal"/>
      <w:pStyle w:val="5"/>
      <w:isLgl/>
      <w:suff w:val="space"/>
      <w:lvlText w:val="%1.%2.%3"/>
      <w:lvlJc w:val="left"/>
      <w:pPr>
        <w:ind w:left="284" w:firstLine="0"/>
      </w:pPr>
      <w:rPr>
        <w:b/>
        <w:bCs w:val="0"/>
        <w:i w:val="0"/>
        <w:iCs w:val="0"/>
        <w:caps w:val="0"/>
        <w:smallCaps w:val="0"/>
        <w:strike w:val="0"/>
        <w:dstrike w:val="0"/>
        <w:vanish w:val="0"/>
        <w:color w:val="000000"/>
        <w:spacing w:val="0"/>
        <w:position w:val="0"/>
        <w:u w:val="none"/>
        <w:vertAlign w:val="baseline"/>
      </w:rPr>
    </w:lvl>
    <w:lvl w:ilvl="3" w:tentative="0">
      <w:start w:val="1"/>
      <w:numFmt w:val="decimal"/>
      <w:pStyle w:val="6"/>
      <w:isLgl/>
      <w:suff w:val="space"/>
      <w:lvlText w:val="%1.%2.%3.%4"/>
      <w:lvlJc w:val="left"/>
      <w:pPr>
        <w:ind w:left="0" w:firstLine="0"/>
      </w:pPr>
      <w:rPr>
        <w:b/>
        <w:bCs w:val="0"/>
        <w:i w:val="0"/>
        <w:iCs w:val="0"/>
        <w:caps w:val="0"/>
        <w:smallCaps w:val="0"/>
        <w:strike w:val="0"/>
        <w:dstrike w:val="0"/>
        <w:vanish w:val="0"/>
        <w:color w:val="000000"/>
        <w:spacing w:val="0"/>
        <w:position w:val="0"/>
        <w:u w:val="none"/>
        <w:vertAlign w:val="baseline"/>
      </w:rPr>
    </w:lvl>
    <w:lvl w:ilvl="4" w:tentative="0">
      <w:start w:val="1"/>
      <w:numFmt w:val="decimal"/>
      <w:pStyle w:val="7"/>
      <w:isLgl/>
      <w:suff w:val="space"/>
      <w:lvlText w:val="%1.%2.%3.%4.%5"/>
      <w:lvlJc w:val="left"/>
      <w:pPr>
        <w:ind w:left="0" w:firstLine="0"/>
      </w:pPr>
      <w:rPr>
        <w:b/>
        <w:bCs w:val="0"/>
        <w:i w:val="0"/>
        <w:iCs w:val="0"/>
        <w:caps w:val="0"/>
        <w:smallCaps w:val="0"/>
        <w:strike w:val="0"/>
        <w:dstrike w:val="0"/>
        <w:vanish w:val="0"/>
        <w:color w:val="000000"/>
        <w:spacing w:val="0"/>
        <w:position w:val="0"/>
        <w:u w:val="none"/>
        <w:vertAlign w:val="baseline"/>
      </w:rPr>
    </w:lvl>
    <w:lvl w:ilvl="5" w:tentative="0">
      <w:start w:val="1"/>
      <w:numFmt w:val="upperLetter"/>
      <w:pStyle w:val="8"/>
      <w:suff w:val="space"/>
      <w:lvlText w:val="%6)"/>
      <w:lvlJc w:val="right"/>
      <w:pPr>
        <w:ind w:left="1740" w:hanging="889"/>
      </w:pPr>
      <w:rPr>
        <w:rFonts w:hint="default" w:ascii="Times New Roman" w:hAnsi="Times New Roman" w:cs="Times New Roman"/>
      </w:rPr>
    </w:lvl>
    <w:lvl w:ilvl="6" w:tentative="0">
      <w:start w:val="1"/>
      <w:numFmt w:val="lowerLetter"/>
      <w:pStyle w:val="9"/>
      <w:suff w:val="space"/>
      <w:lvlText w:val="%7）"/>
      <w:lvlJc w:val="left"/>
      <w:pPr>
        <w:ind w:left="1985" w:hanging="851"/>
      </w:pPr>
      <w:rPr>
        <w:rFonts w:hint="default" w:ascii="Times New Roman" w:hAnsi="Times New Roman" w:cs="Times New Roman"/>
      </w:rPr>
    </w:lvl>
    <w:lvl w:ilvl="7" w:tentative="0">
      <w:start w:val="1"/>
      <w:numFmt w:val="lowerLetter"/>
      <w:lvlText w:val="%8%5)"/>
      <w:lvlJc w:val="left"/>
      <w:pPr>
        <w:ind w:left="2580" w:hanging="420"/>
      </w:pPr>
      <w:rPr>
        <w:rFonts w:hint="default" w:ascii="Times New Roman" w:hAnsi="Times New Roman" w:cs="Times New Roman"/>
      </w:rPr>
    </w:lvl>
    <w:lvl w:ilvl="8" w:tentative="0">
      <w:start w:val="1"/>
      <w:numFmt w:val="lowerRoman"/>
      <w:lvlText w:val="%9%6."/>
      <w:lvlJc w:val="right"/>
      <w:pPr>
        <w:ind w:left="3000" w:hanging="42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63EF"/>
    <w:rsid w:val="000025EC"/>
    <w:rsid w:val="00022EB7"/>
    <w:rsid w:val="00042F19"/>
    <w:rsid w:val="00044906"/>
    <w:rsid w:val="00055777"/>
    <w:rsid w:val="000A0A71"/>
    <w:rsid w:val="000A7F55"/>
    <w:rsid w:val="000C38CB"/>
    <w:rsid w:val="00115BA3"/>
    <w:rsid w:val="0011754E"/>
    <w:rsid w:val="0012391C"/>
    <w:rsid w:val="0012506E"/>
    <w:rsid w:val="00134547"/>
    <w:rsid w:val="001A0A59"/>
    <w:rsid w:val="00267D52"/>
    <w:rsid w:val="00284F09"/>
    <w:rsid w:val="002F7D33"/>
    <w:rsid w:val="00327F13"/>
    <w:rsid w:val="00336007"/>
    <w:rsid w:val="003851B1"/>
    <w:rsid w:val="00385693"/>
    <w:rsid w:val="003A40A3"/>
    <w:rsid w:val="003B63E0"/>
    <w:rsid w:val="003C1E00"/>
    <w:rsid w:val="003C3D0C"/>
    <w:rsid w:val="003C4F50"/>
    <w:rsid w:val="00404149"/>
    <w:rsid w:val="0041007A"/>
    <w:rsid w:val="004664B2"/>
    <w:rsid w:val="004863E5"/>
    <w:rsid w:val="004D5534"/>
    <w:rsid w:val="004E36B3"/>
    <w:rsid w:val="00514E6A"/>
    <w:rsid w:val="005841CF"/>
    <w:rsid w:val="005C63EF"/>
    <w:rsid w:val="00651849"/>
    <w:rsid w:val="00652F31"/>
    <w:rsid w:val="006B2F2E"/>
    <w:rsid w:val="0074528E"/>
    <w:rsid w:val="007B5BD0"/>
    <w:rsid w:val="007C7052"/>
    <w:rsid w:val="008075FB"/>
    <w:rsid w:val="00821AF9"/>
    <w:rsid w:val="008257D6"/>
    <w:rsid w:val="00850BC3"/>
    <w:rsid w:val="00902E0D"/>
    <w:rsid w:val="00960638"/>
    <w:rsid w:val="009646CF"/>
    <w:rsid w:val="00975FDC"/>
    <w:rsid w:val="009A344A"/>
    <w:rsid w:val="009F715E"/>
    <w:rsid w:val="00A47FE2"/>
    <w:rsid w:val="00A616BA"/>
    <w:rsid w:val="00AA2833"/>
    <w:rsid w:val="00AC5785"/>
    <w:rsid w:val="00AD59FE"/>
    <w:rsid w:val="00B35BE9"/>
    <w:rsid w:val="00B400A9"/>
    <w:rsid w:val="00B84B7A"/>
    <w:rsid w:val="00BA35EF"/>
    <w:rsid w:val="00BD4CF7"/>
    <w:rsid w:val="00BF2A8B"/>
    <w:rsid w:val="00BF53A9"/>
    <w:rsid w:val="00C1785C"/>
    <w:rsid w:val="00C20D8C"/>
    <w:rsid w:val="00C52D2A"/>
    <w:rsid w:val="00C567CD"/>
    <w:rsid w:val="00C61D10"/>
    <w:rsid w:val="00C70918"/>
    <w:rsid w:val="00CB5717"/>
    <w:rsid w:val="00D62C5B"/>
    <w:rsid w:val="00DA02C1"/>
    <w:rsid w:val="00DC3412"/>
    <w:rsid w:val="00E208F3"/>
    <w:rsid w:val="00E23927"/>
    <w:rsid w:val="00E81AEF"/>
    <w:rsid w:val="00E861CE"/>
    <w:rsid w:val="00ED20E7"/>
    <w:rsid w:val="00ED35E9"/>
    <w:rsid w:val="00F05F44"/>
    <w:rsid w:val="00F3462F"/>
    <w:rsid w:val="00F46019"/>
    <w:rsid w:val="00FD021B"/>
    <w:rsid w:val="00FD7AF1"/>
    <w:rsid w:val="05DE5B73"/>
    <w:rsid w:val="0FEF6A4F"/>
    <w:rsid w:val="23CC6CAE"/>
    <w:rsid w:val="39DB0028"/>
    <w:rsid w:val="3F4701B0"/>
    <w:rsid w:val="412934D7"/>
    <w:rsid w:val="425C65E1"/>
    <w:rsid w:val="4DCE1940"/>
    <w:rsid w:val="4E82236A"/>
    <w:rsid w:val="528764F1"/>
    <w:rsid w:val="562274CA"/>
    <w:rsid w:val="594E4B77"/>
    <w:rsid w:val="677963C9"/>
    <w:rsid w:val="6DA915D5"/>
    <w:rsid w:val="6DD4414C"/>
    <w:rsid w:val="70D55E0D"/>
    <w:rsid w:val="72B81377"/>
    <w:rsid w:val="75B13E3A"/>
    <w:rsid w:val="79477BE9"/>
    <w:rsid w:val="7ADC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autoSpaceDN w:val="0"/>
      <w:jc w:val="both"/>
    </w:pPr>
    <w:rPr>
      <w:rFonts w:ascii="Times New Roman" w:hAnsi="Times New Roman" w:eastAsia="宋体" w:cs="Times New Roman"/>
      <w:kern w:val="3"/>
      <w:sz w:val="21"/>
      <w:szCs w:val="24"/>
      <w:lang w:val="en-US" w:eastAsia="zh-CN" w:bidi="ar-SA"/>
    </w:rPr>
  </w:style>
  <w:style w:type="paragraph" w:styleId="3">
    <w:name w:val="heading 2"/>
    <w:basedOn w:val="1"/>
    <w:next w:val="1"/>
    <w:link w:val="23"/>
    <w:unhideWhenUsed/>
    <w:qFormat/>
    <w:uiPriority w:val="9"/>
    <w:pPr>
      <w:keepNext/>
      <w:keepLines/>
      <w:numPr>
        <w:ilvl w:val="0"/>
        <w:numId w:val="1"/>
      </w:numPr>
      <w:suppressAutoHyphens w:val="0"/>
      <w:autoSpaceDN/>
      <w:spacing w:before="120" w:after="120" w:line="360" w:lineRule="auto"/>
      <w:jc w:val="center"/>
      <w:outlineLvl w:val="1"/>
    </w:pPr>
    <w:rPr>
      <w:rFonts w:ascii="黑体" w:hAnsi="黑体" w:cs="黑体"/>
      <w:b/>
      <w:bCs/>
      <w:kern w:val="2"/>
      <w:sz w:val="44"/>
      <w:szCs w:val="44"/>
    </w:rPr>
  </w:style>
  <w:style w:type="paragraph" w:styleId="4">
    <w:name w:val="heading 3"/>
    <w:basedOn w:val="1"/>
    <w:next w:val="1"/>
    <w:link w:val="21"/>
    <w:unhideWhenUsed/>
    <w:qFormat/>
    <w:uiPriority w:val="9"/>
    <w:pPr>
      <w:keepNext/>
      <w:keepLines/>
      <w:numPr>
        <w:ilvl w:val="1"/>
        <w:numId w:val="1"/>
      </w:numPr>
      <w:suppressAutoHyphens w:val="0"/>
      <w:autoSpaceDN/>
      <w:spacing w:line="360" w:lineRule="auto"/>
      <w:outlineLvl w:val="2"/>
    </w:pPr>
    <w:rPr>
      <w:rFonts w:ascii="黑体" w:hAnsi="黑体" w:cs="黑体"/>
      <w:b/>
      <w:bCs/>
      <w:kern w:val="2"/>
      <w:sz w:val="36"/>
      <w:szCs w:val="36"/>
    </w:rPr>
  </w:style>
  <w:style w:type="paragraph" w:styleId="5">
    <w:name w:val="heading 4"/>
    <w:basedOn w:val="1"/>
    <w:next w:val="1"/>
    <w:link w:val="22"/>
    <w:unhideWhenUsed/>
    <w:qFormat/>
    <w:uiPriority w:val="9"/>
    <w:pPr>
      <w:keepNext/>
      <w:keepLines/>
      <w:numPr>
        <w:ilvl w:val="2"/>
        <w:numId w:val="1"/>
      </w:numPr>
      <w:suppressAutoHyphens w:val="0"/>
      <w:autoSpaceDN/>
      <w:spacing w:line="360" w:lineRule="auto"/>
      <w:outlineLvl w:val="3"/>
    </w:pPr>
    <w:rPr>
      <w:rFonts w:ascii="黑体" w:hAnsi="黑体" w:cs="黑体"/>
      <w:b/>
      <w:bCs/>
      <w:kern w:val="2"/>
      <w:sz w:val="32"/>
      <w:szCs w:val="32"/>
    </w:rPr>
  </w:style>
  <w:style w:type="paragraph" w:styleId="6">
    <w:name w:val="heading 5"/>
    <w:basedOn w:val="1"/>
    <w:next w:val="1"/>
    <w:link w:val="35"/>
    <w:unhideWhenUsed/>
    <w:qFormat/>
    <w:uiPriority w:val="9"/>
    <w:pPr>
      <w:keepNext/>
      <w:keepLines/>
      <w:numPr>
        <w:ilvl w:val="3"/>
        <w:numId w:val="1"/>
      </w:numPr>
      <w:suppressAutoHyphens w:val="0"/>
      <w:autoSpaceDN/>
      <w:spacing w:line="360" w:lineRule="auto"/>
      <w:outlineLvl w:val="4"/>
    </w:pPr>
    <w:rPr>
      <w:rFonts w:ascii="黑体" w:hAnsi="黑体" w:eastAsia="黑体" w:cs="黑体"/>
      <w:b/>
      <w:bCs/>
      <w:kern w:val="2"/>
      <w:sz w:val="30"/>
      <w:szCs w:val="30"/>
    </w:rPr>
  </w:style>
  <w:style w:type="paragraph" w:styleId="7">
    <w:name w:val="heading 6"/>
    <w:basedOn w:val="1"/>
    <w:next w:val="1"/>
    <w:link w:val="32"/>
    <w:unhideWhenUsed/>
    <w:qFormat/>
    <w:uiPriority w:val="0"/>
    <w:pPr>
      <w:keepNext/>
      <w:keepLines/>
      <w:numPr>
        <w:ilvl w:val="4"/>
        <w:numId w:val="1"/>
      </w:numPr>
      <w:suppressAutoHyphens w:val="0"/>
      <w:autoSpaceDN/>
      <w:spacing w:line="360" w:lineRule="auto"/>
      <w:outlineLvl w:val="5"/>
    </w:pPr>
    <w:rPr>
      <w:rFonts w:ascii="黑体" w:hAnsi="黑体" w:eastAsia="黑体" w:cs="黑体"/>
      <w:b/>
      <w:bCs/>
      <w:kern w:val="2"/>
      <w:sz w:val="24"/>
    </w:rPr>
  </w:style>
  <w:style w:type="paragraph" w:styleId="8">
    <w:name w:val="heading 7"/>
    <w:basedOn w:val="1"/>
    <w:next w:val="1"/>
    <w:link w:val="33"/>
    <w:unhideWhenUsed/>
    <w:qFormat/>
    <w:uiPriority w:val="0"/>
    <w:pPr>
      <w:keepNext/>
      <w:keepLines/>
      <w:numPr>
        <w:ilvl w:val="5"/>
        <w:numId w:val="1"/>
      </w:numPr>
      <w:suppressAutoHyphens w:val="0"/>
      <w:autoSpaceDN/>
      <w:spacing w:line="360" w:lineRule="auto"/>
      <w:outlineLvl w:val="6"/>
    </w:pPr>
    <w:rPr>
      <w:rFonts w:ascii="黑体" w:hAnsi="黑体" w:eastAsia="黑体" w:cs="黑体"/>
      <w:b/>
      <w:bCs/>
      <w:kern w:val="2"/>
      <w:sz w:val="24"/>
    </w:rPr>
  </w:style>
  <w:style w:type="paragraph" w:styleId="9">
    <w:name w:val="heading 8"/>
    <w:basedOn w:val="1"/>
    <w:next w:val="1"/>
    <w:link w:val="34"/>
    <w:unhideWhenUsed/>
    <w:qFormat/>
    <w:uiPriority w:val="0"/>
    <w:pPr>
      <w:keepNext/>
      <w:keepLines/>
      <w:numPr>
        <w:ilvl w:val="6"/>
        <w:numId w:val="1"/>
      </w:numPr>
      <w:suppressAutoHyphens w:val="0"/>
      <w:autoSpaceDN/>
      <w:spacing w:line="360" w:lineRule="auto"/>
      <w:outlineLvl w:val="7"/>
    </w:pPr>
    <w:rPr>
      <w:rFonts w:ascii="黑体" w:hAnsi="黑体" w:eastAsia="黑体" w:cs="黑体"/>
      <w:b/>
      <w:kern w:val="2"/>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10">
    <w:name w:val="annotation text"/>
    <w:basedOn w:val="1"/>
    <w:link w:val="36"/>
    <w:semiHidden/>
    <w:unhideWhenUsed/>
    <w:qFormat/>
    <w:uiPriority w:val="99"/>
    <w:pPr>
      <w:jc w:val="left"/>
    </w:pPr>
  </w:style>
  <w:style w:type="paragraph" w:styleId="11">
    <w:name w:val="Body Text"/>
    <w:basedOn w:val="1"/>
    <w:link w:val="29"/>
    <w:qFormat/>
    <w:uiPriority w:val="99"/>
    <w:pPr>
      <w:tabs>
        <w:tab w:val="left" w:pos="567"/>
      </w:tabs>
      <w:spacing w:before="120" w:line="22" w:lineRule="atLeast"/>
    </w:pPr>
    <w:rPr>
      <w:rFonts w:ascii="宋体" w:hAnsi="宋体"/>
      <w:sz w:val="24"/>
    </w:rPr>
  </w:style>
  <w:style w:type="paragraph" w:styleId="12">
    <w:name w:val="Plain Text"/>
    <w:basedOn w:val="1"/>
    <w:link w:val="28"/>
    <w:qFormat/>
    <w:uiPriority w:val="0"/>
    <w:rPr>
      <w:rFonts w:ascii="宋体" w:hAnsi="宋体"/>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uppressAutoHyphens w:val="0"/>
      <w:autoSpaceDN/>
      <w:snapToGrid w:val="0"/>
      <w:jc w:val="left"/>
    </w:pPr>
    <w:rPr>
      <w:rFonts w:asciiTheme="minorHAnsi" w:hAnsiTheme="minorHAnsi" w:eastAsiaTheme="minorEastAsia" w:cstheme="minorBidi"/>
      <w:kern w:val="2"/>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uppressAutoHyphens w:val="0"/>
      <w:autoSpaceDN/>
      <w:snapToGrid w:val="0"/>
      <w:jc w:val="center"/>
    </w:pPr>
    <w:rPr>
      <w:rFonts w:asciiTheme="minorHAnsi" w:hAnsiTheme="minorHAnsi" w:eastAsiaTheme="minorEastAsia" w:cstheme="minorBidi"/>
      <w:kern w:val="2"/>
      <w:sz w:val="18"/>
      <w:szCs w:val="18"/>
    </w:rPr>
  </w:style>
  <w:style w:type="paragraph" w:styleId="16">
    <w:name w:val="annotation subject"/>
    <w:basedOn w:val="10"/>
    <w:next w:val="10"/>
    <w:link w:val="37"/>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3 Char"/>
    <w:basedOn w:val="19"/>
    <w:link w:val="4"/>
    <w:qFormat/>
    <w:uiPriority w:val="9"/>
    <w:rPr>
      <w:rFonts w:ascii="黑体" w:hAnsi="黑体" w:eastAsia="宋体" w:cs="黑体"/>
      <w:b/>
      <w:bCs/>
      <w:sz w:val="36"/>
      <w:szCs w:val="36"/>
    </w:rPr>
  </w:style>
  <w:style w:type="character" w:customStyle="1" w:styleId="22">
    <w:name w:val="标题 4 Char"/>
    <w:basedOn w:val="19"/>
    <w:link w:val="5"/>
    <w:qFormat/>
    <w:uiPriority w:val="9"/>
    <w:rPr>
      <w:rFonts w:ascii="黑体" w:hAnsi="黑体" w:eastAsia="宋体" w:cs="黑体"/>
      <w:b/>
      <w:bCs/>
      <w:sz w:val="32"/>
      <w:szCs w:val="32"/>
    </w:rPr>
  </w:style>
  <w:style w:type="character" w:customStyle="1" w:styleId="23">
    <w:name w:val="标题 2 Char"/>
    <w:basedOn w:val="19"/>
    <w:link w:val="3"/>
    <w:qFormat/>
    <w:uiPriority w:val="9"/>
    <w:rPr>
      <w:rFonts w:ascii="黑体" w:hAnsi="黑体" w:eastAsia="宋体" w:cs="黑体"/>
      <w:b/>
      <w:bCs/>
      <w:sz w:val="44"/>
      <w:szCs w:val="44"/>
    </w:rPr>
  </w:style>
  <w:style w:type="character" w:customStyle="1" w:styleId="24">
    <w:name w:val="页眉 Char"/>
    <w:basedOn w:val="19"/>
    <w:link w:val="15"/>
    <w:qFormat/>
    <w:uiPriority w:val="99"/>
    <w:rPr>
      <w:sz w:val="18"/>
      <w:szCs w:val="18"/>
    </w:rPr>
  </w:style>
  <w:style w:type="character" w:customStyle="1" w:styleId="25">
    <w:name w:val="页脚 Char"/>
    <w:basedOn w:val="19"/>
    <w:link w:val="14"/>
    <w:qFormat/>
    <w:uiPriority w:val="99"/>
    <w:rPr>
      <w:sz w:val="18"/>
      <w:szCs w:val="18"/>
    </w:rPr>
  </w:style>
  <w:style w:type="character" w:customStyle="1" w:styleId="26">
    <w:name w:val="正文文本 字符"/>
    <w:basedOn w:val="19"/>
    <w:semiHidden/>
    <w:qFormat/>
    <w:uiPriority w:val="99"/>
    <w:rPr>
      <w:rFonts w:ascii="Times New Roman" w:hAnsi="Times New Roman" w:eastAsia="宋体" w:cs="Times New Roman"/>
      <w:kern w:val="3"/>
      <w:szCs w:val="24"/>
    </w:rPr>
  </w:style>
  <w:style w:type="character" w:customStyle="1" w:styleId="27">
    <w:name w:val="纯文本 字符"/>
    <w:basedOn w:val="19"/>
    <w:semiHidden/>
    <w:qFormat/>
    <w:uiPriority w:val="99"/>
    <w:rPr>
      <w:rFonts w:hAnsi="Courier New" w:cs="Courier New" w:asciiTheme="minorEastAsia"/>
      <w:kern w:val="3"/>
      <w:szCs w:val="24"/>
    </w:rPr>
  </w:style>
  <w:style w:type="character" w:customStyle="1" w:styleId="28">
    <w:name w:val="纯文本 Char"/>
    <w:link w:val="12"/>
    <w:qFormat/>
    <w:uiPriority w:val="0"/>
    <w:rPr>
      <w:rFonts w:ascii="宋体" w:hAnsi="宋体" w:eastAsia="宋体" w:cs="Times New Roman"/>
      <w:kern w:val="3"/>
      <w:szCs w:val="20"/>
    </w:rPr>
  </w:style>
  <w:style w:type="character" w:customStyle="1" w:styleId="29">
    <w:name w:val="正文文本 Char"/>
    <w:link w:val="11"/>
    <w:qFormat/>
    <w:uiPriority w:val="99"/>
    <w:rPr>
      <w:rFonts w:ascii="宋体" w:hAnsi="宋体" w:eastAsia="宋体" w:cs="Times New Roman"/>
      <w:kern w:val="3"/>
      <w:sz w:val="24"/>
      <w:szCs w:val="24"/>
    </w:rPr>
  </w:style>
  <w:style w:type="character" w:customStyle="1" w:styleId="30">
    <w:name w:val="批注框文本 Char"/>
    <w:basedOn w:val="19"/>
    <w:link w:val="13"/>
    <w:semiHidden/>
    <w:qFormat/>
    <w:uiPriority w:val="99"/>
    <w:rPr>
      <w:rFonts w:ascii="Times New Roman" w:hAnsi="Times New Roman" w:eastAsia="宋体" w:cs="Times New Roman"/>
      <w:kern w:val="3"/>
      <w:sz w:val="18"/>
      <w:szCs w:val="18"/>
    </w:rPr>
  </w:style>
  <w:style w:type="character" w:customStyle="1" w:styleId="31">
    <w:name w:val="标题 5 字符"/>
    <w:basedOn w:val="19"/>
    <w:semiHidden/>
    <w:qFormat/>
    <w:uiPriority w:val="9"/>
    <w:rPr>
      <w:rFonts w:ascii="Times New Roman" w:hAnsi="Times New Roman" w:eastAsia="宋体" w:cs="Times New Roman"/>
      <w:b/>
      <w:bCs/>
      <w:kern w:val="3"/>
      <w:sz w:val="28"/>
      <w:szCs w:val="28"/>
    </w:rPr>
  </w:style>
  <w:style w:type="character" w:customStyle="1" w:styleId="32">
    <w:name w:val="标题 6 Char"/>
    <w:basedOn w:val="19"/>
    <w:link w:val="7"/>
    <w:qFormat/>
    <w:uiPriority w:val="0"/>
    <w:rPr>
      <w:rFonts w:ascii="黑体" w:hAnsi="黑体" w:eastAsia="黑体" w:cs="黑体"/>
      <w:b/>
      <w:bCs/>
      <w:sz w:val="24"/>
      <w:szCs w:val="24"/>
    </w:rPr>
  </w:style>
  <w:style w:type="character" w:customStyle="1" w:styleId="33">
    <w:name w:val="标题 7 Char"/>
    <w:basedOn w:val="19"/>
    <w:link w:val="8"/>
    <w:qFormat/>
    <w:uiPriority w:val="0"/>
    <w:rPr>
      <w:rFonts w:ascii="黑体" w:hAnsi="黑体" w:eastAsia="黑体" w:cs="黑体"/>
      <w:b/>
      <w:bCs/>
      <w:sz w:val="24"/>
      <w:szCs w:val="24"/>
    </w:rPr>
  </w:style>
  <w:style w:type="character" w:customStyle="1" w:styleId="34">
    <w:name w:val="标题 8 Char"/>
    <w:basedOn w:val="19"/>
    <w:link w:val="9"/>
    <w:qFormat/>
    <w:uiPriority w:val="0"/>
    <w:rPr>
      <w:rFonts w:ascii="黑体" w:hAnsi="黑体" w:eastAsia="黑体" w:cs="黑体"/>
      <w:b/>
      <w:sz w:val="24"/>
      <w:szCs w:val="24"/>
    </w:rPr>
  </w:style>
  <w:style w:type="character" w:customStyle="1" w:styleId="35">
    <w:name w:val="标题 5 Char"/>
    <w:link w:val="6"/>
    <w:qFormat/>
    <w:uiPriority w:val="9"/>
    <w:rPr>
      <w:rFonts w:ascii="黑体" w:hAnsi="黑体" w:eastAsia="黑体" w:cs="黑体"/>
      <w:b/>
      <w:bCs/>
      <w:sz w:val="30"/>
      <w:szCs w:val="30"/>
    </w:rPr>
  </w:style>
  <w:style w:type="character" w:customStyle="1" w:styleId="36">
    <w:name w:val="批注文字 Char"/>
    <w:basedOn w:val="19"/>
    <w:link w:val="10"/>
    <w:semiHidden/>
    <w:qFormat/>
    <w:uiPriority w:val="99"/>
    <w:rPr>
      <w:rFonts w:ascii="Times New Roman" w:hAnsi="Times New Roman" w:eastAsia="宋体" w:cs="Times New Roman"/>
      <w:kern w:val="3"/>
      <w:sz w:val="21"/>
      <w:szCs w:val="24"/>
    </w:rPr>
  </w:style>
  <w:style w:type="character" w:customStyle="1" w:styleId="37">
    <w:name w:val="批注主题 Char"/>
    <w:basedOn w:val="36"/>
    <w:link w:val="16"/>
    <w:semiHidden/>
    <w:qFormat/>
    <w:uiPriority w:val="99"/>
    <w:rPr>
      <w:rFonts w:ascii="Times New Roman" w:hAnsi="Times New Roman" w:eastAsia="宋体" w:cs="Times New Roman"/>
      <w:b/>
      <w:bCs/>
      <w:kern w:val="3"/>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90DB9-B1EA-463A-8058-54519D471B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1155</Words>
  <Characters>6586</Characters>
  <Lines>54</Lines>
  <Paragraphs>15</Paragraphs>
  <TotalTime>6</TotalTime>
  <ScaleCrop>false</ScaleCrop>
  <LinksUpToDate>false</LinksUpToDate>
  <CharactersWithSpaces>7726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2019-12-23T01:57:00Z</dcterms:created>
  <dc:creator>Ni Tiantian</dc:creator>
  <cp:lastModifiedBy>独孤楚河</cp:lastModifiedBy>
  <dcterms:modified xsi:type="dcterms:W3CDTF">2020-04-29T07:31:34Z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