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5FDF3">
      <w:pPr>
        <w:snapToGrid w:val="0"/>
        <w:spacing w:line="440" w:lineRule="exact"/>
        <w:jc w:val="center"/>
        <w:rPr>
          <w:rFonts w:eastAsia="方正小标宋简体" w:cs="Times New Roman"/>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年北京市</w:t>
      </w:r>
      <w:r>
        <w:rPr>
          <w:rFonts w:hint="eastAsia" w:eastAsia="方正小标宋简体"/>
          <w:color w:val="000000"/>
          <w:sz w:val="32"/>
          <w:szCs w:val="32"/>
          <w:lang w:val="en-US" w:eastAsia="zh-CN"/>
        </w:rPr>
        <w:t>大兴区</w:t>
      </w:r>
      <w:r>
        <w:rPr>
          <w:rFonts w:hint="eastAsia" w:eastAsia="方正小标宋简体" w:cs="Times New Roman"/>
          <w:color w:val="000000"/>
          <w:sz w:val="32"/>
          <w:szCs w:val="32"/>
          <w:lang w:val="en-US" w:eastAsia="zh-CN"/>
        </w:rPr>
        <w:t>儿</w:t>
      </w:r>
      <w:r>
        <w:rPr>
          <w:rFonts w:eastAsia="方正小标宋简体" w:cs="Times New Roman"/>
          <w:color w:val="000000"/>
          <w:sz w:val="32"/>
          <w:szCs w:val="32"/>
        </w:rPr>
        <w:t>童鞋产品质量监督抽查实施细则</w:t>
      </w:r>
    </w:p>
    <w:p w14:paraId="561F7320">
      <w:pPr>
        <w:snapToGrid w:val="0"/>
        <w:spacing w:line="440" w:lineRule="exact"/>
        <w:rPr>
          <w:rFonts w:eastAsia="黑体" w:cs="Times New Roman"/>
          <w:color w:val="000000"/>
        </w:rPr>
      </w:pPr>
    </w:p>
    <w:p w14:paraId="26DAA612">
      <w:pPr>
        <w:snapToGrid w:val="0"/>
        <w:spacing w:line="440" w:lineRule="exact"/>
        <w:rPr>
          <w:rFonts w:eastAsia="黑体" w:cs="Times New Roman"/>
          <w:color w:val="000000"/>
        </w:rPr>
      </w:pPr>
      <w:r>
        <w:rPr>
          <w:rFonts w:eastAsia="黑体" w:cs="Times New Roman"/>
          <w:color w:val="000000"/>
        </w:rPr>
        <w:t>1 抽样方法</w:t>
      </w:r>
    </w:p>
    <w:p w14:paraId="3E04FBFD">
      <w:pPr>
        <w:snapToGrid w:val="0"/>
        <w:spacing w:line="440" w:lineRule="exact"/>
        <w:ind w:firstLine="420" w:firstLineChars="200"/>
        <w:rPr>
          <w:rFonts w:cs="Times New Roman"/>
          <w:color w:val="000000"/>
        </w:rPr>
      </w:pPr>
      <w:r>
        <w:rPr>
          <w:rFonts w:cs="Times New Roman"/>
          <w:color w:val="000000"/>
        </w:rPr>
        <w:t>以随机抽样的方式在被抽样生产者、销售者的待销产品中抽取。</w:t>
      </w:r>
    </w:p>
    <w:p w14:paraId="0B4DFF0B">
      <w:pPr>
        <w:snapToGrid w:val="0"/>
        <w:spacing w:line="440" w:lineRule="exact"/>
        <w:ind w:firstLine="420" w:firstLineChars="200"/>
        <w:rPr>
          <w:rFonts w:cs="Times New Roman"/>
          <w:color w:val="000000"/>
        </w:rPr>
      </w:pPr>
      <w:r>
        <w:rPr>
          <w:rFonts w:cs="Times New Roman"/>
          <w:color w:val="000000"/>
        </w:rPr>
        <w:t>随机数一般可使用随机数表等方法产生。</w:t>
      </w:r>
    </w:p>
    <w:p w14:paraId="121C03BA">
      <w:pPr>
        <w:snapToGrid w:val="0"/>
        <w:spacing w:line="440" w:lineRule="exact"/>
        <w:ind w:firstLine="420" w:firstLineChars="200"/>
        <w:rPr>
          <w:rFonts w:cs="Times New Roman"/>
          <w:color w:val="000000"/>
        </w:rPr>
      </w:pPr>
      <w:r>
        <w:rPr>
          <w:rFonts w:cs="Times New Roman"/>
          <w:color w:val="000000"/>
        </w:rPr>
        <w:t>抽样基数满足抽样数量即可，抽取3双，2双为检验用样品，另1双为备用样品。</w:t>
      </w:r>
    </w:p>
    <w:p w14:paraId="7998E785">
      <w:pPr>
        <w:spacing w:line="360" w:lineRule="auto"/>
        <w:outlineLvl w:val="0"/>
        <w:rPr>
          <w:rFonts w:cs="Times New Roman"/>
          <w:color w:val="000000"/>
        </w:rPr>
      </w:pPr>
    </w:p>
    <w:p w14:paraId="300C11A8">
      <w:pPr>
        <w:snapToGrid w:val="0"/>
        <w:spacing w:line="440" w:lineRule="exact"/>
        <w:rPr>
          <w:rFonts w:eastAsia="黑体" w:cs="Times New Roman"/>
          <w:color w:val="000000"/>
        </w:rPr>
      </w:pPr>
      <w:r>
        <w:rPr>
          <w:rFonts w:eastAsia="黑体" w:cs="Times New Roman"/>
          <w:color w:val="000000"/>
        </w:rPr>
        <w:t>2 检验依据</w:t>
      </w:r>
    </w:p>
    <w:p w14:paraId="07072B3F">
      <w:pPr>
        <w:snapToGrid w:val="0"/>
        <w:spacing w:line="440" w:lineRule="exact"/>
        <w:rPr>
          <w:rFonts w:eastAsia="黑体" w:cs="Times New Roman"/>
          <w:color w:val="000000"/>
        </w:rPr>
      </w:pPr>
    </w:p>
    <w:tbl>
      <w:tblPr>
        <w:tblStyle w:val="4"/>
        <w:tblW w:w="89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0"/>
        <w:gridCol w:w="3495"/>
        <w:gridCol w:w="2110"/>
        <w:gridCol w:w="2113"/>
      </w:tblGrid>
      <w:tr w14:paraId="23CB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blHeader/>
        </w:trPr>
        <w:tc>
          <w:tcPr>
            <w:tcW w:w="1240" w:type="dxa"/>
            <w:vAlign w:val="center"/>
          </w:tcPr>
          <w:p w14:paraId="0ACD425D">
            <w:pPr>
              <w:jc w:val="center"/>
              <w:rPr>
                <w:rFonts w:cs="Times New Roman"/>
              </w:rPr>
            </w:pPr>
            <w:r>
              <w:rPr>
                <w:rFonts w:cs="Times New Roman"/>
              </w:rPr>
              <w:t>序号</w:t>
            </w:r>
          </w:p>
        </w:tc>
        <w:tc>
          <w:tcPr>
            <w:tcW w:w="3495" w:type="dxa"/>
            <w:vAlign w:val="center"/>
          </w:tcPr>
          <w:p w14:paraId="16D0E1C6">
            <w:pPr>
              <w:jc w:val="center"/>
              <w:rPr>
                <w:rFonts w:cs="Times New Roman"/>
              </w:rPr>
            </w:pPr>
            <w:r>
              <w:rPr>
                <w:rFonts w:cs="Times New Roman"/>
              </w:rPr>
              <w:t>检验项目</w:t>
            </w:r>
          </w:p>
        </w:tc>
        <w:tc>
          <w:tcPr>
            <w:tcW w:w="2110" w:type="dxa"/>
            <w:vAlign w:val="center"/>
          </w:tcPr>
          <w:p w14:paraId="07AA197C">
            <w:pPr>
              <w:jc w:val="center"/>
              <w:rPr>
                <w:rFonts w:hint="eastAsia" w:eastAsia="宋体" w:cs="Times New Roman"/>
                <w:lang w:val="en-US" w:eastAsia="zh-CN"/>
              </w:rPr>
            </w:pPr>
            <w:r>
              <w:rPr>
                <w:rFonts w:hint="eastAsia" w:cs="Times New Roman"/>
                <w:lang w:val="en-US" w:eastAsia="zh-CN"/>
              </w:rPr>
              <w:t>检验依据</w:t>
            </w:r>
          </w:p>
        </w:tc>
        <w:tc>
          <w:tcPr>
            <w:tcW w:w="2113" w:type="dxa"/>
            <w:vAlign w:val="center"/>
          </w:tcPr>
          <w:p w14:paraId="0CC81998">
            <w:pPr>
              <w:jc w:val="center"/>
              <w:rPr>
                <w:rFonts w:cs="Times New Roman"/>
              </w:rPr>
            </w:pPr>
            <w:r>
              <w:rPr>
                <w:rFonts w:cs="Times New Roman"/>
              </w:rPr>
              <w:t>检验方法</w:t>
            </w:r>
          </w:p>
        </w:tc>
      </w:tr>
      <w:tr w14:paraId="0A0E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3886EC5A">
            <w:pPr>
              <w:jc w:val="center"/>
              <w:rPr>
                <w:rFonts w:cs="Times New Roman"/>
              </w:rPr>
            </w:pPr>
            <w:r>
              <w:rPr>
                <w:rFonts w:cs="Times New Roman"/>
              </w:rPr>
              <w:t>1</w:t>
            </w:r>
          </w:p>
        </w:tc>
        <w:tc>
          <w:tcPr>
            <w:tcW w:w="3495" w:type="dxa"/>
            <w:vAlign w:val="center"/>
          </w:tcPr>
          <w:p w14:paraId="69DF9F1F">
            <w:pPr>
              <w:jc w:val="center"/>
              <w:rPr>
                <w:rFonts w:cs="Times New Roman"/>
              </w:rPr>
            </w:pPr>
            <w:r>
              <w:rPr>
                <w:rFonts w:cs="Times New Roman"/>
              </w:rPr>
              <w:t>露钉尖</w:t>
            </w:r>
          </w:p>
        </w:tc>
        <w:tc>
          <w:tcPr>
            <w:tcW w:w="2110" w:type="dxa"/>
            <w:vAlign w:val="center"/>
          </w:tcPr>
          <w:p w14:paraId="23FFA507">
            <w:pPr>
              <w:jc w:val="center"/>
              <w:rPr>
                <w:rFonts w:hint="default" w:ascii="Times New Roman" w:hAnsi="Times New Roman" w:eastAsia="宋体"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tc>
        <w:tc>
          <w:tcPr>
            <w:tcW w:w="2113" w:type="dxa"/>
            <w:vAlign w:val="center"/>
          </w:tcPr>
          <w:p w14:paraId="0C49E5E1">
            <w:pPr>
              <w:jc w:val="center"/>
              <w:rPr>
                <w:rFonts w:hint="default" w:ascii="Times New Roman" w:hAnsi="Times New Roman" w:eastAsia="宋体" w:cs="Times New Roman"/>
                <w:lang w:val="en-US" w:eastAsia="zh-CN"/>
              </w:rPr>
            </w:pPr>
            <w:bookmarkStart w:id="0" w:name="OLE_LINK5"/>
            <w:r>
              <w:rPr>
                <w:rFonts w:hint="default" w:ascii="Times New Roman" w:hAnsi="Times New Roman" w:cs="Times New Roman"/>
              </w:rPr>
              <w:t>GB 30585</w:t>
            </w:r>
            <w:r>
              <w:rPr>
                <w:rFonts w:hint="default" w:ascii="Times New Roman" w:hAnsi="Times New Roman" w:cs="Times New Roman"/>
                <w:lang w:val="en-US" w:eastAsia="zh-CN"/>
              </w:rPr>
              <w:t>—2014</w:t>
            </w:r>
            <w:bookmarkEnd w:id="0"/>
          </w:p>
        </w:tc>
      </w:tr>
      <w:tr w14:paraId="02FF1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597E6037">
            <w:pPr>
              <w:jc w:val="center"/>
              <w:rPr>
                <w:rFonts w:cs="Times New Roman"/>
              </w:rPr>
            </w:pPr>
            <w:r>
              <w:rPr>
                <w:rFonts w:cs="Times New Roman"/>
              </w:rPr>
              <w:t>2</w:t>
            </w:r>
          </w:p>
        </w:tc>
        <w:tc>
          <w:tcPr>
            <w:tcW w:w="3495" w:type="dxa"/>
            <w:vAlign w:val="center"/>
          </w:tcPr>
          <w:p w14:paraId="4AC15F60">
            <w:pPr>
              <w:jc w:val="center"/>
              <w:rPr>
                <w:rFonts w:cs="Times New Roman"/>
              </w:rPr>
            </w:pPr>
            <w:r>
              <w:rPr>
                <w:rFonts w:cs="Times New Roman"/>
              </w:rPr>
              <w:t>锐利边缘和锐利尖端</w:t>
            </w:r>
          </w:p>
        </w:tc>
        <w:tc>
          <w:tcPr>
            <w:tcW w:w="2110" w:type="dxa"/>
            <w:vAlign w:val="center"/>
          </w:tcPr>
          <w:p w14:paraId="5EB9F25D">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6DE02BEE">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456EAD1F">
            <w:pPr>
              <w:jc w:val="center"/>
              <w:rPr>
                <w:rFonts w:hint="default" w:ascii="Times New Roman" w:hAnsi="Times New Roman" w:eastAsia="宋体" w:cs="Times New Roman"/>
                <w:lang w:val="en-US" w:eastAsia="zh-CN"/>
              </w:rPr>
            </w:pPr>
            <w:r>
              <w:rPr>
                <w:rFonts w:hint="default" w:ascii="Times New Roman" w:hAnsi="Times New Roman" w:cs="Times New Roman"/>
              </w:rPr>
              <w:t>GB 6675.2</w:t>
            </w:r>
            <w:r>
              <w:rPr>
                <w:rFonts w:hint="default" w:ascii="Times New Roman" w:hAnsi="Times New Roman" w:cs="Times New Roman"/>
                <w:lang w:val="en-US" w:eastAsia="zh-CN"/>
              </w:rPr>
              <w:t>—2014</w:t>
            </w:r>
          </w:p>
        </w:tc>
      </w:tr>
      <w:tr w14:paraId="79D3F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1E843948">
            <w:pPr>
              <w:jc w:val="center"/>
              <w:rPr>
                <w:rFonts w:cs="Times New Roman"/>
              </w:rPr>
            </w:pPr>
            <w:r>
              <w:rPr>
                <w:rFonts w:cs="Times New Roman"/>
              </w:rPr>
              <w:t>3</w:t>
            </w:r>
          </w:p>
        </w:tc>
        <w:tc>
          <w:tcPr>
            <w:tcW w:w="3495" w:type="dxa"/>
            <w:vAlign w:val="center"/>
          </w:tcPr>
          <w:p w14:paraId="440502FA">
            <w:pPr>
              <w:jc w:val="center"/>
              <w:rPr>
                <w:rFonts w:cs="Times New Roman"/>
              </w:rPr>
            </w:pPr>
            <w:r>
              <w:rPr>
                <w:rFonts w:cs="Times New Roman"/>
              </w:rPr>
              <w:t>可拆卸小附件</w:t>
            </w:r>
          </w:p>
        </w:tc>
        <w:tc>
          <w:tcPr>
            <w:tcW w:w="2110" w:type="dxa"/>
            <w:vAlign w:val="center"/>
          </w:tcPr>
          <w:p w14:paraId="6207743E">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7F0303CE">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4976F559">
            <w:pPr>
              <w:jc w:val="center"/>
              <w:rPr>
                <w:rFonts w:hint="default" w:ascii="Times New Roman" w:hAnsi="Times New Roman" w:cs="Times New Roman"/>
                <w:lang w:val="en-US" w:eastAsia="zh-CN"/>
              </w:rPr>
            </w:pPr>
            <w:bookmarkStart w:id="1" w:name="OLE_LINK2"/>
            <w:bookmarkStart w:id="2" w:name="OLE_LINK3"/>
            <w:r>
              <w:rPr>
                <w:rFonts w:hint="default" w:ascii="Times New Roman" w:hAnsi="Times New Roman" w:cs="Times New Roman"/>
              </w:rPr>
              <w:t>GB 30585</w:t>
            </w:r>
            <w:r>
              <w:rPr>
                <w:rFonts w:hint="default" w:ascii="Times New Roman" w:hAnsi="Times New Roman" w:cs="Times New Roman"/>
                <w:lang w:val="en-US" w:eastAsia="zh-CN"/>
              </w:rPr>
              <w:t>—2014</w:t>
            </w:r>
          </w:p>
          <w:bookmarkEnd w:id="1"/>
          <w:p w14:paraId="4DB47655">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—2024</w:t>
            </w:r>
            <w:bookmarkEnd w:id="2"/>
          </w:p>
        </w:tc>
      </w:tr>
      <w:tr w14:paraId="55FC3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1F1B5A0B">
            <w:pPr>
              <w:jc w:val="center"/>
              <w:rPr>
                <w:rFonts w:cs="Times New Roman"/>
              </w:rPr>
            </w:pPr>
            <w:r>
              <w:rPr>
                <w:rFonts w:cs="Times New Roman"/>
              </w:rPr>
              <w:t>4</w:t>
            </w:r>
          </w:p>
        </w:tc>
        <w:tc>
          <w:tcPr>
            <w:tcW w:w="3495" w:type="dxa"/>
            <w:vAlign w:val="center"/>
          </w:tcPr>
          <w:p w14:paraId="5E3BB02B">
            <w:pPr>
              <w:jc w:val="center"/>
              <w:rPr>
                <w:rFonts w:cs="Times New Roman"/>
              </w:rPr>
            </w:pPr>
            <w:r>
              <w:rPr>
                <w:rFonts w:cs="Times New Roman"/>
              </w:rPr>
              <w:t>小附件抗拉强力</w:t>
            </w:r>
          </w:p>
        </w:tc>
        <w:tc>
          <w:tcPr>
            <w:tcW w:w="2110" w:type="dxa"/>
            <w:vAlign w:val="center"/>
          </w:tcPr>
          <w:p w14:paraId="25952D5B">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09D83AB1">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00152D64">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40265E1D">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r>
      <w:tr w14:paraId="2B087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4792425B">
            <w:pPr>
              <w:jc w:val="center"/>
              <w:rPr>
                <w:rFonts w:cs="Times New Roman"/>
              </w:rPr>
            </w:pPr>
            <w:r>
              <w:rPr>
                <w:rFonts w:cs="Times New Roman"/>
              </w:rPr>
              <w:t>5</w:t>
            </w:r>
          </w:p>
        </w:tc>
        <w:tc>
          <w:tcPr>
            <w:tcW w:w="3495" w:type="dxa"/>
            <w:vAlign w:val="center"/>
          </w:tcPr>
          <w:p w14:paraId="6DA68A93">
            <w:pPr>
              <w:jc w:val="center"/>
              <w:rPr>
                <w:rFonts w:cs="Times New Roman"/>
              </w:rPr>
            </w:pPr>
            <w:r>
              <w:rPr>
                <w:rFonts w:cs="Times New Roman"/>
              </w:rPr>
              <w:t>有效跟高</w:t>
            </w:r>
          </w:p>
        </w:tc>
        <w:tc>
          <w:tcPr>
            <w:tcW w:w="2110" w:type="dxa"/>
            <w:vAlign w:val="center"/>
          </w:tcPr>
          <w:p w14:paraId="496A0070">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7C63E543">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663B6F7A">
            <w:pPr>
              <w:jc w:val="center"/>
              <w:rPr>
                <w:rFonts w:hint="default" w:ascii="Times New Roman" w:hAnsi="Times New Roman" w:cs="Times New Roman"/>
                <w:lang w:val="en-US" w:eastAsia="zh-CN"/>
              </w:rPr>
            </w:pPr>
            <w:bookmarkStart w:id="3" w:name="OLE_LINK1"/>
            <w:r>
              <w:rPr>
                <w:rFonts w:hint="default" w:ascii="Times New Roman" w:hAnsi="Times New Roman" w:cs="Times New Roman"/>
              </w:rPr>
              <w:t>GB 30585</w:t>
            </w:r>
            <w:r>
              <w:rPr>
                <w:rFonts w:hint="default" w:ascii="Times New Roman" w:hAnsi="Times New Roman" w:cs="Times New Roman"/>
                <w:lang w:val="en-US" w:eastAsia="zh-CN"/>
              </w:rPr>
              <w:t>—2014</w:t>
            </w:r>
          </w:p>
          <w:bookmarkEnd w:id="3"/>
          <w:p w14:paraId="512FF6B9">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—2024</w:t>
            </w:r>
          </w:p>
        </w:tc>
      </w:tr>
      <w:tr w14:paraId="7A597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3ED6DBC2">
            <w:pPr>
              <w:jc w:val="center"/>
              <w:rPr>
                <w:rFonts w:cs="Times New Roman"/>
              </w:rPr>
            </w:pPr>
            <w:r>
              <w:rPr>
                <w:rFonts w:cs="Times New Roman"/>
              </w:rPr>
              <w:t>6</w:t>
            </w:r>
          </w:p>
        </w:tc>
        <w:tc>
          <w:tcPr>
            <w:tcW w:w="3495" w:type="dxa"/>
            <w:vAlign w:val="center"/>
          </w:tcPr>
          <w:p w14:paraId="3F56D43D">
            <w:pPr>
              <w:adjustRightInd w:val="0"/>
              <w:snapToGrid w:val="0"/>
              <w:jc w:val="center"/>
              <w:rPr>
                <w:rFonts w:cs="Times New Roman"/>
              </w:rPr>
            </w:pPr>
            <w:r>
              <w:rPr>
                <w:rFonts w:ascii="Times New Roman" w:hAnsi="Times New Roman" w:cs="Times New Roman"/>
              </w:rPr>
              <w:t>皮革和毛皮中的六价铬</w:t>
            </w:r>
          </w:p>
        </w:tc>
        <w:tc>
          <w:tcPr>
            <w:tcW w:w="2110" w:type="dxa"/>
            <w:vAlign w:val="center"/>
          </w:tcPr>
          <w:p w14:paraId="695328F5">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794BFA80">
            <w:pPr>
              <w:adjustRightInd w:val="0"/>
              <w:snapToGrid w:val="0"/>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69A22FB0">
            <w:pPr>
              <w:adjustRightInd w:val="0"/>
              <w:snapToGrid w:val="0"/>
              <w:jc w:val="center"/>
              <w:rPr>
                <w:rFonts w:hint="default" w:ascii="Times New Roman" w:hAnsi="Times New Roman" w:eastAsia="宋体" w:cs="Times New Roman"/>
                <w:lang w:val="en-US" w:eastAsia="zh-CN"/>
              </w:rPr>
            </w:pPr>
            <w:r>
              <w:rPr>
                <w:rFonts w:hint="default" w:ascii="Times New Roman" w:hAnsi="Times New Roman" w:cs="Times New Roman"/>
              </w:rPr>
              <w:t>GB/T 22807</w:t>
            </w:r>
            <w:r>
              <w:rPr>
                <w:rFonts w:hint="default" w:ascii="Times New Roman" w:hAnsi="Times New Roman" w:cs="Times New Roman"/>
                <w:lang w:val="en-US" w:eastAsia="zh-CN"/>
              </w:rPr>
              <w:t>—2019</w:t>
            </w:r>
          </w:p>
          <w:p w14:paraId="085EDFC4">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 xml:space="preserve">GB/T </w:t>
            </w:r>
            <w:r>
              <w:rPr>
                <w:rFonts w:hint="default" w:ascii="Times New Roman" w:hAnsi="Times New Roman" w:cs="Times New Roman"/>
                <w:lang w:val="en-US" w:eastAsia="zh-CN"/>
              </w:rPr>
              <w:t>38402—2019</w:t>
            </w:r>
          </w:p>
        </w:tc>
      </w:tr>
      <w:tr w14:paraId="7C81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16BC0281">
            <w:pPr>
              <w:jc w:val="center"/>
              <w:rPr>
                <w:rFonts w:cs="Times New Roman"/>
              </w:rPr>
            </w:pPr>
            <w:r>
              <w:rPr>
                <w:rFonts w:cs="Times New Roman"/>
              </w:rPr>
              <w:t>7</w:t>
            </w:r>
          </w:p>
        </w:tc>
        <w:tc>
          <w:tcPr>
            <w:tcW w:w="3495" w:type="dxa"/>
            <w:vAlign w:val="center"/>
          </w:tcPr>
          <w:p w14:paraId="60D3FF90">
            <w:pPr>
              <w:jc w:val="center"/>
              <w:rPr>
                <w:rFonts w:cs="Times New Roman"/>
              </w:rPr>
            </w:pPr>
            <w:r>
              <w:rPr>
                <w:rFonts w:cs="Times New Roman"/>
              </w:rPr>
              <w:t>可分解有害芳香胺染料（纺织品）</w:t>
            </w:r>
          </w:p>
        </w:tc>
        <w:tc>
          <w:tcPr>
            <w:tcW w:w="2110" w:type="dxa"/>
            <w:vAlign w:val="center"/>
          </w:tcPr>
          <w:p w14:paraId="36D7D053">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34B482BB">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65DF136D">
            <w:pPr>
              <w:jc w:val="center"/>
              <w:rPr>
                <w:rFonts w:hint="default" w:ascii="Times New Roman" w:hAnsi="Times New Roman" w:eastAsia="宋体" w:cs="Times New Roman"/>
                <w:lang w:val="en-US" w:eastAsia="zh-CN"/>
              </w:rPr>
            </w:pPr>
            <w:r>
              <w:rPr>
                <w:rFonts w:hint="default" w:ascii="Times New Roman" w:hAnsi="Times New Roman" w:cs="Times New Roman"/>
              </w:rPr>
              <w:t>GB/T 17592</w:t>
            </w:r>
            <w:r>
              <w:rPr>
                <w:rFonts w:hint="default" w:ascii="Times New Roman" w:hAnsi="Times New Roman" w:cs="Times New Roman"/>
                <w:lang w:val="en-US" w:eastAsia="zh-CN"/>
              </w:rPr>
              <w:t>—2024</w:t>
            </w:r>
          </w:p>
        </w:tc>
      </w:tr>
      <w:tr w14:paraId="65782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77C15C8A">
            <w:pPr>
              <w:jc w:val="center"/>
              <w:rPr>
                <w:rFonts w:hint="eastAsia" w:eastAsia="宋体" w:cs="Times New Roman"/>
                <w:lang w:val="en-US" w:eastAsia="zh-CN"/>
              </w:rPr>
            </w:pPr>
            <w:r>
              <w:rPr>
                <w:rFonts w:hint="eastAsia" w:cs="Times New Roman"/>
                <w:lang w:val="en-US" w:eastAsia="zh-CN"/>
              </w:rPr>
              <w:t>8</w:t>
            </w:r>
          </w:p>
        </w:tc>
        <w:tc>
          <w:tcPr>
            <w:tcW w:w="3495" w:type="dxa"/>
            <w:vAlign w:val="center"/>
          </w:tcPr>
          <w:p w14:paraId="5C5A40FD">
            <w:pPr>
              <w:jc w:val="center"/>
              <w:rPr>
                <w:rFonts w:cs="Times New Roman"/>
              </w:rPr>
            </w:pPr>
            <w:r>
              <w:rPr>
                <w:rFonts w:cs="Times New Roman"/>
              </w:rPr>
              <w:t>可分解有害芳香胺染料（皮革和毛皮）</w:t>
            </w:r>
          </w:p>
        </w:tc>
        <w:tc>
          <w:tcPr>
            <w:tcW w:w="2110" w:type="dxa"/>
            <w:vAlign w:val="center"/>
          </w:tcPr>
          <w:p w14:paraId="6BB53512">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28A28A1D">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66190056">
            <w:pPr>
              <w:jc w:val="center"/>
              <w:rPr>
                <w:rFonts w:hint="default" w:ascii="Times New Roman" w:hAnsi="Times New Roman" w:cs="Times New Roman"/>
              </w:rPr>
            </w:pPr>
            <w:r>
              <w:rPr>
                <w:rFonts w:hint="default" w:ascii="Times New Roman" w:hAnsi="Times New Roman" w:cs="Times New Roman"/>
              </w:rPr>
              <w:t>GB/T 19942</w:t>
            </w:r>
            <w:r>
              <w:rPr>
                <w:rFonts w:hint="default" w:ascii="Times New Roman" w:hAnsi="Times New Roman" w:cs="Times New Roman"/>
                <w:lang w:val="en-US" w:eastAsia="zh-CN"/>
              </w:rPr>
              <w:t>—2019</w:t>
            </w:r>
          </w:p>
        </w:tc>
      </w:tr>
      <w:tr w14:paraId="4AF7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73218A32">
            <w:pPr>
              <w:jc w:val="center"/>
              <w:rPr>
                <w:rFonts w:cs="Times New Roman"/>
              </w:rPr>
            </w:pPr>
            <w:r>
              <w:rPr>
                <w:rFonts w:hint="eastAsia" w:cs="Times New Roman"/>
                <w:lang w:val="en-US" w:eastAsia="zh-CN"/>
              </w:rPr>
              <w:t>9</w:t>
            </w:r>
          </w:p>
        </w:tc>
        <w:tc>
          <w:tcPr>
            <w:tcW w:w="3495" w:type="dxa"/>
            <w:vAlign w:val="center"/>
          </w:tcPr>
          <w:p w14:paraId="09EAED22">
            <w:pPr>
              <w:jc w:val="center"/>
              <w:rPr>
                <w:rFonts w:cs="Times New Roman"/>
              </w:rPr>
            </w:pPr>
            <w:r>
              <w:rPr>
                <w:rFonts w:cs="Times New Roman"/>
              </w:rPr>
              <w:t>甲醛（纺织品）</w:t>
            </w:r>
          </w:p>
        </w:tc>
        <w:tc>
          <w:tcPr>
            <w:tcW w:w="2110" w:type="dxa"/>
            <w:vAlign w:val="center"/>
          </w:tcPr>
          <w:p w14:paraId="1D80F0BD">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5DA912B7">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12355D6C">
            <w:pPr>
              <w:jc w:val="center"/>
              <w:rPr>
                <w:rFonts w:hint="default" w:ascii="Times New Roman" w:hAnsi="Times New Roman" w:eastAsia="宋体" w:cs="Times New Roman"/>
                <w:lang w:val="en-US" w:eastAsia="zh-CN"/>
              </w:rPr>
            </w:pPr>
            <w:r>
              <w:rPr>
                <w:rFonts w:hint="default" w:ascii="Times New Roman" w:hAnsi="Times New Roman" w:cs="Times New Roman"/>
              </w:rPr>
              <w:t>GB/T 2912.1</w:t>
            </w:r>
            <w:r>
              <w:rPr>
                <w:rFonts w:hint="default" w:ascii="Times New Roman" w:hAnsi="Times New Roman" w:cs="Times New Roman"/>
                <w:lang w:val="en-US" w:eastAsia="zh-CN"/>
              </w:rPr>
              <w:t>—2009</w:t>
            </w:r>
          </w:p>
        </w:tc>
      </w:tr>
      <w:tr w14:paraId="57063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3E153C64">
            <w:pPr>
              <w:jc w:val="center"/>
              <w:rPr>
                <w:rFonts w:hint="default" w:eastAsia="宋体" w:cs="Times New Roman"/>
                <w:lang w:val="en-US" w:eastAsia="zh-CN"/>
              </w:rPr>
            </w:pPr>
            <w:r>
              <w:rPr>
                <w:rFonts w:hint="eastAsia" w:cs="Times New Roman"/>
                <w:lang w:val="en-US" w:eastAsia="zh-CN"/>
              </w:rPr>
              <w:t>10</w:t>
            </w:r>
          </w:p>
        </w:tc>
        <w:tc>
          <w:tcPr>
            <w:tcW w:w="3495" w:type="dxa"/>
            <w:vAlign w:val="center"/>
          </w:tcPr>
          <w:p w14:paraId="446B256A">
            <w:pPr>
              <w:jc w:val="center"/>
              <w:rPr>
                <w:rFonts w:cs="Times New Roman"/>
              </w:rPr>
            </w:pPr>
            <w:r>
              <w:rPr>
                <w:rFonts w:cs="Times New Roman"/>
              </w:rPr>
              <w:t>甲醛（皮革和毛皮）</w:t>
            </w:r>
          </w:p>
        </w:tc>
        <w:tc>
          <w:tcPr>
            <w:tcW w:w="2110" w:type="dxa"/>
            <w:vAlign w:val="center"/>
          </w:tcPr>
          <w:p w14:paraId="30BC7907">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39F1C3D2">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57653F53">
            <w:pPr>
              <w:jc w:val="center"/>
              <w:rPr>
                <w:rFonts w:hint="default" w:ascii="Times New Roman" w:hAnsi="Times New Roman" w:eastAsia="宋体" w:cs="Times New Roman"/>
                <w:lang w:val="en-US" w:eastAsia="zh-CN"/>
              </w:rPr>
            </w:pPr>
            <w:r>
              <w:rPr>
                <w:rFonts w:hint="default" w:ascii="Times New Roman" w:hAnsi="Times New Roman" w:cs="Times New Roman"/>
              </w:rPr>
              <w:t>GB/T 19941.1</w:t>
            </w:r>
            <w:r>
              <w:rPr>
                <w:rFonts w:hint="default" w:ascii="Times New Roman" w:hAnsi="Times New Roman" w:cs="Times New Roman"/>
                <w:lang w:val="en-US" w:eastAsia="zh-CN"/>
              </w:rPr>
              <w:t>—2019</w:t>
            </w:r>
          </w:p>
          <w:p w14:paraId="01BD4DB1">
            <w:pPr>
              <w:jc w:val="center"/>
              <w:rPr>
                <w:rFonts w:hint="default" w:ascii="Times New Roman" w:hAnsi="Times New Roman" w:cs="Times New Roman"/>
                <w:lang w:val="en-US"/>
              </w:rPr>
            </w:pPr>
            <w:r>
              <w:rPr>
                <w:rFonts w:hint="default" w:ascii="Times New Roman" w:hAnsi="Times New Roman" w:cs="Times New Roman"/>
              </w:rPr>
              <w:t>GB/T 19941.</w:t>
            </w:r>
            <w:r>
              <w:rPr>
                <w:rFonts w:hint="default" w:ascii="Times New Roman" w:hAnsi="Times New Roman" w:cs="Times New Roman"/>
                <w:lang w:val="en-US" w:eastAsia="zh-CN"/>
              </w:rPr>
              <w:t>2—2019</w:t>
            </w:r>
          </w:p>
        </w:tc>
      </w:tr>
      <w:tr w14:paraId="4DD5E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1A54071D">
            <w:pPr>
              <w:jc w:val="center"/>
              <w:rPr>
                <w:rFonts w:cs="Times New Roman"/>
              </w:rPr>
            </w:pPr>
            <w:r>
              <w:rPr>
                <w:rFonts w:hint="eastAsia" w:cs="Times New Roman"/>
                <w:lang w:val="en-US" w:eastAsia="zh-CN"/>
              </w:rPr>
              <w:t>11</w:t>
            </w:r>
          </w:p>
        </w:tc>
        <w:tc>
          <w:tcPr>
            <w:tcW w:w="3495" w:type="dxa"/>
            <w:vAlign w:val="center"/>
          </w:tcPr>
          <w:p w14:paraId="509B987F">
            <w:pPr>
              <w:adjustRightInd w:val="0"/>
              <w:snapToGrid w:val="0"/>
              <w:jc w:val="center"/>
              <w:rPr>
                <w:rFonts w:cs="Times New Roman"/>
              </w:rPr>
            </w:pPr>
            <w:r>
              <w:rPr>
                <w:rFonts w:ascii="Times New Roman" w:hAnsi="Times New Roman" w:cs="Times New Roman"/>
              </w:rPr>
              <w:t>重金属总量</w:t>
            </w:r>
          </w:p>
        </w:tc>
        <w:tc>
          <w:tcPr>
            <w:tcW w:w="2110" w:type="dxa"/>
            <w:vAlign w:val="center"/>
          </w:tcPr>
          <w:p w14:paraId="093A3FDD">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39F9FA21">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5561D877">
            <w:pPr>
              <w:jc w:val="center"/>
              <w:rPr>
                <w:rFonts w:hint="default" w:ascii="Times New Roman" w:hAnsi="Times New Roman" w:eastAsia="宋体" w:cs="Times New Roman"/>
                <w:lang w:val="en-US" w:eastAsia="zh-CN"/>
              </w:rPr>
            </w:pPr>
            <w:r>
              <w:rPr>
                <w:rFonts w:hint="default" w:ascii="Times New Roman" w:hAnsi="Times New Roman" w:cs="Times New Roman"/>
              </w:rPr>
              <w:t>QB/T 4340</w:t>
            </w:r>
            <w:r>
              <w:rPr>
                <w:rFonts w:hint="default" w:ascii="Times New Roman" w:hAnsi="Times New Roman" w:cs="Times New Roman"/>
                <w:lang w:val="en-US" w:eastAsia="zh-CN"/>
              </w:rPr>
              <w:t>—2012</w:t>
            </w:r>
          </w:p>
        </w:tc>
      </w:tr>
      <w:tr w14:paraId="69D22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40" w:type="dxa"/>
            <w:vAlign w:val="center"/>
          </w:tcPr>
          <w:p w14:paraId="32E70C56">
            <w:pPr>
              <w:jc w:val="center"/>
              <w:rPr>
                <w:rFonts w:cs="Times New Roman"/>
              </w:rPr>
            </w:pPr>
            <w:r>
              <w:rPr>
                <w:rFonts w:cs="Times New Roman"/>
              </w:rPr>
              <w:t>1</w:t>
            </w:r>
            <w:r>
              <w:rPr>
                <w:rFonts w:hint="eastAsia" w:cs="Times New Roman"/>
                <w:lang w:val="en-US" w:eastAsia="zh-CN"/>
              </w:rPr>
              <w:t>2</w:t>
            </w:r>
          </w:p>
        </w:tc>
        <w:tc>
          <w:tcPr>
            <w:tcW w:w="3495" w:type="dxa"/>
            <w:vAlign w:val="center"/>
          </w:tcPr>
          <w:p w14:paraId="47BA8BA8">
            <w:pPr>
              <w:jc w:val="center"/>
              <w:rPr>
                <w:rFonts w:cs="Times New Roman"/>
              </w:rPr>
            </w:pPr>
            <w:r>
              <w:rPr>
                <w:rFonts w:cs="Times New Roman"/>
              </w:rPr>
              <w:t>邻苯二甲酸酯</w:t>
            </w:r>
          </w:p>
        </w:tc>
        <w:tc>
          <w:tcPr>
            <w:tcW w:w="2110" w:type="dxa"/>
            <w:vAlign w:val="center"/>
          </w:tcPr>
          <w:p w14:paraId="2EDA0F4A">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14:paraId="63746D3E">
            <w:pPr>
              <w:jc w:val="center"/>
              <w:rPr>
                <w:rFonts w:hint="default" w:ascii="Times New Roman" w:hAnsi="Times New Roman" w:eastAsia="宋体" w:cs="Times New Roman"/>
                <w:kern w:val="2"/>
                <w:sz w:val="21"/>
                <w:szCs w:val="21"/>
                <w:lang w:val="en-US" w:eastAsia="zh-CN" w:bidi="ar-SA"/>
              </w:rPr>
            </w:pPr>
            <w:bookmarkStart w:id="4" w:name="OLE_LINK6"/>
            <w:r>
              <w:rPr>
                <w:rFonts w:hint="default" w:ascii="Times New Roman" w:hAnsi="Times New Roman" w:cs="Times New Roman"/>
              </w:rPr>
              <w:t>GB 30585</w:t>
            </w:r>
            <w:r>
              <w:rPr>
                <w:rFonts w:hint="default" w:ascii="Times New Roman" w:hAnsi="Times New Roman" w:cs="Times New Roman"/>
                <w:lang w:val="en-US" w:eastAsia="zh-CN"/>
              </w:rPr>
              <w:t>—2024</w:t>
            </w:r>
            <w:bookmarkEnd w:id="4"/>
          </w:p>
        </w:tc>
        <w:tc>
          <w:tcPr>
            <w:tcW w:w="2113" w:type="dxa"/>
            <w:vAlign w:val="center"/>
          </w:tcPr>
          <w:p w14:paraId="29EAA0E6">
            <w:pPr>
              <w:jc w:val="center"/>
              <w:rPr>
                <w:rFonts w:hint="default" w:ascii="Times New Roman" w:hAnsi="Times New Roman" w:eastAsia="宋体" w:cs="Times New Roman"/>
                <w:lang w:val="en-US" w:eastAsia="zh-CN"/>
              </w:rPr>
            </w:pPr>
            <w:r>
              <w:rPr>
                <w:rFonts w:hint="default" w:ascii="Times New Roman" w:hAnsi="Times New Roman" w:cs="Times New Roman"/>
              </w:rPr>
              <w:t>ISO/TS 16181</w:t>
            </w:r>
            <w:r>
              <w:rPr>
                <w:rFonts w:hint="default" w:ascii="Times New Roman" w:hAnsi="Times New Roman" w:cs="Times New Roman"/>
                <w:lang w:val="en-US" w:eastAsia="zh-CN"/>
              </w:rPr>
              <w:t>—2011</w:t>
            </w:r>
          </w:p>
          <w:p w14:paraId="1CF82A6B">
            <w:pPr>
              <w:jc w:val="center"/>
              <w:rPr>
                <w:rFonts w:hint="default" w:ascii="Times New Roman" w:hAnsi="Times New Roman" w:cs="Times New Roman"/>
                <w:lang w:val="en-US"/>
              </w:rPr>
            </w:pPr>
            <w:r>
              <w:rPr>
                <w:rFonts w:hint="default" w:ascii="Times New Roman" w:hAnsi="Times New Roman" w:eastAsia="宋体" w:cs="Times New Roman"/>
                <w:kern w:val="2"/>
                <w:sz w:val="21"/>
                <w:szCs w:val="21"/>
                <w:lang w:val="en-US" w:eastAsia="zh-CN" w:bidi="ar-SA"/>
              </w:rPr>
              <w:t>GB/T 32440.1</w:t>
            </w:r>
            <w:r>
              <w:rPr>
                <w:rFonts w:hint="default" w:ascii="Times New Roman" w:hAnsi="Times New Roman" w:cs="Times New Roman"/>
                <w:kern w:val="2"/>
                <w:sz w:val="21"/>
                <w:szCs w:val="21"/>
                <w:lang w:val="en-US" w:eastAsia="zh-CN" w:bidi="ar-SA"/>
              </w:rPr>
              <w:t>—2023</w:t>
            </w:r>
          </w:p>
        </w:tc>
      </w:tr>
      <w:tr w14:paraId="77536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 w:hRule="atLeast"/>
        </w:trPr>
        <w:tc>
          <w:tcPr>
            <w:tcW w:w="1240" w:type="dxa"/>
            <w:vAlign w:val="center"/>
          </w:tcPr>
          <w:p w14:paraId="5C1DE92F">
            <w:pPr>
              <w:jc w:val="center"/>
              <w:rPr>
                <w:rFonts w:cs="Times New Roman"/>
              </w:rPr>
            </w:pPr>
            <w:r>
              <w:rPr>
                <w:rFonts w:cs="Times New Roman"/>
              </w:rPr>
              <w:t>1</w:t>
            </w:r>
            <w:r>
              <w:rPr>
                <w:rFonts w:hint="eastAsia" w:cs="Times New Roman"/>
                <w:lang w:val="en-US" w:eastAsia="zh-CN"/>
              </w:rPr>
              <w:t>3</w:t>
            </w:r>
          </w:p>
        </w:tc>
        <w:tc>
          <w:tcPr>
            <w:tcW w:w="3495" w:type="dxa"/>
            <w:vAlign w:val="center"/>
          </w:tcPr>
          <w:p w14:paraId="4168F393">
            <w:pPr>
              <w:jc w:val="center"/>
              <w:rPr>
                <w:rFonts w:cs="Times New Roman"/>
              </w:rPr>
            </w:pPr>
            <w:r>
              <w:rPr>
                <w:rFonts w:cs="Times New Roman"/>
              </w:rPr>
              <w:t>外底耐磨性能</w:t>
            </w:r>
          </w:p>
        </w:tc>
        <w:tc>
          <w:tcPr>
            <w:tcW w:w="2110" w:type="dxa"/>
            <w:vAlign w:val="center"/>
          </w:tcPr>
          <w:p w14:paraId="6704981D">
            <w:pPr>
              <w:jc w:val="center"/>
              <w:rPr>
                <w:rFonts w:hint="default" w:ascii="Times New Roman" w:hAnsi="Times New Roman" w:eastAsia="宋体" w:cs="Times New Roman"/>
                <w:lang w:val="en-US" w:eastAsia="zh-CN"/>
              </w:rPr>
            </w:pPr>
            <w:r>
              <w:rPr>
                <w:rFonts w:hint="default" w:ascii="Times New Roman" w:hAnsi="Times New Roman" w:cs="Times New Roman"/>
                <w:color w:val="000000"/>
              </w:rPr>
              <w:t>QB/T 4331</w:t>
            </w:r>
            <w:r>
              <w:rPr>
                <w:rFonts w:hint="default" w:ascii="Times New Roman" w:hAnsi="Times New Roman" w:cs="Times New Roman"/>
                <w:color w:val="000000"/>
                <w:lang w:val="en-US" w:eastAsia="zh-CN"/>
              </w:rPr>
              <w:t>—2021</w:t>
            </w:r>
          </w:p>
        </w:tc>
        <w:tc>
          <w:tcPr>
            <w:tcW w:w="2113" w:type="dxa"/>
            <w:vAlign w:val="center"/>
          </w:tcPr>
          <w:p w14:paraId="6378A3C5">
            <w:pPr>
              <w:jc w:val="center"/>
              <w:rPr>
                <w:rFonts w:hint="default" w:ascii="Times New Roman" w:hAnsi="Times New Roman" w:eastAsia="宋体" w:cs="Times New Roman"/>
                <w:lang w:val="en-US" w:eastAsia="zh-CN"/>
              </w:rPr>
            </w:pPr>
            <w:r>
              <w:rPr>
                <w:rFonts w:hint="default" w:ascii="Times New Roman" w:hAnsi="Times New Roman" w:cs="Times New Roman"/>
              </w:rPr>
              <w:t>GB/T 3903.2</w:t>
            </w:r>
            <w:r>
              <w:rPr>
                <w:rFonts w:hint="default" w:ascii="Times New Roman" w:hAnsi="Times New Roman" w:cs="Times New Roman"/>
                <w:lang w:val="en-US" w:eastAsia="zh-CN"/>
              </w:rPr>
              <w:t>—2017</w:t>
            </w:r>
          </w:p>
        </w:tc>
      </w:tr>
      <w:tr w14:paraId="799A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 w:hRule="atLeast"/>
        </w:trPr>
        <w:tc>
          <w:tcPr>
            <w:tcW w:w="1240" w:type="dxa"/>
            <w:vAlign w:val="center"/>
          </w:tcPr>
          <w:p w14:paraId="282F935E">
            <w:pPr>
              <w:jc w:val="center"/>
              <w:rPr>
                <w:rFonts w:hint="default" w:eastAsia="宋体" w:cs="Times New Roman"/>
                <w:lang w:val="en-US" w:eastAsia="zh-CN"/>
              </w:rPr>
            </w:pPr>
            <w:r>
              <w:rPr>
                <w:rFonts w:hint="eastAsia" w:cs="Times New Roman"/>
                <w:lang w:val="en-US" w:eastAsia="zh-CN"/>
              </w:rPr>
              <w:t>14</w:t>
            </w:r>
          </w:p>
        </w:tc>
        <w:tc>
          <w:tcPr>
            <w:tcW w:w="3495" w:type="dxa"/>
            <w:vAlign w:val="center"/>
          </w:tcPr>
          <w:p w14:paraId="534C7683">
            <w:pPr>
              <w:adjustRightInd w:val="0"/>
              <w:snapToGrid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含氯苯酚</w:t>
            </w:r>
          </w:p>
        </w:tc>
        <w:tc>
          <w:tcPr>
            <w:tcW w:w="2110" w:type="dxa"/>
            <w:vAlign w:val="center"/>
          </w:tcPr>
          <w:p w14:paraId="01819224">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6A333B89">
            <w:pPr>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18414.1</w:t>
            </w:r>
            <w:r>
              <w:rPr>
                <w:rFonts w:hint="default" w:ascii="Times New Roman" w:hAnsi="Times New Roman" w:cs="Times New Roman"/>
                <w:kern w:val="2"/>
                <w:sz w:val="21"/>
                <w:szCs w:val="21"/>
                <w:lang w:val="en-US" w:eastAsia="zh-CN" w:bidi="ar-SA"/>
              </w:rPr>
              <w:t>—2006</w:t>
            </w:r>
          </w:p>
          <w:p w14:paraId="5264E996">
            <w:pPr>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kern w:val="2"/>
                <w:sz w:val="21"/>
                <w:szCs w:val="21"/>
                <w:lang w:val="en-US" w:eastAsia="zh-CN" w:bidi="ar-SA"/>
              </w:rPr>
              <w:t>GB/T 22808—2021</w:t>
            </w:r>
          </w:p>
        </w:tc>
      </w:tr>
      <w:tr w14:paraId="4F89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 w:hRule="atLeast"/>
        </w:trPr>
        <w:tc>
          <w:tcPr>
            <w:tcW w:w="1240" w:type="dxa"/>
            <w:vAlign w:val="center"/>
          </w:tcPr>
          <w:p w14:paraId="6225E0D2">
            <w:pPr>
              <w:jc w:val="center"/>
              <w:rPr>
                <w:rFonts w:hint="default" w:eastAsia="宋体" w:cs="Times New Roman"/>
                <w:lang w:val="en-US" w:eastAsia="zh-CN"/>
              </w:rPr>
            </w:pPr>
            <w:r>
              <w:rPr>
                <w:rFonts w:hint="eastAsia" w:cs="Times New Roman"/>
                <w:lang w:val="en-US" w:eastAsia="zh-CN"/>
              </w:rPr>
              <w:t>15</w:t>
            </w:r>
          </w:p>
        </w:tc>
        <w:tc>
          <w:tcPr>
            <w:tcW w:w="3495" w:type="dxa"/>
            <w:vAlign w:val="center"/>
          </w:tcPr>
          <w:p w14:paraId="1817F262">
            <w:pPr>
              <w:adjustRightInd w:val="0"/>
              <w:snapToGrid w:val="0"/>
              <w:jc w:val="center"/>
              <w:rPr>
                <w:rFonts w:hint="default" w:ascii="Times New Roman" w:hAnsi="Times New Roman" w:eastAsia="宋体" w:cs="Times New Roman"/>
                <w:kern w:val="2"/>
                <w:sz w:val="21"/>
                <w:szCs w:val="21"/>
                <w:lang w:val="en-US" w:eastAsia="zh-CN" w:bidi="ar-SA"/>
              </w:rPr>
            </w:pPr>
            <w:r>
              <w:rPr>
                <w:rFonts w:hint="eastAsia" w:cs="Times New Roman"/>
                <w:lang w:eastAsia="zh-CN"/>
              </w:rPr>
              <w:t>短链氯化石蜡</w:t>
            </w:r>
          </w:p>
        </w:tc>
        <w:tc>
          <w:tcPr>
            <w:tcW w:w="2110" w:type="dxa"/>
            <w:vAlign w:val="center"/>
          </w:tcPr>
          <w:p w14:paraId="6E7A4359">
            <w:pPr>
              <w:adjustRightInd w:val="0"/>
              <w:snapToGrid w:val="0"/>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14:paraId="2E9B25DA">
            <w:pPr>
              <w:adjustRightInd w:val="0"/>
              <w:snapToGrid w:val="0"/>
              <w:jc w:val="center"/>
              <w:rPr>
                <w:rFonts w:hint="default" w:ascii="Times New Roman" w:hAnsi="Times New Roman" w:eastAsia="宋体" w:cs="Times New Roman"/>
                <w:lang w:val="en-US" w:eastAsia="zh-CN"/>
              </w:rPr>
            </w:pPr>
            <w:r>
              <w:rPr>
                <w:rFonts w:hint="default" w:ascii="Times New Roman" w:hAnsi="Times New Roman" w:cs="Times New Roman"/>
              </w:rPr>
              <w:t>GB/T 40263</w:t>
            </w:r>
            <w:r>
              <w:rPr>
                <w:rFonts w:hint="default" w:ascii="Times New Roman" w:hAnsi="Times New Roman" w:cs="Times New Roman"/>
                <w:lang w:val="en-US" w:eastAsia="zh-CN"/>
              </w:rPr>
              <w:t>—2021</w:t>
            </w:r>
          </w:p>
          <w:p w14:paraId="3F100BC9">
            <w:pPr>
              <w:adjustRightInd w:val="0"/>
              <w:snapToGrid w:val="0"/>
              <w:jc w:val="center"/>
              <w:rPr>
                <w:rFonts w:hint="default" w:ascii="Times New Roman" w:hAnsi="Times New Roman" w:eastAsia="宋体" w:cs="Times New Roman"/>
                <w:lang w:val="en-US" w:eastAsia="zh-CN"/>
              </w:rPr>
            </w:pPr>
            <w:r>
              <w:rPr>
                <w:rFonts w:hint="default" w:ascii="Times New Roman" w:hAnsi="Times New Roman" w:cs="Times New Roman"/>
              </w:rPr>
              <w:t>GB/T 38405</w:t>
            </w:r>
            <w:r>
              <w:rPr>
                <w:rFonts w:hint="default" w:ascii="Times New Roman" w:hAnsi="Times New Roman" w:cs="Times New Roman"/>
                <w:lang w:val="en-US" w:eastAsia="zh-CN"/>
              </w:rPr>
              <w:t>—2019</w:t>
            </w:r>
          </w:p>
          <w:p w14:paraId="71D180A1">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SN/T 3814</w:t>
            </w:r>
            <w:r>
              <w:rPr>
                <w:rFonts w:hint="default" w:ascii="Times New Roman" w:hAnsi="Times New Roman" w:cs="Times New Roman"/>
                <w:lang w:val="en-US" w:eastAsia="zh-CN"/>
              </w:rPr>
              <w:t>—2014</w:t>
            </w:r>
          </w:p>
        </w:tc>
      </w:tr>
    </w:tbl>
    <w:p w14:paraId="0D010F3A">
      <w:pPr>
        <w:snapToGrid w:val="0"/>
        <w:spacing w:line="440" w:lineRule="exact"/>
        <w:ind w:firstLine="420" w:firstLineChars="200"/>
        <w:rPr>
          <w:rFonts w:cs="Times New Roman"/>
          <w:color w:val="000000"/>
        </w:rPr>
      </w:pPr>
      <w:r>
        <w:rPr>
          <w:rFonts w:cs="Times New Roman"/>
          <w:color w:val="000000"/>
        </w:rPr>
        <w:t>执行企业标准、团体标准、地方标准的产品，检验项目参照上述内容执行。</w:t>
      </w:r>
    </w:p>
    <w:p w14:paraId="26E58ADC">
      <w:pPr>
        <w:snapToGrid w:val="0"/>
        <w:spacing w:line="440" w:lineRule="exact"/>
        <w:ind w:firstLine="420" w:firstLineChars="200"/>
        <w:rPr>
          <w:rFonts w:cs="Times New Roman"/>
          <w:color w:val="000000"/>
        </w:rPr>
      </w:pPr>
      <w:r>
        <w:rPr>
          <w:rFonts w:cs="Times New Roman"/>
          <w:color w:val="000000"/>
        </w:rPr>
        <w:t>凡是注日期的文件，其随后所有的修改单（不包括勘误的内容）或修订版不适用于本细则。凡是不注日期的文件，其最新版本适用于本细则。</w:t>
      </w:r>
    </w:p>
    <w:p w14:paraId="70B9F20E">
      <w:pPr>
        <w:snapToGrid w:val="0"/>
        <w:spacing w:line="440" w:lineRule="exact"/>
        <w:ind w:firstLine="359" w:firstLineChars="171"/>
        <w:rPr>
          <w:rFonts w:cs="Times New Roman"/>
          <w:color w:val="000000"/>
        </w:rPr>
      </w:pPr>
    </w:p>
    <w:p w14:paraId="75D099BC">
      <w:pPr>
        <w:spacing w:line="440" w:lineRule="exact"/>
        <w:rPr>
          <w:rFonts w:eastAsia="黑体" w:cs="Times New Roman"/>
          <w:color w:val="000000"/>
        </w:rPr>
      </w:pPr>
      <w:r>
        <w:rPr>
          <w:rFonts w:eastAsia="黑体" w:cs="Times New Roman"/>
          <w:color w:val="000000"/>
        </w:rPr>
        <w:t>3 判定规则</w:t>
      </w:r>
    </w:p>
    <w:p w14:paraId="2EF1D5EF">
      <w:pPr>
        <w:snapToGrid w:val="0"/>
        <w:spacing w:line="440" w:lineRule="exact"/>
        <w:rPr>
          <w:rFonts w:cs="Times New Roman"/>
          <w:color w:val="000000"/>
        </w:rPr>
      </w:pPr>
      <w:r>
        <w:rPr>
          <w:rFonts w:cs="Times New Roman"/>
          <w:color w:val="000000"/>
        </w:rPr>
        <w:t>3.1依据标准</w:t>
      </w:r>
    </w:p>
    <w:p w14:paraId="79FBF34A">
      <w:pPr>
        <w:snapToGrid w:val="0"/>
        <w:spacing w:line="440" w:lineRule="exact"/>
        <w:ind w:firstLine="420" w:firstLineChars="200"/>
        <w:rPr>
          <w:rFonts w:cs="Times New Roman"/>
          <w:color w:val="000000"/>
        </w:rPr>
      </w:pPr>
      <w:r>
        <w:rPr>
          <w:rFonts w:cs="Times New Roman"/>
          <w:color w:val="000000"/>
        </w:rPr>
        <w:t>GB 30585</w:t>
      </w:r>
      <w:r>
        <w:t>—</w:t>
      </w:r>
      <w:r>
        <w:rPr>
          <w:rFonts w:hint="eastAsia" w:cs="Times New Roman"/>
          <w:color w:val="000000"/>
          <w:lang w:val="en-US" w:eastAsia="zh-CN"/>
        </w:rPr>
        <w:t>2014</w:t>
      </w:r>
      <w:r>
        <w:rPr>
          <w:rFonts w:cs="Times New Roman"/>
          <w:color w:val="000000"/>
        </w:rPr>
        <w:t xml:space="preserve"> 儿童鞋安全技术规范</w:t>
      </w:r>
    </w:p>
    <w:p w14:paraId="3D7908AB">
      <w:pPr>
        <w:adjustRightInd w:val="0"/>
        <w:snapToGrid w:val="0"/>
        <w:spacing w:line="440" w:lineRule="exact"/>
        <w:ind w:firstLine="420" w:firstLineChars="200"/>
        <w:rPr>
          <w:rFonts w:cs="Times New Roman"/>
          <w:color w:val="000000"/>
        </w:rPr>
      </w:pPr>
      <w:r>
        <w:rPr>
          <w:rFonts w:ascii="Times New Roman" w:hAnsi="Times New Roman" w:cs="Times New Roman"/>
        </w:rPr>
        <w:t>GB 30585</w:t>
      </w:r>
      <w:r>
        <w:t>—</w:t>
      </w:r>
      <w:r>
        <w:rPr>
          <w:rFonts w:ascii="Times New Roman" w:hAnsi="Times New Roman" w:cs="Times New Roman"/>
        </w:rPr>
        <w:t>20</w:t>
      </w:r>
      <w:r>
        <w:rPr>
          <w:rFonts w:hint="eastAsia" w:cs="Times New Roman"/>
          <w:lang w:val="en-US" w:eastAsia="zh-CN"/>
        </w:rPr>
        <w:t>2</w:t>
      </w:r>
      <w:r>
        <w:rPr>
          <w:rFonts w:ascii="Times New Roman" w:hAnsi="Times New Roman" w:cs="Times New Roman"/>
        </w:rPr>
        <w:t>4 童鞋安全技术规范</w:t>
      </w:r>
    </w:p>
    <w:p w14:paraId="09E380C2">
      <w:pPr>
        <w:snapToGrid w:val="0"/>
        <w:spacing w:line="440" w:lineRule="exact"/>
        <w:ind w:firstLine="420" w:firstLineChars="200"/>
        <w:rPr>
          <w:rFonts w:cs="Times New Roman"/>
          <w:color w:val="000000"/>
        </w:rPr>
      </w:pPr>
      <w:r>
        <w:rPr>
          <w:rFonts w:cs="Times New Roman"/>
          <w:color w:val="000000"/>
        </w:rPr>
        <w:t>QB/T 4331</w:t>
      </w:r>
      <w:r>
        <w:t>—</w:t>
      </w:r>
      <w:r>
        <w:rPr>
          <w:rFonts w:hint="eastAsia" w:cs="Times New Roman"/>
          <w:color w:val="000000"/>
          <w:lang w:val="en-US" w:eastAsia="zh-CN"/>
        </w:rPr>
        <w:t>2021</w:t>
      </w:r>
      <w:r>
        <w:rPr>
          <w:rFonts w:cs="Times New Roman"/>
          <w:color w:val="000000"/>
        </w:rPr>
        <w:t xml:space="preserve"> 儿童旅游鞋</w:t>
      </w:r>
    </w:p>
    <w:p w14:paraId="77606FFF">
      <w:pPr>
        <w:snapToGrid w:val="0"/>
        <w:spacing w:line="440" w:lineRule="exact"/>
        <w:ind w:firstLine="420" w:firstLineChars="200"/>
        <w:rPr>
          <w:rFonts w:cs="Times New Roman"/>
          <w:color w:val="000000"/>
        </w:rPr>
      </w:pPr>
      <w:r>
        <w:rPr>
          <w:rFonts w:cs="Times New Roman"/>
          <w:color w:val="000000"/>
        </w:rPr>
        <w:t>现行有效的企业标准、团体标准、地方标准及产品明示质量要求</w:t>
      </w:r>
    </w:p>
    <w:p w14:paraId="21E82DA0">
      <w:pPr>
        <w:snapToGrid w:val="0"/>
        <w:spacing w:line="440" w:lineRule="exact"/>
        <w:rPr>
          <w:rFonts w:cs="Times New Roman"/>
          <w:color w:val="000000"/>
        </w:rPr>
      </w:pPr>
      <w:r>
        <w:rPr>
          <w:rFonts w:cs="Times New Roman"/>
          <w:color w:val="000000"/>
        </w:rPr>
        <w:t>3.2判定原则</w:t>
      </w:r>
    </w:p>
    <w:p w14:paraId="1828B473">
      <w:pPr>
        <w:snapToGrid w:val="0"/>
        <w:spacing w:line="440" w:lineRule="exact"/>
        <w:ind w:firstLine="420" w:firstLineChars="200"/>
        <w:rPr>
          <w:rFonts w:cs="Times New Roman"/>
          <w:color w:val="000000"/>
        </w:rPr>
      </w:pPr>
      <w:r>
        <w:t>经检验，检验项目全部合格，判定为被抽查产品所检项目未发现不合格；检验项目中任一项或一项以上不合格，判定为被抽查产品不合格。</w:t>
      </w:r>
      <w:r>
        <w:rPr>
          <w:rFonts w:cs="Times New Roman"/>
          <w:color w:val="000000"/>
        </w:rPr>
        <w:t>若被检产品明示的质量要求高于本细则中检验项目依据的标准要求时，应按被检产品明示的质量要求判定。</w:t>
      </w:r>
    </w:p>
    <w:p w14:paraId="7C412C20">
      <w:pPr>
        <w:snapToGrid w:val="0"/>
        <w:spacing w:line="440" w:lineRule="exact"/>
        <w:ind w:firstLine="420" w:firstLineChars="200"/>
        <w:rPr>
          <w:rFonts w:cs="Times New Roman"/>
          <w:color w:val="000000"/>
        </w:rPr>
      </w:pPr>
      <w:r>
        <w:rPr>
          <w:rFonts w:cs="Times New Roman"/>
          <w:color w:val="000000"/>
        </w:rPr>
        <w:t>若被检产品明示的质量要求低于本细则中检验项目依据的强制性标准要求时，应按照强制性标准要求判定。</w:t>
      </w:r>
    </w:p>
    <w:p w14:paraId="12619C16">
      <w:pPr>
        <w:snapToGrid w:val="0"/>
        <w:spacing w:line="440" w:lineRule="exact"/>
        <w:ind w:firstLine="420" w:firstLineChars="200"/>
        <w:rPr>
          <w:rFonts w:cs="Times New Roman"/>
          <w:color w:val="000000"/>
        </w:rPr>
      </w:pPr>
      <w:r>
        <w:rPr>
          <w:rFonts w:cs="Times New Roman"/>
          <w:color w:val="000000"/>
        </w:rPr>
        <w:t>若被检产品明示的质量要求低于或包含本细则中检验项目依据的推荐性标准要求时，应以被检产品明示的质量要求判定。</w:t>
      </w:r>
    </w:p>
    <w:p w14:paraId="60921315">
      <w:pPr>
        <w:snapToGrid w:val="0"/>
        <w:spacing w:line="440" w:lineRule="exact"/>
        <w:ind w:firstLine="420" w:firstLineChars="200"/>
        <w:rPr>
          <w:rFonts w:cs="Times New Roman"/>
          <w:color w:val="000000"/>
        </w:rPr>
      </w:pPr>
      <w:r>
        <w:rPr>
          <w:rFonts w:cs="Times New Roman"/>
          <w:color w:val="000000"/>
        </w:rPr>
        <w:t>若被检产品明示的质量要求缺少本细则中检验项目依据的强制性标准要求时，应按照强制性标准要求判定。</w:t>
      </w:r>
    </w:p>
    <w:p w14:paraId="05227979">
      <w:pPr>
        <w:snapToGrid w:val="0"/>
        <w:spacing w:line="440" w:lineRule="exact"/>
        <w:ind w:firstLine="420" w:firstLineChars="200"/>
        <w:rPr>
          <w:rFonts w:cs="Times New Roman"/>
          <w:color w:val="000000"/>
        </w:rPr>
      </w:pPr>
      <w:r>
        <w:rPr>
          <w:rFonts w:cs="Times New Roman"/>
          <w:color w:val="000000"/>
        </w:rPr>
        <w:t>若被检产品明示的质量要求缺少本细则中检验项目依据的推荐性标准要求时，该项目不参与判定。</w:t>
      </w:r>
    </w:p>
    <w:p w14:paraId="49BCB15B">
      <w:bookmarkStart w:id="5" w:name="_GoBack"/>
      <w:bookmarkEnd w:id="5"/>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BF77E">
    <w:pPr>
      <w:pStyle w:val="2"/>
    </w:pPr>
    <w:r>
      <w:rPr>
        <w:rFonts w:ascii="Calibri" w:hAnsi="Calibri" w:eastAsia="宋体" w:cs="Times New Roman"/>
        <w:kern w:val="2"/>
        <w:sz w:val="18"/>
        <w:szCs w:val="18"/>
        <w:lang w:val="en-US" w:eastAsia="zh-CN" w:bidi="ar-SA"/>
      </w:rPr>
      <w:pict>
        <v:rect id="文本框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16B1E66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0E2AD">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E0NTk2NGVkNWVmYTVjOTI5ZjBlYThlMGI3YTAxODIifQ=="/>
  </w:docVars>
  <w:rsids>
    <w:rsidRoot w:val="00000000"/>
    <w:rsid w:val="05274C7F"/>
    <w:rsid w:val="14381A12"/>
    <w:rsid w:val="1FF32869"/>
    <w:rsid w:val="537F2B31"/>
    <w:rsid w:val="6E0C72AA"/>
    <w:rsid w:val="720F0F92"/>
    <w:rsid w:val="79773D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cs="Times New Roman"/>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Calibri" w:hAnsi="Calibri" w:cs="Times New Roman"/>
      <w:sz w:val="18"/>
      <w:szCs w:val="18"/>
    </w:rPr>
  </w:style>
  <w:style w:type="character" w:customStyle="1" w:styleId="6">
    <w:name w:val="font31"/>
    <w:basedOn w:val="5"/>
    <w:qFormat/>
    <w:uiPriority w:val="0"/>
    <w:rPr>
      <w:rFonts w:ascii="仿宋_GB2312" w:eastAsia="仿宋_GB2312" w:cs="仿宋_GB2312"/>
      <w:color w:val="000000"/>
      <w:sz w:val="28"/>
      <w:szCs w:val="28"/>
      <w:u w:val="none"/>
    </w:rPr>
  </w:style>
  <w:style w:type="character" w:customStyle="1" w:styleId="7">
    <w:name w:val="font11"/>
    <w:basedOn w:val="5"/>
    <w:qFormat/>
    <w:uiPriority w:val="0"/>
    <w:rPr>
      <w:rFonts w:hint="eastAsia" w:ascii="宋体" w:hAnsi="宋体" w:eastAsia="宋体" w:cs="宋体"/>
      <w:b/>
      <w:bCs/>
      <w:color w:val="000000"/>
      <w:sz w:val="21"/>
      <w:szCs w:val="21"/>
      <w:u w:val="none"/>
    </w:rPr>
  </w:style>
  <w:style w:type="character" w:customStyle="1" w:styleId="8">
    <w:name w:val="font21"/>
    <w:basedOn w:val="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1533</Words>
  <Characters>2161</Characters>
  <Lines>0</Lines>
  <Paragraphs>0</Paragraphs>
  <TotalTime>0</TotalTime>
  <ScaleCrop>false</ScaleCrop>
  <LinksUpToDate>false</LinksUpToDate>
  <CharactersWithSpaces>2277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2024-03-22T10:28:00Z</dcterms:created>
  <dc:creator>TK</dc:creator>
  <cp:lastModifiedBy>冯伟</cp:lastModifiedBy>
  <dcterms:modified xsi:type="dcterms:W3CDTF">2025-04-22T08:25:26Z</dcterms:modified>
  <dc:title>2024年北京市大兴区儿童鞋产品质量监督抽查实施细则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D90DDEFEE72E4880B5FB96385B17EE4F_12</vt:lpwstr>
  </property>
  <property fmtid="{D5CDD505-2E9C-101B-9397-08002B2CF9AE}" pid="4" name="KSOTemplateDocerSaveRecord">
    <vt:lpwstr>eyJoZGlkIjoiMGE0NTk2NGVkNWVmYTVjOTI5ZjBlYThlMGI3YTAxODIiLCJ1c2VySWQiOiIzNjk2MTAwMzIifQ==</vt:lpwstr>
  </property>
</Properties>
</file>