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关于北京永民康医药技术有限公司第二十六零售药店的听证告知书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京兴市监撤听告字〔2026〕第060号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北京永民康医药技术有限公司第二十六零售药店及相关利害关系人：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北京永民康医药技术有限公司第二十六零售药店涉嫌冒用他人身份信息取得公司登记</w:t>
      </w:r>
      <w:r>
        <w:rPr>
          <w:rFonts w:hint="eastAsia" w:ascii="仿宋_GB2312" w:hAnsi="仿宋_GB2312" w:eastAsia="仿宋_GB2312" w:cs="仿宋_GB2312"/>
          <w:i w:val="0"/>
          <w:color w:val="000000"/>
          <w:kern w:val="0"/>
          <w:sz w:val="32"/>
          <w:szCs w:val="32"/>
          <w:u w:val="none"/>
          <w:lang w:val="en-US" w:eastAsia="zh-CN" w:bidi="ar-SA"/>
        </w:rPr>
        <w:t>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永民康医药技术有限公司第二十六零售药店于2015年07月07日取得公司设立登记，未经同意冒用白宏利身份信息办理上述登记。本局于2025年8月5日至2025年9月19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根据《中华人民共和国市场主体登记管理条例》第四十条第二款规定，本局拟撤销北京永民康医药技术有限公司第二十六零售药店于2015年07月07日取得的公司设立登记。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永民康医药技术有限公司第二十六零售药店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逾期</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联系人：蒋灏、刘泽昀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2026年5月22日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7F926C4"/>
    <w:rsid w:val="0F9B2494"/>
    <w:rsid w:val="18F87F4C"/>
    <w:rsid w:val="1FD732D0"/>
    <w:rsid w:val="288C78BA"/>
    <w:rsid w:val="34077C23"/>
    <w:rsid w:val="3592782F"/>
    <w:rsid w:val="44A53FFB"/>
    <w:rsid w:val="486117E9"/>
    <w:rsid w:val="51920314"/>
    <w:rsid w:val="55350158"/>
    <w:rsid w:val="5A233366"/>
    <w:rsid w:val="5A6F4741"/>
    <w:rsid w:val="5B9A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678</Characters>
  <Lines>0</Lines>
  <Paragraphs>0</Paragraphs>
  <TotalTime>11</TotalTime>
  <ScaleCrop>false</ScaleCrop>
  <LinksUpToDate>false</LinksUpToDate>
  <CharactersWithSpaces>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王亚楠</cp:lastModifiedBy>
  <cp:lastPrinted>2025-11-21T04:19:00Z</cp:lastPrinted>
  <dcterms:modified xsi:type="dcterms:W3CDTF">2026-05-22T07:33:41Z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0A97F2BF578744E38B1936A8FF86C7D5_13</vt:lpwstr>
  </property>
  <property fmtid="{D5CDD505-2E9C-101B-9397-08002B2CF9AE}" pid="4" name="KSOTemplateDocerSaveRecord">
    <vt:lpwstr>eyJoZGlkIjoiZWFmODEzMjhjYzAyOGQ2M2M1OWQ1ODAyZTg4N2UwN2UiLCJ1c2VySWQiOiIxNjE1MzA0NDk4In0=</vt:lpwstr>
  </property>
</Properties>
</file>