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B5592">
      <w:pPr>
        <w:spacing w:before="0" w:after="0" w:line="360" w:lineRule="auto"/>
        <w:jc w:val="center"/>
        <w:rPr>
          <w:rFonts w:ascii="方正小标宋简体" w:hAnsi="方正小标宋简体" w:eastAsia="方正小标宋简体"/>
          <w:b w:val="0"/>
          <w:sz w:val="32"/>
        </w:rPr>
      </w:pPr>
      <w:r>
        <w:rPr>
          <w:rFonts w:ascii="方正小标宋简体" w:hAnsi="方正小标宋简体" w:eastAsia="方正小标宋简体"/>
          <w:b w:val="0"/>
          <w:sz w:val="32"/>
        </w:rPr>
        <w:t>2026年</w:t>
      </w:r>
      <w:r>
        <w:rPr>
          <w:rFonts w:hint="eastAsia" w:ascii="方正小标宋简体" w:hAnsi="仿宋" w:eastAsia="方正小标宋简体" w:cs="方正仿宋简体"/>
          <w:color w:val="000000"/>
          <w:sz w:val="32"/>
          <w:szCs w:val="32"/>
        </w:rPr>
        <w:t>北京市</w:t>
      </w:r>
      <w:r>
        <w:rPr>
          <w:rFonts w:hint="eastAsia" w:ascii="方正小标宋简体" w:hAnsi="方正小标宋简体" w:eastAsia="方正小标宋简体"/>
          <w:b w:val="0"/>
          <w:sz w:val="32"/>
          <w:lang w:val="en-US" w:eastAsia="zh-CN"/>
        </w:rPr>
        <w:t>大兴区</w:t>
      </w:r>
      <w:r>
        <w:rPr>
          <w:rFonts w:ascii="方正小标宋简体" w:hAnsi="方正小标宋简体" w:eastAsia="方正小标宋简体"/>
          <w:b w:val="0"/>
          <w:sz w:val="32"/>
        </w:rPr>
        <w:t>车用尿素溶液产品质量监督</w:t>
      </w:r>
    </w:p>
    <w:p w14:paraId="7EA3CA8D">
      <w:pPr>
        <w:spacing w:before="0" w:after="0" w:line="360" w:lineRule="auto"/>
        <w:jc w:val="center"/>
      </w:pPr>
      <w:bookmarkStart w:id="0" w:name="_GoBack"/>
      <w:bookmarkEnd w:id="0"/>
      <w:r>
        <w:rPr>
          <w:rFonts w:ascii="方正小标宋简体" w:hAnsi="方正小标宋简体" w:eastAsia="方正小标宋简体"/>
          <w:b w:val="0"/>
          <w:sz w:val="32"/>
        </w:rPr>
        <w:t>抽查实施细则</w:t>
      </w:r>
    </w:p>
    <w:p w14:paraId="6FD7BDE2"/>
    <w:p w14:paraId="6A5472DC">
      <w:pPr>
        <w:spacing w:before="0" w:after="0" w:line="360" w:lineRule="auto"/>
      </w:pPr>
      <w:r>
        <w:rPr>
          <w:rFonts w:ascii="黑体" w:hAnsi="黑体" w:eastAsia="黑体"/>
          <w:b/>
          <w:sz w:val="28"/>
        </w:rPr>
        <w:t>1 抽样方法</w:t>
      </w:r>
    </w:p>
    <w:p w14:paraId="0CFF2DD7">
      <w:pPr>
        <w:spacing w:before="0" w:after="0" w:line="360" w:lineRule="auto"/>
        <w:ind w:firstLine="560" w:firstLineChars="200"/>
      </w:pPr>
      <w:r>
        <w:rPr>
          <w:rFonts w:ascii="宋体" w:hAnsi="宋体" w:eastAsia="宋体"/>
          <w:b w:val="0"/>
          <w:sz w:val="28"/>
        </w:rPr>
        <w:t>以随机抽样的方式在被抽样生产者、销售者的待销产品中抽取。</w:t>
      </w:r>
    </w:p>
    <w:p w14:paraId="2870A463">
      <w:pPr>
        <w:spacing w:before="0" w:after="0" w:line="360" w:lineRule="auto"/>
        <w:ind w:firstLine="560" w:firstLineChars="200"/>
      </w:pPr>
      <w:r>
        <w:rPr>
          <w:rFonts w:ascii="宋体" w:hAnsi="宋体" w:eastAsia="宋体"/>
          <w:b w:val="0"/>
          <w:sz w:val="28"/>
        </w:rPr>
        <w:t>随机数一般可使用随机数表等方法产生。</w:t>
      </w:r>
    </w:p>
    <w:p w14:paraId="7C7E5DE9">
      <w:pPr>
        <w:spacing w:before="0" w:after="0" w:line="360" w:lineRule="auto"/>
        <w:ind w:firstLine="560" w:firstLineChars="200"/>
      </w:pPr>
      <w:r>
        <w:rPr>
          <w:rFonts w:ascii="宋体" w:hAnsi="宋体" w:eastAsia="宋体"/>
          <w:b w:val="0"/>
          <w:sz w:val="28"/>
        </w:rPr>
        <w:t>抽样基数满足抽样数量即可，</w:t>
      </w:r>
      <w:r>
        <w:rPr>
          <w:rFonts w:hint="eastAsia" w:ascii="宋体" w:hAnsi="宋体" w:eastAsia="宋体"/>
          <w:b w:val="0"/>
          <w:sz w:val="28"/>
        </w:rPr>
        <w:t>每批次产品抽取不少于2个独立包装、总量不</w:t>
      </w:r>
      <w:r>
        <w:rPr>
          <w:rFonts w:hint="eastAsia"/>
          <w:b w:val="0"/>
          <w:sz w:val="28"/>
          <w:lang w:val="en-US" w:eastAsia="zh-CN"/>
        </w:rPr>
        <w:t>少</w:t>
      </w:r>
      <w:r>
        <w:rPr>
          <w:rFonts w:hint="eastAsia" w:ascii="宋体" w:hAnsi="宋体" w:eastAsia="宋体"/>
          <w:b w:val="0"/>
          <w:sz w:val="28"/>
        </w:rPr>
        <w:t>于</w:t>
      </w:r>
      <w:r>
        <w:rPr>
          <w:rFonts w:hint="eastAsia"/>
          <w:b w:val="0"/>
          <w:sz w:val="28"/>
          <w:lang w:val="en-US" w:eastAsia="zh-CN"/>
        </w:rPr>
        <w:t>4kg</w:t>
      </w:r>
      <w:r>
        <w:rPr>
          <w:rFonts w:hint="eastAsia" w:ascii="宋体" w:hAnsi="宋体" w:eastAsia="宋体"/>
          <w:b w:val="0"/>
          <w:sz w:val="28"/>
        </w:rPr>
        <w:t>的样品，</w:t>
      </w:r>
      <w:r>
        <w:rPr>
          <w:rFonts w:hint="eastAsia"/>
          <w:b w:val="0"/>
          <w:sz w:val="28"/>
          <w:lang w:val="en-US" w:eastAsia="zh-CN"/>
        </w:rPr>
        <w:t>其中2kg</w:t>
      </w:r>
      <w:r>
        <w:rPr>
          <w:rFonts w:hint="eastAsia" w:ascii="宋体" w:hAnsi="宋体" w:eastAsia="宋体"/>
          <w:b w:val="0"/>
          <w:sz w:val="28"/>
        </w:rPr>
        <w:t>为检验</w:t>
      </w:r>
      <w:r>
        <w:rPr>
          <w:rFonts w:hint="eastAsia"/>
          <w:b w:val="0"/>
          <w:sz w:val="28"/>
          <w:lang w:val="en-US" w:eastAsia="zh-CN"/>
        </w:rPr>
        <w:t>用</w:t>
      </w:r>
      <w:r>
        <w:rPr>
          <w:rFonts w:hint="eastAsia" w:ascii="宋体" w:hAnsi="宋体" w:eastAsia="宋体"/>
          <w:b w:val="0"/>
          <w:sz w:val="28"/>
        </w:rPr>
        <w:t>样品，</w:t>
      </w:r>
      <w:r>
        <w:rPr>
          <w:rFonts w:hint="eastAsia"/>
          <w:b w:val="0"/>
          <w:sz w:val="28"/>
          <w:lang w:val="en-US" w:eastAsia="zh-CN"/>
        </w:rPr>
        <w:t>另2kg</w:t>
      </w:r>
      <w:r>
        <w:rPr>
          <w:rFonts w:hint="eastAsia" w:ascii="宋体" w:hAnsi="宋体" w:eastAsia="宋体"/>
          <w:b w:val="0"/>
          <w:sz w:val="28"/>
        </w:rPr>
        <w:t>为备用样品。</w:t>
      </w:r>
    </w:p>
    <w:p w14:paraId="5954A0AF">
      <w:pPr>
        <w:spacing w:before="0" w:after="0" w:line="360" w:lineRule="auto"/>
        <w:ind w:firstLine="560" w:firstLineChars="200"/>
      </w:pPr>
    </w:p>
    <w:p w14:paraId="5CBE9394">
      <w:pPr>
        <w:spacing w:before="0" w:after="0" w:line="360" w:lineRule="auto"/>
      </w:pPr>
      <w:r>
        <w:rPr>
          <w:rFonts w:ascii="黑体" w:hAnsi="黑体" w:eastAsia="黑体"/>
          <w:b/>
          <w:sz w:val="28"/>
        </w:rPr>
        <w:t>2 检验依据</w:t>
      </w:r>
    </w:p>
    <w:p w14:paraId="4A60D4E5">
      <w:pPr>
        <w:spacing w:before="0" w:after="0" w:line="360" w:lineRule="auto"/>
      </w:pPr>
      <w:r>
        <w:rPr>
          <w:rFonts w:ascii="黑体" w:hAnsi="黑体" w:eastAsia="黑体"/>
          <w:b/>
          <w:sz w:val="28"/>
        </w:rPr>
        <w:t>2.1 车用尿素溶液</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9"/>
        <w:gridCol w:w="2872"/>
        <w:gridCol w:w="1919"/>
        <w:gridCol w:w="2160"/>
      </w:tblGrid>
      <w:tr w14:paraId="48C1B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Pr>
          <w:p w14:paraId="7CEA31C6">
            <w:pPr>
              <w:spacing w:after="0" w:line="240" w:lineRule="auto"/>
              <w:jc w:val="center"/>
            </w:pPr>
            <w:r>
              <w:rPr>
                <w:rFonts w:ascii="宋体" w:hAnsi="宋体" w:eastAsia="宋体"/>
                <w:b/>
                <w:sz w:val="21"/>
              </w:rPr>
              <w:t>序号</w:t>
            </w:r>
          </w:p>
        </w:tc>
        <w:tc>
          <w:tcPr>
            <w:tcW w:w="2872" w:type="dxa"/>
          </w:tcPr>
          <w:p w14:paraId="410997D9">
            <w:pPr>
              <w:spacing w:after="0" w:line="240" w:lineRule="auto"/>
              <w:jc w:val="center"/>
            </w:pPr>
            <w:r>
              <w:rPr>
                <w:rFonts w:ascii="宋体" w:hAnsi="宋体" w:eastAsia="宋体"/>
                <w:b/>
                <w:sz w:val="21"/>
              </w:rPr>
              <w:t>检验项目</w:t>
            </w:r>
          </w:p>
        </w:tc>
        <w:tc>
          <w:tcPr>
            <w:tcW w:w="1919" w:type="dxa"/>
          </w:tcPr>
          <w:p w14:paraId="28C79C41">
            <w:pPr>
              <w:spacing w:after="0" w:line="240" w:lineRule="auto"/>
              <w:jc w:val="center"/>
            </w:pPr>
            <w:r>
              <w:rPr>
                <w:rFonts w:ascii="宋体" w:hAnsi="宋体" w:eastAsia="宋体"/>
                <w:b/>
                <w:sz w:val="21"/>
              </w:rPr>
              <w:t>检验依据</w:t>
            </w:r>
          </w:p>
        </w:tc>
        <w:tc>
          <w:tcPr>
            <w:tcW w:w="2160" w:type="dxa"/>
          </w:tcPr>
          <w:p w14:paraId="6B4E500A">
            <w:pPr>
              <w:spacing w:after="0" w:line="240" w:lineRule="auto"/>
              <w:jc w:val="center"/>
            </w:pPr>
            <w:r>
              <w:rPr>
                <w:rFonts w:ascii="宋体" w:hAnsi="宋体" w:eastAsia="宋体"/>
                <w:b/>
                <w:sz w:val="21"/>
              </w:rPr>
              <w:t>检验方法</w:t>
            </w:r>
          </w:p>
        </w:tc>
      </w:tr>
      <w:tr w14:paraId="2AFE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689" w:type="dxa"/>
            <w:tcBorders>
              <w:top w:val="single" w:color="000000" w:sz="4" w:space="0"/>
              <w:left w:val="single" w:color="000000" w:sz="4" w:space="0"/>
              <w:bottom w:val="single" w:color="000000" w:sz="4" w:space="0"/>
              <w:right w:val="single" w:color="000000" w:sz="4" w:space="0"/>
            </w:tcBorders>
            <w:vAlign w:val="center"/>
          </w:tcPr>
          <w:p w14:paraId="033B0F56">
            <w:pPr>
              <w:spacing w:before="0" w:after="0" w:line="240" w:lineRule="auto"/>
              <w:jc w:val="center"/>
            </w:pPr>
            <w:r>
              <w:rPr>
                <w:rFonts w:ascii="宋体" w:hAnsi="宋体" w:eastAsia="宋体"/>
                <w:b w:val="0"/>
                <w:sz w:val="21"/>
              </w:rPr>
              <w:t>1</w:t>
            </w:r>
          </w:p>
        </w:tc>
        <w:tc>
          <w:tcPr>
            <w:tcW w:w="2872" w:type="dxa"/>
            <w:tcBorders>
              <w:top w:val="single" w:color="000000" w:sz="4" w:space="0"/>
              <w:left w:val="single" w:color="000000" w:sz="4" w:space="0"/>
              <w:bottom w:val="single" w:color="000000" w:sz="4" w:space="0"/>
              <w:right w:val="single" w:color="000000" w:sz="4" w:space="0"/>
            </w:tcBorders>
            <w:vAlign w:val="center"/>
          </w:tcPr>
          <w:p w14:paraId="4E7F2593">
            <w:pPr>
              <w:spacing w:before="0" w:after="0" w:line="240" w:lineRule="auto"/>
              <w:jc w:val="center"/>
            </w:pPr>
            <w:r>
              <w:rPr>
                <w:rFonts w:ascii="宋体" w:hAnsi="宋体" w:eastAsia="宋体"/>
                <w:b w:val="0"/>
                <w:sz w:val="21"/>
              </w:rPr>
              <w:t>尿素含量（质量分数）</w:t>
            </w:r>
          </w:p>
        </w:tc>
        <w:tc>
          <w:tcPr>
            <w:tcW w:w="1919" w:type="dxa"/>
            <w:tcBorders>
              <w:top w:val="single" w:color="000000" w:sz="4" w:space="0"/>
              <w:left w:val="single" w:color="000000" w:sz="4" w:space="0"/>
              <w:bottom w:val="single" w:color="000000" w:sz="4" w:space="0"/>
              <w:right w:val="single" w:color="000000" w:sz="4" w:space="0"/>
            </w:tcBorders>
            <w:vAlign w:val="center"/>
          </w:tcPr>
          <w:p w14:paraId="0D3AED8B">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6833BC31">
            <w:pPr>
              <w:spacing w:before="0" w:after="0" w:line="240" w:lineRule="auto"/>
              <w:jc w:val="center"/>
            </w:pPr>
            <w:r>
              <w:rPr>
                <w:rFonts w:ascii="宋体" w:hAnsi="宋体" w:eastAsia="宋体"/>
                <w:b w:val="0"/>
                <w:sz w:val="21"/>
              </w:rPr>
              <w:t>GB 29518—2013</w:t>
            </w:r>
          </w:p>
        </w:tc>
      </w:tr>
      <w:tr w14:paraId="1C22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70DB424C">
            <w:pPr>
              <w:spacing w:before="0" w:after="0" w:line="240" w:lineRule="auto"/>
              <w:jc w:val="center"/>
            </w:pPr>
            <w:r>
              <w:rPr>
                <w:rFonts w:ascii="宋体" w:hAnsi="宋体" w:eastAsia="宋体"/>
                <w:b w:val="0"/>
                <w:sz w:val="21"/>
              </w:rPr>
              <w:t>2</w:t>
            </w:r>
          </w:p>
        </w:tc>
        <w:tc>
          <w:tcPr>
            <w:tcW w:w="2872" w:type="dxa"/>
            <w:tcBorders>
              <w:top w:val="single" w:color="000000" w:sz="4" w:space="0"/>
              <w:left w:val="single" w:color="000000" w:sz="4" w:space="0"/>
              <w:bottom w:val="single" w:color="000000" w:sz="4" w:space="0"/>
              <w:right w:val="single" w:color="000000" w:sz="4" w:space="0"/>
            </w:tcBorders>
            <w:vAlign w:val="center"/>
          </w:tcPr>
          <w:p w14:paraId="074DDC2A">
            <w:pPr>
              <w:spacing w:before="0" w:after="0" w:line="240" w:lineRule="auto"/>
              <w:jc w:val="center"/>
            </w:pPr>
            <w:r>
              <w:rPr>
                <w:rFonts w:ascii="宋体" w:hAnsi="宋体" w:eastAsia="宋体"/>
                <w:b w:val="0"/>
                <w:sz w:val="21"/>
              </w:rPr>
              <w:t>密度（20℃）</w:t>
            </w:r>
          </w:p>
        </w:tc>
        <w:tc>
          <w:tcPr>
            <w:tcW w:w="1919" w:type="dxa"/>
            <w:tcBorders>
              <w:top w:val="single" w:color="000000" w:sz="4" w:space="0"/>
              <w:left w:val="single" w:color="000000" w:sz="4" w:space="0"/>
              <w:bottom w:val="single" w:color="000000" w:sz="4" w:space="0"/>
              <w:right w:val="single" w:color="000000" w:sz="4" w:space="0"/>
            </w:tcBorders>
            <w:vAlign w:val="center"/>
          </w:tcPr>
          <w:p w14:paraId="6D55743F">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2F0A8B55">
            <w:pPr>
              <w:spacing w:before="0" w:after="0" w:line="240" w:lineRule="auto"/>
              <w:jc w:val="center"/>
            </w:pPr>
            <w:r>
              <w:rPr>
                <w:rFonts w:ascii="宋体" w:hAnsi="宋体" w:eastAsia="宋体"/>
                <w:b w:val="0"/>
                <w:sz w:val="21"/>
              </w:rPr>
              <w:t>SH/T 0604—2000</w:t>
            </w:r>
            <w:r>
              <w:rPr>
                <w:rFonts w:ascii="宋体" w:hAnsi="宋体" w:eastAsia="宋体"/>
                <w:b w:val="0"/>
                <w:sz w:val="21"/>
              </w:rPr>
              <w:br w:type="textWrapping"/>
            </w:r>
            <w:r>
              <w:rPr>
                <w:rFonts w:ascii="宋体" w:hAnsi="宋体" w:eastAsia="宋体"/>
                <w:b w:val="0"/>
                <w:sz w:val="21"/>
              </w:rPr>
              <w:t>GB/T 1884—2000</w:t>
            </w:r>
            <w:r>
              <w:rPr>
                <w:rFonts w:ascii="宋体" w:hAnsi="宋体" w:eastAsia="宋体"/>
                <w:b w:val="0"/>
                <w:sz w:val="21"/>
              </w:rPr>
              <w:br w:type="textWrapping"/>
            </w:r>
            <w:r>
              <w:rPr>
                <w:rFonts w:ascii="宋体" w:hAnsi="宋体" w:eastAsia="宋体"/>
                <w:b w:val="0"/>
                <w:sz w:val="21"/>
              </w:rPr>
              <w:t>GB/T 1885—1998</w:t>
            </w:r>
          </w:p>
        </w:tc>
      </w:tr>
      <w:tr w14:paraId="7340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755297C7">
            <w:pPr>
              <w:spacing w:before="0" w:after="0" w:line="240" w:lineRule="auto"/>
              <w:jc w:val="center"/>
            </w:pPr>
            <w:r>
              <w:rPr>
                <w:rFonts w:ascii="宋体" w:hAnsi="宋体" w:eastAsia="宋体"/>
                <w:b w:val="0"/>
                <w:sz w:val="21"/>
              </w:rPr>
              <w:t>3</w:t>
            </w:r>
          </w:p>
        </w:tc>
        <w:tc>
          <w:tcPr>
            <w:tcW w:w="2872" w:type="dxa"/>
            <w:tcBorders>
              <w:top w:val="single" w:color="000000" w:sz="4" w:space="0"/>
              <w:left w:val="single" w:color="000000" w:sz="4" w:space="0"/>
              <w:bottom w:val="single" w:color="000000" w:sz="4" w:space="0"/>
              <w:right w:val="single" w:color="000000" w:sz="4" w:space="0"/>
            </w:tcBorders>
            <w:vAlign w:val="center"/>
          </w:tcPr>
          <w:p w14:paraId="2971FC87">
            <w:pPr>
              <w:spacing w:before="0" w:after="0" w:line="240" w:lineRule="auto"/>
              <w:jc w:val="center"/>
            </w:pPr>
            <w:r>
              <w:rPr>
                <w:rFonts w:ascii="宋体" w:hAnsi="宋体" w:eastAsia="宋体"/>
                <w:b w:val="0"/>
                <w:sz w:val="21"/>
              </w:rPr>
              <w:t>折光率20nD</w:t>
            </w:r>
          </w:p>
        </w:tc>
        <w:tc>
          <w:tcPr>
            <w:tcW w:w="1919" w:type="dxa"/>
            <w:tcBorders>
              <w:top w:val="single" w:color="000000" w:sz="4" w:space="0"/>
              <w:left w:val="single" w:color="000000" w:sz="4" w:space="0"/>
              <w:bottom w:val="single" w:color="000000" w:sz="4" w:space="0"/>
              <w:right w:val="single" w:color="000000" w:sz="4" w:space="0"/>
            </w:tcBorders>
            <w:vAlign w:val="center"/>
          </w:tcPr>
          <w:p w14:paraId="3AFD276F">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608DADD">
            <w:pPr>
              <w:spacing w:before="0" w:after="0" w:line="240" w:lineRule="auto"/>
              <w:jc w:val="center"/>
            </w:pPr>
            <w:r>
              <w:rPr>
                <w:rFonts w:ascii="宋体" w:hAnsi="宋体" w:eastAsia="宋体"/>
                <w:b w:val="0"/>
                <w:sz w:val="21"/>
              </w:rPr>
              <w:t>GB/T 614—2021</w:t>
            </w:r>
          </w:p>
        </w:tc>
      </w:tr>
      <w:tr w14:paraId="7A011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43F2D3C0">
            <w:pPr>
              <w:spacing w:before="0" w:after="0" w:line="240" w:lineRule="auto"/>
              <w:jc w:val="center"/>
            </w:pPr>
            <w:r>
              <w:rPr>
                <w:rFonts w:ascii="宋体" w:hAnsi="宋体" w:eastAsia="宋体"/>
                <w:b w:val="0"/>
                <w:sz w:val="21"/>
              </w:rPr>
              <w:t>4</w:t>
            </w:r>
          </w:p>
        </w:tc>
        <w:tc>
          <w:tcPr>
            <w:tcW w:w="2872" w:type="dxa"/>
            <w:tcBorders>
              <w:top w:val="single" w:color="000000" w:sz="4" w:space="0"/>
              <w:left w:val="single" w:color="000000" w:sz="4" w:space="0"/>
              <w:bottom w:val="single" w:color="000000" w:sz="4" w:space="0"/>
              <w:right w:val="single" w:color="000000" w:sz="4" w:space="0"/>
            </w:tcBorders>
            <w:vAlign w:val="center"/>
          </w:tcPr>
          <w:p w14:paraId="3E8EB077">
            <w:pPr>
              <w:spacing w:before="0" w:after="0" w:line="240" w:lineRule="auto"/>
              <w:jc w:val="center"/>
            </w:pPr>
            <w:r>
              <w:rPr>
                <w:rFonts w:ascii="宋体" w:hAnsi="宋体" w:eastAsia="宋体"/>
                <w:b w:val="0"/>
                <w:sz w:val="21"/>
              </w:rPr>
              <w:t>不溶物</w:t>
            </w:r>
          </w:p>
        </w:tc>
        <w:tc>
          <w:tcPr>
            <w:tcW w:w="1919" w:type="dxa"/>
            <w:tcBorders>
              <w:top w:val="single" w:color="000000" w:sz="4" w:space="0"/>
              <w:left w:val="single" w:color="000000" w:sz="4" w:space="0"/>
              <w:bottom w:val="single" w:color="000000" w:sz="4" w:space="0"/>
              <w:right w:val="single" w:color="000000" w:sz="4" w:space="0"/>
            </w:tcBorders>
            <w:vAlign w:val="center"/>
          </w:tcPr>
          <w:p w14:paraId="195AEFFD">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40D4E846">
            <w:pPr>
              <w:spacing w:before="0" w:after="0" w:line="240" w:lineRule="auto"/>
              <w:jc w:val="center"/>
            </w:pPr>
            <w:r>
              <w:rPr>
                <w:rFonts w:ascii="宋体" w:hAnsi="宋体" w:eastAsia="宋体"/>
                <w:b w:val="0"/>
                <w:sz w:val="21"/>
              </w:rPr>
              <w:t>GB 29518—2013</w:t>
            </w:r>
          </w:p>
        </w:tc>
      </w:tr>
      <w:tr w14:paraId="3566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6C57E7FF">
            <w:pPr>
              <w:spacing w:before="0" w:after="0" w:line="240" w:lineRule="auto"/>
              <w:jc w:val="center"/>
            </w:pPr>
            <w:r>
              <w:rPr>
                <w:rFonts w:ascii="宋体" w:hAnsi="宋体" w:eastAsia="宋体"/>
                <w:b w:val="0"/>
                <w:sz w:val="21"/>
              </w:rPr>
              <w:t>5</w:t>
            </w:r>
          </w:p>
        </w:tc>
        <w:tc>
          <w:tcPr>
            <w:tcW w:w="2872" w:type="dxa"/>
            <w:tcBorders>
              <w:top w:val="single" w:color="000000" w:sz="4" w:space="0"/>
              <w:left w:val="single" w:color="000000" w:sz="4" w:space="0"/>
              <w:bottom w:val="single" w:color="000000" w:sz="4" w:space="0"/>
              <w:right w:val="single" w:color="000000" w:sz="4" w:space="0"/>
            </w:tcBorders>
            <w:vAlign w:val="center"/>
          </w:tcPr>
          <w:p w14:paraId="1E0E4E08">
            <w:pPr>
              <w:spacing w:before="0" w:after="0" w:line="240" w:lineRule="auto"/>
              <w:jc w:val="center"/>
            </w:pPr>
            <w:r>
              <w:rPr>
                <w:rFonts w:ascii="宋体" w:hAnsi="宋体" w:eastAsia="宋体"/>
                <w:b w:val="0"/>
                <w:sz w:val="21"/>
              </w:rPr>
              <w:t>碱度（以NH3计）（质量分数）</w:t>
            </w:r>
          </w:p>
        </w:tc>
        <w:tc>
          <w:tcPr>
            <w:tcW w:w="1919" w:type="dxa"/>
            <w:tcBorders>
              <w:top w:val="single" w:color="000000" w:sz="4" w:space="0"/>
              <w:left w:val="single" w:color="000000" w:sz="4" w:space="0"/>
              <w:bottom w:val="single" w:color="000000" w:sz="4" w:space="0"/>
              <w:right w:val="single" w:color="000000" w:sz="4" w:space="0"/>
            </w:tcBorders>
            <w:vAlign w:val="center"/>
          </w:tcPr>
          <w:p w14:paraId="3BCE151A">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6DFB315A">
            <w:pPr>
              <w:spacing w:before="0" w:after="0" w:line="240" w:lineRule="auto"/>
              <w:jc w:val="center"/>
            </w:pPr>
            <w:r>
              <w:rPr>
                <w:rFonts w:ascii="宋体" w:hAnsi="宋体" w:eastAsia="宋体"/>
                <w:b w:val="0"/>
                <w:sz w:val="21"/>
              </w:rPr>
              <w:t>GB 29518—2013</w:t>
            </w:r>
          </w:p>
        </w:tc>
      </w:tr>
      <w:tr w14:paraId="3DAB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1590E813">
            <w:pPr>
              <w:spacing w:before="0" w:after="0" w:line="240" w:lineRule="auto"/>
              <w:jc w:val="center"/>
            </w:pPr>
            <w:r>
              <w:rPr>
                <w:rFonts w:ascii="宋体" w:hAnsi="宋体" w:eastAsia="宋体"/>
                <w:b w:val="0"/>
                <w:sz w:val="21"/>
              </w:rPr>
              <w:t>6</w:t>
            </w:r>
          </w:p>
        </w:tc>
        <w:tc>
          <w:tcPr>
            <w:tcW w:w="2872" w:type="dxa"/>
            <w:tcBorders>
              <w:top w:val="single" w:color="000000" w:sz="4" w:space="0"/>
              <w:left w:val="single" w:color="000000" w:sz="4" w:space="0"/>
              <w:bottom w:val="single" w:color="000000" w:sz="4" w:space="0"/>
              <w:right w:val="single" w:color="000000" w:sz="4" w:space="0"/>
            </w:tcBorders>
            <w:vAlign w:val="center"/>
          </w:tcPr>
          <w:p w14:paraId="7F40BD81">
            <w:pPr>
              <w:spacing w:before="0" w:after="0" w:line="240" w:lineRule="auto"/>
              <w:jc w:val="center"/>
            </w:pPr>
            <w:r>
              <w:rPr>
                <w:rFonts w:ascii="宋体" w:hAnsi="宋体" w:eastAsia="宋体"/>
                <w:b w:val="0"/>
                <w:sz w:val="21"/>
              </w:rPr>
              <w:t>缩二脲（质量分数）</w:t>
            </w:r>
          </w:p>
        </w:tc>
        <w:tc>
          <w:tcPr>
            <w:tcW w:w="1919" w:type="dxa"/>
            <w:tcBorders>
              <w:top w:val="single" w:color="000000" w:sz="4" w:space="0"/>
              <w:left w:val="single" w:color="000000" w:sz="4" w:space="0"/>
              <w:bottom w:val="single" w:color="000000" w:sz="4" w:space="0"/>
              <w:right w:val="single" w:color="000000" w:sz="4" w:space="0"/>
            </w:tcBorders>
            <w:vAlign w:val="center"/>
          </w:tcPr>
          <w:p w14:paraId="277EC286">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3F58FA15">
            <w:pPr>
              <w:spacing w:before="0" w:after="0" w:line="240" w:lineRule="auto"/>
              <w:jc w:val="center"/>
            </w:pPr>
            <w:r>
              <w:rPr>
                <w:rFonts w:ascii="宋体" w:hAnsi="宋体" w:eastAsia="宋体"/>
                <w:b w:val="0"/>
                <w:sz w:val="21"/>
              </w:rPr>
              <w:t>GB 29518—2013</w:t>
            </w:r>
          </w:p>
        </w:tc>
      </w:tr>
      <w:tr w14:paraId="547F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3AE36696">
            <w:pPr>
              <w:spacing w:before="0" w:after="0" w:line="240" w:lineRule="auto"/>
              <w:jc w:val="center"/>
            </w:pPr>
            <w:r>
              <w:rPr>
                <w:rFonts w:ascii="宋体" w:hAnsi="宋体" w:eastAsia="宋体"/>
                <w:b w:val="0"/>
                <w:sz w:val="21"/>
              </w:rPr>
              <w:t>7</w:t>
            </w:r>
          </w:p>
        </w:tc>
        <w:tc>
          <w:tcPr>
            <w:tcW w:w="2872" w:type="dxa"/>
            <w:tcBorders>
              <w:top w:val="single" w:color="000000" w:sz="4" w:space="0"/>
              <w:left w:val="single" w:color="000000" w:sz="4" w:space="0"/>
              <w:bottom w:val="single" w:color="000000" w:sz="4" w:space="0"/>
              <w:right w:val="single" w:color="000000" w:sz="4" w:space="0"/>
            </w:tcBorders>
            <w:vAlign w:val="center"/>
          </w:tcPr>
          <w:p w14:paraId="794795F1">
            <w:pPr>
              <w:spacing w:before="0" w:after="0" w:line="240" w:lineRule="auto"/>
              <w:jc w:val="center"/>
            </w:pPr>
            <w:r>
              <w:rPr>
                <w:rFonts w:ascii="宋体" w:hAnsi="宋体" w:eastAsia="宋体"/>
                <w:b w:val="0"/>
                <w:sz w:val="21"/>
              </w:rPr>
              <w:t>醛类（以HCHO计）</w:t>
            </w:r>
          </w:p>
        </w:tc>
        <w:tc>
          <w:tcPr>
            <w:tcW w:w="1919" w:type="dxa"/>
            <w:tcBorders>
              <w:top w:val="single" w:color="000000" w:sz="4" w:space="0"/>
              <w:left w:val="single" w:color="000000" w:sz="4" w:space="0"/>
              <w:bottom w:val="single" w:color="000000" w:sz="4" w:space="0"/>
              <w:right w:val="single" w:color="000000" w:sz="4" w:space="0"/>
            </w:tcBorders>
            <w:vAlign w:val="center"/>
          </w:tcPr>
          <w:p w14:paraId="3D763553">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0AC2BA85">
            <w:pPr>
              <w:spacing w:before="0" w:after="0" w:line="240" w:lineRule="auto"/>
              <w:jc w:val="center"/>
            </w:pPr>
            <w:r>
              <w:rPr>
                <w:rFonts w:ascii="宋体" w:hAnsi="宋体" w:eastAsia="宋体"/>
                <w:b w:val="0"/>
                <w:sz w:val="21"/>
              </w:rPr>
              <w:t>GB 29518—2013</w:t>
            </w:r>
          </w:p>
        </w:tc>
      </w:tr>
      <w:tr w14:paraId="5838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1486AC7F">
            <w:pPr>
              <w:spacing w:before="0" w:after="0" w:line="240" w:lineRule="auto"/>
              <w:jc w:val="center"/>
            </w:pPr>
            <w:r>
              <w:rPr>
                <w:rFonts w:ascii="宋体" w:hAnsi="宋体" w:eastAsia="宋体"/>
                <w:b w:val="0"/>
                <w:sz w:val="21"/>
              </w:rPr>
              <w:t>8</w:t>
            </w:r>
          </w:p>
        </w:tc>
        <w:tc>
          <w:tcPr>
            <w:tcW w:w="2872" w:type="dxa"/>
            <w:tcBorders>
              <w:top w:val="single" w:color="000000" w:sz="4" w:space="0"/>
              <w:left w:val="single" w:color="000000" w:sz="4" w:space="0"/>
              <w:bottom w:val="single" w:color="000000" w:sz="4" w:space="0"/>
              <w:right w:val="single" w:color="000000" w:sz="4" w:space="0"/>
            </w:tcBorders>
            <w:vAlign w:val="center"/>
          </w:tcPr>
          <w:p w14:paraId="014B553F">
            <w:pPr>
              <w:spacing w:before="0" w:after="0" w:line="240" w:lineRule="auto"/>
              <w:jc w:val="center"/>
            </w:pPr>
            <w:r>
              <w:rPr>
                <w:rFonts w:ascii="宋体" w:hAnsi="宋体" w:eastAsia="宋体"/>
                <w:b w:val="0"/>
                <w:sz w:val="21"/>
              </w:rPr>
              <w:t>磷酸盐（以PO4计）</w:t>
            </w:r>
          </w:p>
        </w:tc>
        <w:tc>
          <w:tcPr>
            <w:tcW w:w="1919" w:type="dxa"/>
            <w:tcBorders>
              <w:top w:val="single" w:color="000000" w:sz="4" w:space="0"/>
              <w:left w:val="single" w:color="000000" w:sz="4" w:space="0"/>
              <w:bottom w:val="single" w:color="000000" w:sz="4" w:space="0"/>
              <w:right w:val="single" w:color="000000" w:sz="4" w:space="0"/>
            </w:tcBorders>
            <w:vAlign w:val="center"/>
          </w:tcPr>
          <w:p w14:paraId="462D3A41">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24CE938">
            <w:pPr>
              <w:spacing w:before="0" w:after="0" w:line="240" w:lineRule="auto"/>
              <w:jc w:val="center"/>
            </w:pPr>
            <w:r>
              <w:rPr>
                <w:rFonts w:ascii="宋体" w:hAnsi="宋体" w:eastAsia="宋体"/>
                <w:b w:val="0"/>
                <w:sz w:val="21"/>
              </w:rPr>
              <w:t>GB 29518—2013</w:t>
            </w:r>
          </w:p>
        </w:tc>
      </w:tr>
      <w:tr w14:paraId="6CEE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640E99A6">
            <w:pPr>
              <w:spacing w:before="0" w:after="0" w:line="240" w:lineRule="auto"/>
              <w:jc w:val="center"/>
            </w:pPr>
            <w:r>
              <w:rPr>
                <w:rFonts w:ascii="宋体" w:hAnsi="宋体" w:eastAsia="宋体"/>
                <w:b w:val="0"/>
                <w:sz w:val="21"/>
              </w:rPr>
              <w:t>9</w:t>
            </w:r>
          </w:p>
        </w:tc>
        <w:tc>
          <w:tcPr>
            <w:tcW w:w="2872" w:type="dxa"/>
            <w:tcBorders>
              <w:top w:val="single" w:color="000000" w:sz="4" w:space="0"/>
              <w:left w:val="single" w:color="000000" w:sz="4" w:space="0"/>
              <w:bottom w:val="single" w:color="000000" w:sz="4" w:space="0"/>
              <w:right w:val="single" w:color="000000" w:sz="4" w:space="0"/>
            </w:tcBorders>
            <w:vAlign w:val="center"/>
          </w:tcPr>
          <w:p w14:paraId="25CCF594">
            <w:pPr>
              <w:spacing w:before="0" w:after="0" w:line="240" w:lineRule="auto"/>
              <w:jc w:val="center"/>
            </w:pPr>
            <w:r>
              <w:rPr>
                <w:rFonts w:ascii="宋体" w:hAnsi="宋体" w:eastAsia="宋体"/>
                <w:b w:val="0"/>
                <w:sz w:val="21"/>
              </w:rPr>
              <w:t>钠</w:t>
            </w:r>
          </w:p>
        </w:tc>
        <w:tc>
          <w:tcPr>
            <w:tcW w:w="1919" w:type="dxa"/>
            <w:tcBorders>
              <w:top w:val="single" w:color="000000" w:sz="4" w:space="0"/>
              <w:left w:val="single" w:color="000000" w:sz="4" w:space="0"/>
              <w:bottom w:val="single" w:color="000000" w:sz="4" w:space="0"/>
              <w:right w:val="single" w:color="000000" w:sz="4" w:space="0"/>
            </w:tcBorders>
            <w:vAlign w:val="center"/>
          </w:tcPr>
          <w:p w14:paraId="18DB81CD">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EE9B2E9">
            <w:pPr>
              <w:spacing w:before="0" w:after="0" w:line="240" w:lineRule="auto"/>
              <w:jc w:val="center"/>
            </w:pPr>
            <w:r>
              <w:rPr>
                <w:rFonts w:ascii="宋体" w:hAnsi="宋体" w:eastAsia="宋体"/>
                <w:b w:val="0"/>
                <w:sz w:val="21"/>
              </w:rPr>
              <w:t>GB 29518—2013</w:t>
            </w:r>
          </w:p>
        </w:tc>
      </w:tr>
      <w:tr w14:paraId="4202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3F430E8A">
            <w:pPr>
              <w:spacing w:before="0" w:after="0" w:line="240" w:lineRule="auto"/>
              <w:jc w:val="center"/>
            </w:pPr>
            <w:r>
              <w:rPr>
                <w:rFonts w:ascii="宋体" w:hAnsi="宋体" w:eastAsia="宋体"/>
                <w:b w:val="0"/>
                <w:sz w:val="21"/>
              </w:rPr>
              <w:t>10</w:t>
            </w:r>
          </w:p>
        </w:tc>
        <w:tc>
          <w:tcPr>
            <w:tcW w:w="2872" w:type="dxa"/>
            <w:tcBorders>
              <w:top w:val="single" w:color="000000" w:sz="4" w:space="0"/>
              <w:left w:val="single" w:color="000000" w:sz="4" w:space="0"/>
              <w:bottom w:val="single" w:color="000000" w:sz="4" w:space="0"/>
              <w:right w:val="single" w:color="000000" w:sz="4" w:space="0"/>
            </w:tcBorders>
            <w:vAlign w:val="center"/>
          </w:tcPr>
          <w:p w14:paraId="601F4F1B">
            <w:pPr>
              <w:spacing w:before="0" w:after="0" w:line="240" w:lineRule="auto"/>
              <w:jc w:val="center"/>
            </w:pPr>
            <w:r>
              <w:rPr>
                <w:rFonts w:ascii="宋体" w:hAnsi="宋体" w:eastAsia="宋体"/>
                <w:b w:val="0"/>
                <w:sz w:val="21"/>
              </w:rPr>
              <w:t>镁</w:t>
            </w:r>
          </w:p>
        </w:tc>
        <w:tc>
          <w:tcPr>
            <w:tcW w:w="1919" w:type="dxa"/>
            <w:tcBorders>
              <w:top w:val="single" w:color="000000" w:sz="4" w:space="0"/>
              <w:left w:val="single" w:color="000000" w:sz="4" w:space="0"/>
              <w:bottom w:val="single" w:color="000000" w:sz="4" w:space="0"/>
              <w:right w:val="single" w:color="000000" w:sz="4" w:space="0"/>
            </w:tcBorders>
            <w:vAlign w:val="center"/>
          </w:tcPr>
          <w:p w14:paraId="267DAEFA">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25F3DCBB">
            <w:pPr>
              <w:spacing w:before="0" w:after="0" w:line="240" w:lineRule="auto"/>
              <w:jc w:val="center"/>
            </w:pPr>
            <w:r>
              <w:rPr>
                <w:rFonts w:ascii="宋体" w:hAnsi="宋体" w:eastAsia="宋体"/>
                <w:b w:val="0"/>
                <w:sz w:val="21"/>
              </w:rPr>
              <w:t>GB 29518—2013</w:t>
            </w:r>
          </w:p>
        </w:tc>
      </w:tr>
      <w:tr w14:paraId="5318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04E641CE">
            <w:pPr>
              <w:spacing w:before="0" w:after="0" w:line="240" w:lineRule="auto"/>
              <w:jc w:val="center"/>
            </w:pPr>
            <w:r>
              <w:rPr>
                <w:rFonts w:ascii="宋体" w:hAnsi="宋体" w:eastAsia="宋体"/>
                <w:b w:val="0"/>
                <w:sz w:val="21"/>
              </w:rPr>
              <w:t>11</w:t>
            </w:r>
          </w:p>
        </w:tc>
        <w:tc>
          <w:tcPr>
            <w:tcW w:w="2872" w:type="dxa"/>
            <w:tcBorders>
              <w:top w:val="single" w:color="000000" w:sz="4" w:space="0"/>
              <w:left w:val="single" w:color="000000" w:sz="4" w:space="0"/>
              <w:bottom w:val="single" w:color="000000" w:sz="4" w:space="0"/>
              <w:right w:val="single" w:color="000000" w:sz="4" w:space="0"/>
            </w:tcBorders>
            <w:vAlign w:val="center"/>
          </w:tcPr>
          <w:p w14:paraId="3BDF777A">
            <w:pPr>
              <w:spacing w:before="0" w:after="0" w:line="240" w:lineRule="auto"/>
              <w:jc w:val="center"/>
            </w:pPr>
            <w:r>
              <w:rPr>
                <w:rFonts w:ascii="宋体" w:hAnsi="宋体" w:eastAsia="宋体"/>
                <w:b w:val="0"/>
                <w:sz w:val="21"/>
              </w:rPr>
              <w:t>钾</w:t>
            </w:r>
          </w:p>
        </w:tc>
        <w:tc>
          <w:tcPr>
            <w:tcW w:w="1919" w:type="dxa"/>
            <w:tcBorders>
              <w:top w:val="single" w:color="000000" w:sz="4" w:space="0"/>
              <w:left w:val="single" w:color="000000" w:sz="4" w:space="0"/>
              <w:bottom w:val="single" w:color="000000" w:sz="4" w:space="0"/>
              <w:right w:val="single" w:color="000000" w:sz="4" w:space="0"/>
            </w:tcBorders>
            <w:vAlign w:val="center"/>
          </w:tcPr>
          <w:p w14:paraId="5133F8E8">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3C159209">
            <w:pPr>
              <w:spacing w:before="0" w:after="0" w:line="240" w:lineRule="auto"/>
              <w:jc w:val="center"/>
            </w:pPr>
            <w:r>
              <w:rPr>
                <w:rFonts w:ascii="宋体" w:hAnsi="宋体" w:eastAsia="宋体"/>
                <w:b w:val="0"/>
                <w:sz w:val="21"/>
              </w:rPr>
              <w:t>GB 29518—2013</w:t>
            </w:r>
          </w:p>
        </w:tc>
      </w:tr>
      <w:tr w14:paraId="26C3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0B123DC7">
            <w:pPr>
              <w:spacing w:before="0" w:after="0" w:line="240" w:lineRule="auto"/>
              <w:jc w:val="center"/>
            </w:pPr>
            <w:r>
              <w:rPr>
                <w:rFonts w:ascii="宋体" w:hAnsi="宋体" w:eastAsia="宋体"/>
                <w:b w:val="0"/>
                <w:sz w:val="21"/>
              </w:rPr>
              <w:t>12</w:t>
            </w:r>
          </w:p>
        </w:tc>
        <w:tc>
          <w:tcPr>
            <w:tcW w:w="2872" w:type="dxa"/>
            <w:tcBorders>
              <w:top w:val="single" w:color="000000" w:sz="4" w:space="0"/>
              <w:left w:val="single" w:color="000000" w:sz="4" w:space="0"/>
              <w:bottom w:val="single" w:color="000000" w:sz="4" w:space="0"/>
              <w:right w:val="single" w:color="000000" w:sz="4" w:space="0"/>
            </w:tcBorders>
            <w:vAlign w:val="center"/>
          </w:tcPr>
          <w:p w14:paraId="5C12DA4E">
            <w:pPr>
              <w:spacing w:before="0" w:after="0" w:line="240" w:lineRule="auto"/>
              <w:jc w:val="center"/>
            </w:pPr>
            <w:r>
              <w:rPr>
                <w:rFonts w:ascii="宋体" w:hAnsi="宋体" w:eastAsia="宋体"/>
                <w:b w:val="0"/>
                <w:sz w:val="21"/>
              </w:rPr>
              <w:t>钙</w:t>
            </w:r>
          </w:p>
        </w:tc>
        <w:tc>
          <w:tcPr>
            <w:tcW w:w="1919" w:type="dxa"/>
            <w:tcBorders>
              <w:top w:val="single" w:color="000000" w:sz="4" w:space="0"/>
              <w:left w:val="single" w:color="000000" w:sz="4" w:space="0"/>
              <w:bottom w:val="single" w:color="000000" w:sz="4" w:space="0"/>
              <w:right w:val="single" w:color="000000" w:sz="4" w:space="0"/>
            </w:tcBorders>
            <w:vAlign w:val="center"/>
          </w:tcPr>
          <w:p w14:paraId="39D1729A">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52B673F7">
            <w:pPr>
              <w:spacing w:before="0" w:after="0" w:line="240" w:lineRule="auto"/>
              <w:jc w:val="center"/>
            </w:pPr>
            <w:r>
              <w:rPr>
                <w:rFonts w:ascii="宋体" w:hAnsi="宋体" w:eastAsia="宋体"/>
                <w:b w:val="0"/>
                <w:sz w:val="21"/>
              </w:rPr>
              <w:t>GB 29518—2013</w:t>
            </w:r>
          </w:p>
        </w:tc>
      </w:tr>
      <w:tr w14:paraId="12DF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6328B99F">
            <w:pPr>
              <w:spacing w:before="0" w:after="0" w:line="240" w:lineRule="auto"/>
              <w:jc w:val="center"/>
            </w:pPr>
            <w:r>
              <w:rPr>
                <w:rFonts w:ascii="宋体" w:hAnsi="宋体" w:eastAsia="宋体"/>
                <w:b w:val="0"/>
                <w:sz w:val="21"/>
              </w:rPr>
              <w:t>13</w:t>
            </w:r>
          </w:p>
        </w:tc>
        <w:tc>
          <w:tcPr>
            <w:tcW w:w="2872" w:type="dxa"/>
            <w:tcBorders>
              <w:top w:val="single" w:color="000000" w:sz="4" w:space="0"/>
              <w:left w:val="single" w:color="000000" w:sz="4" w:space="0"/>
              <w:bottom w:val="single" w:color="000000" w:sz="4" w:space="0"/>
              <w:right w:val="single" w:color="000000" w:sz="4" w:space="0"/>
            </w:tcBorders>
            <w:vAlign w:val="center"/>
          </w:tcPr>
          <w:p w14:paraId="1595D4B9">
            <w:pPr>
              <w:spacing w:before="0" w:after="0" w:line="240" w:lineRule="auto"/>
              <w:jc w:val="center"/>
            </w:pPr>
            <w:r>
              <w:rPr>
                <w:rFonts w:ascii="宋体" w:hAnsi="宋体" w:eastAsia="宋体"/>
                <w:b w:val="0"/>
                <w:sz w:val="21"/>
              </w:rPr>
              <w:t>铬</w:t>
            </w:r>
          </w:p>
        </w:tc>
        <w:tc>
          <w:tcPr>
            <w:tcW w:w="1919" w:type="dxa"/>
            <w:tcBorders>
              <w:top w:val="single" w:color="000000" w:sz="4" w:space="0"/>
              <w:left w:val="single" w:color="000000" w:sz="4" w:space="0"/>
              <w:bottom w:val="single" w:color="000000" w:sz="4" w:space="0"/>
              <w:right w:val="single" w:color="000000" w:sz="4" w:space="0"/>
            </w:tcBorders>
            <w:vAlign w:val="center"/>
          </w:tcPr>
          <w:p w14:paraId="3D9C43AB">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4413D83">
            <w:pPr>
              <w:spacing w:before="0" w:after="0" w:line="240" w:lineRule="auto"/>
              <w:jc w:val="center"/>
            </w:pPr>
            <w:r>
              <w:rPr>
                <w:rFonts w:ascii="宋体" w:hAnsi="宋体" w:eastAsia="宋体"/>
                <w:b w:val="0"/>
                <w:sz w:val="21"/>
              </w:rPr>
              <w:t>GB 29518—2013</w:t>
            </w:r>
          </w:p>
        </w:tc>
      </w:tr>
      <w:tr w14:paraId="1A3C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29857C8A">
            <w:pPr>
              <w:spacing w:before="0" w:after="0" w:line="240" w:lineRule="auto"/>
              <w:jc w:val="center"/>
            </w:pPr>
            <w:r>
              <w:rPr>
                <w:rFonts w:ascii="宋体" w:hAnsi="宋体" w:eastAsia="宋体"/>
                <w:b w:val="0"/>
                <w:sz w:val="21"/>
              </w:rPr>
              <w:t>14</w:t>
            </w:r>
          </w:p>
        </w:tc>
        <w:tc>
          <w:tcPr>
            <w:tcW w:w="2872" w:type="dxa"/>
            <w:tcBorders>
              <w:top w:val="single" w:color="000000" w:sz="4" w:space="0"/>
              <w:left w:val="single" w:color="000000" w:sz="4" w:space="0"/>
              <w:bottom w:val="single" w:color="000000" w:sz="4" w:space="0"/>
              <w:right w:val="single" w:color="000000" w:sz="4" w:space="0"/>
            </w:tcBorders>
            <w:vAlign w:val="center"/>
          </w:tcPr>
          <w:p w14:paraId="63A85B92">
            <w:pPr>
              <w:spacing w:before="0" w:after="0" w:line="240" w:lineRule="auto"/>
              <w:jc w:val="center"/>
            </w:pPr>
            <w:r>
              <w:rPr>
                <w:rFonts w:ascii="宋体" w:hAnsi="宋体" w:eastAsia="宋体"/>
                <w:b w:val="0"/>
                <w:sz w:val="21"/>
              </w:rPr>
              <w:t>铁</w:t>
            </w:r>
          </w:p>
        </w:tc>
        <w:tc>
          <w:tcPr>
            <w:tcW w:w="1919" w:type="dxa"/>
            <w:tcBorders>
              <w:top w:val="single" w:color="000000" w:sz="4" w:space="0"/>
              <w:left w:val="single" w:color="000000" w:sz="4" w:space="0"/>
              <w:bottom w:val="single" w:color="000000" w:sz="4" w:space="0"/>
              <w:right w:val="single" w:color="000000" w:sz="4" w:space="0"/>
            </w:tcBorders>
            <w:vAlign w:val="center"/>
          </w:tcPr>
          <w:p w14:paraId="0203DF79">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366CF78F">
            <w:pPr>
              <w:spacing w:before="0" w:after="0" w:line="240" w:lineRule="auto"/>
              <w:jc w:val="center"/>
            </w:pPr>
            <w:r>
              <w:rPr>
                <w:rFonts w:ascii="宋体" w:hAnsi="宋体" w:eastAsia="宋体"/>
                <w:b w:val="0"/>
                <w:sz w:val="21"/>
              </w:rPr>
              <w:t>GB 29518—2013</w:t>
            </w:r>
          </w:p>
        </w:tc>
      </w:tr>
      <w:tr w14:paraId="37A4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56948BC2">
            <w:pPr>
              <w:spacing w:before="0" w:after="0" w:line="240" w:lineRule="auto"/>
              <w:jc w:val="center"/>
            </w:pPr>
            <w:r>
              <w:rPr>
                <w:rFonts w:ascii="宋体" w:hAnsi="宋体" w:eastAsia="宋体"/>
                <w:b w:val="0"/>
                <w:sz w:val="21"/>
              </w:rPr>
              <w:t>15</w:t>
            </w:r>
          </w:p>
        </w:tc>
        <w:tc>
          <w:tcPr>
            <w:tcW w:w="2872" w:type="dxa"/>
            <w:tcBorders>
              <w:top w:val="single" w:color="000000" w:sz="4" w:space="0"/>
              <w:left w:val="single" w:color="000000" w:sz="4" w:space="0"/>
              <w:bottom w:val="single" w:color="000000" w:sz="4" w:space="0"/>
              <w:right w:val="single" w:color="000000" w:sz="4" w:space="0"/>
            </w:tcBorders>
            <w:vAlign w:val="center"/>
          </w:tcPr>
          <w:p w14:paraId="23E0D814">
            <w:pPr>
              <w:spacing w:before="0" w:after="0" w:line="240" w:lineRule="auto"/>
              <w:jc w:val="center"/>
            </w:pPr>
            <w:r>
              <w:rPr>
                <w:rFonts w:ascii="宋体" w:hAnsi="宋体" w:eastAsia="宋体"/>
                <w:b w:val="0"/>
                <w:sz w:val="21"/>
              </w:rPr>
              <w:t>镍</w:t>
            </w:r>
          </w:p>
        </w:tc>
        <w:tc>
          <w:tcPr>
            <w:tcW w:w="1919" w:type="dxa"/>
            <w:tcBorders>
              <w:top w:val="single" w:color="000000" w:sz="4" w:space="0"/>
              <w:left w:val="single" w:color="000000" w:sz="4" w:space="0"/>
              <w:bottom w:val="single" w:color="000000" w:sz="4" w:space="0"/>
              <w:right w:val="single" w:color="000000" w:sz="4" w:space="0"/>
            </w:tcBorders>
            <w:vAlign w:val="center"/>
          </w:tcPr>
          <w:p w14:paraId="26B722F8">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100F8510">
            <w:pPr>
              <w:spacing w:before="0" w:after="0" w:line="240" w:lineRule="auto"/>
              <w:jc w:val="center"/>
            </w:pPr>
            <w:r>
              <w:rPr>
                <w:rFonts w:ascii="宋体" w:hAnsi="宋体" w:eastAsia="宋体"/>
                <w:b w:val="0"/>
                <w:sz w:val="21"/>
              </w:rPr>
              <w:t>GB 29518—2013</w:t>
            </w:r>
          </w:p>
        </w:tc>
      </w:tr>
      <w:tr w14:paraId="3B45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72EEC121">
            <w:pPr>
              <w:spacing w:before="0" w:after="0" w:line="240" w:lineRule="auto"/>
              <w:jc w:val="center"/>
            </w:pPr>
            <w:r>
              <w:rPr>
                <w:rFonts w:ascii="宋体" w:hAnsi="宋体" w:eastAsia="宋体"/>
                <w:b w:val="0"/>
                <w:sz w:val="21"/>
              </w:rPr>
              <w:t>16</w:t>
            </w:r>
          </w:p>
        </w:tc>
        <w:tc>
          <w:tcPr>
            <w:tcW w:w="2872" w:type="dxa"/>
            <w:tcBorders>
              <w:top w:val="single" w:color="000000" w:sz="4" w:space="0"/>
              <w:left w:val="single" w:color="000000" w:sz="4" w:space="0"/>
              <w:bottom w:val="single" w:color="000000" w:sz="4" w:space="0"/>
              <w:right w:val="single" w:color="000000" w:sz="4" w:space="0"/>
            </w:tcBorders>
            <w:vAlign w:val="center"/>
          </w:tcPr>
          <w:p w14:paraId="5941BA20">
            <w:pPr>
              <w:spacing w:before="0" w:after="0" w:line="240" w:lineRule="auto"/>
              <w:jc w:val="center"/>
            </w:pPr>
            <w:r>
              <w:rPr>
                <w:rFonts w:ascii="宋体" w:hAnsi="宋体" w:eastAsia="宋体"/>
                <w:b w:val="0"/>
                <w:sz w:val="21"/>
              </w:rPr>
              <w:t>铜</w:t>
            </w:r>
          </w:p>
        </w:tc>
        <w:tc>
          <w:tcPr>
            <w:tcW w:w="1919" w:type="dxa"/>
            <w:tcBorders>
              <w:top w:val="single" w:color="000000" w:sz="4" w:space="0"/>
              <w:left w:val="single" w:color="000000" w:sz="4" w:space="0"/>
              <w:bottom w:val="single" w:color="000000" w:sz="4" w:space="0"/>
              <w:right w:val="single" w:color="000000" w:sz="4" w:space="0"/>
            </w:tcBorders>
            <w:vAlign w:val="center"/>
          </w:tcPr>
          <w:p w14:paraId="0D48D591">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58A02277">
            <w:pPr>
              <w:spacing w:before="0" w:after="0" w:line="240" w:lineRule="auto"/>
              <w:jc w:val="center"/>
            </w:pPr>
            <w:r>
              <w:rPr>
                <w:rFonts w:ascii="宋体" w:hAnsi="宋体" w:eastAsia="宋体"/>
                <w:b w:val="0"/>
                <w:sz w:val="21"/>
              </w:rPr>
              <w:t>GB 29518—2013</w:t>
            </w:r>
          </w:p>
        </w:tc>
      </w:tr>
      <w:tr w14:paraId="5EC4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784C7923">
            <w:pPr>
              <w:spacing w:before="0" w:after="0" w:line="240" w:lineRule="auto"/>
              <w:jc w:val="center"/>
            </w:pPr>
            <w:r>
              <w:rPr>
                <w:rFonts w:ascii="宋体" w:hAnsi="宋体" w:eastAsia="宋体"/>
                <w:b w:val="0"/>
                <w:sz w:val="21"/>
              </w:rPr>
              <w:t>17</w:t>
            </w:r>
          </w:p>
        </w:tc>
        <w:tc>
          <w:tcPr>
            <w:tcW w:w="2872" w:type="dxa"/>
            <w:tcBorders>
              <w:top w:val="single" w:color="000000" w:sz="4" w:space="0"/>
              <w:left w:val="single" w:color="000000" w:sz="4" w:space="0"/>
              <w:bottom w:val="single" w:color="000000" w:sz="4" w:space="0"/>
              <w:right w:val="single" w:color="000000" w:sz="4" w:space="0"/>
            </w:tcBorders>
            <w:vAlign w:val="center"/>
          </w:tcPr>
          <w:p w14:paraId="5C3D8BF1">
            <w:pPr>
              <w:spacing w:before="0" w:after="0" w:line="240" w:lineRule="auto"/>
              <w:jc w:val="center"/>
            </w:pPr>
            <w:r>
              <w:rPr>
                <w:rFonts w:ascii="宋体" w:hAnsi="宋体" w:eastAsia="宋体"/>
                <w:b w:val="0"/>
                <w:sz w:val="21"/>
              </w:rPr>
              <w:t>锌</w:t>
            </w:r>
          </w:p>
        </w:tc>
        <w:tc>
          <w:tcPr>
            <w:tcW w:w="1919" w:type="dxa"/>
            <w:tcBorders>
              <w:top w:val="single" w:color="000000" w:sz="4" w:space="0"/>
              <w:left w:val="single" w:color="000000" w:sz="4" w:space="0"/>
              <w:bottom w:val="single" w:color="000000" w:sz="4" w:space="0"/>
              <w:right w:val="single" w:color="000000" w:sz="4" w:space="0"/>
            </w:tcBorders>
            <w:vAlign w:val="center"/>
          </w:tcPr>
          <w:p w14:paraId="0F10B19F">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1995A89">
            <w:pPr>
              <w:spacing w:before="0" w:after="0" w:line="240" w:lineRule="auto"/>
              <w:jc w:val="center"/>
            </w:pPr>
            <w:r>
              <w:rPr>
                <w:rFonts w:ascii="宋体" w:hAnsi="宋体" w:eastAsia="宋体"/>
                <w:b w:val="0"/>
                <w:sz w:val="21"/>
              </w:rPr>
              <w:t>GB 29518—2013</w:t>
            </w:r>
          </w:p>
        </w:tc>
      </w:tr>
      <w:tr w14:paraId="75A1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559653A3">
            <w:pPr>
              <w:spacing w:before="0" w:after="0" w:line="240" w:lineRule="auto"/>
              <w:jc w:val="center"/>
            </w:pPr>
            <w:r>
              <w:rPr>
                <w:rFonts w:ascii="宋体" w:hAnsi="宋体" w:eastAsia="宋体"/>
                <w:b w:val="0"/>
                <w:sz w:val="21"/>
              </w:rPr>
              <w:t>18</w:t>
            </w:r>
          </w:p>
        </w:tc>
        <w:tc>
          <w:tcPr>
            <w:tcW w:w="2872" w:type="dxa"/>
            <w:tcBorders>
              <w:top w:val="single" w:color="000000" w:sz="4" w:space="0"/>
              <w:left w:val="single" w:color="000000" w:sz="4" w:space="0"/>
              <w:bottom w:val="single" w:color="000000" w:sz="4" w:space="0"/>
              <w:right w:val="single" w:color="000000" w:sz="4" w:space="0"/>
            </w:tcBorders>
            <w:vAlign w:val="center"/>
          </w:tcPr>
          <w:p w14:paraId="2C8616F7">
            <w:pPr>
              <w:spacing w:before="0" w:after="0" w:line="240" w:lineRule="auto"/>
              <w:jc w:val="center"/>
            </w:pPr>
            <w:r>
              <w:rPr>
                <w:rFonts w:ascii="宋体" w:hAnsi="宋体" w:eastAsia="宋体"/>
                <w:b w:val="0"/>
                <w:sz w:val="21"/>
              </w:rPr>
              <w:t>铝</w:t>
            </w:r>
          </w:p>
        </w:tc>
        <w:tc>
          <w:tcPr>
            <w:tcW w:w="1919" w:type="dxa"/>
            <w:tcBorders>
              <w:top w:val="single" w:color="000000" w:sz="4" w:space="0"/>
              <w:left w:val="single" w:color="000000" w:sz="4" w:space="0"/>
              <w:bottom w:val="single" w:color="000000" w:sz="4" w:space="0"/>
              <w:right w:val="single" w:color="000000" w:sz="4" w:space="0"/>
            </w:tcBorders>
            <w:vAlign w:val="center"/>
          </w:tcPr>
          <w:p w14:paraId="3C9874A2">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46F882B6">
            <w:pPr>
              <w:spacing w:before="0" w:after="0" w:line="240" w:lineRule="auto"/>
              <w:jc w:val="center"/>
            </w:pPr>
            <w:r>
              <w:rPr>
                <w:rFonts w:ascii="宋体" w:hAnsi="宋体" w:eastAsia="宋体"/>
                <w:b w:val="0"/>
                <w:sz w:val="21"/>
              </w:rPr>
              <w:t>GB 29518—2013</w:t>
            </w:r>
          </w:p>
        </w:tc>
      </w:tr>
      <w:tr w14:paraId="28EB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4AB01396">
            <w:pPr>
              <w:spacing w:before="0" w:after="0" w:line="240" w:lineRule="auto"/>
              <w:jc w:val="center"/>
            </w:pPr>
            <w:r>
              <w:rPr>
                <w:rFonts w:ascii="宋体" w:hAnsi="宋体" w:eastAsia="宋体"/>
                <w:b w:val="0"/>
                <w:sz w:val="21"/>
              </w:rPr>
              <w:t>19</w:t>
            </w:r>
          </w:p>
        </w:tc>
        <w:tc>
          <w:tcPr>
            <w:tcW w:w="2872" w:type="dxa"/>
            <w:tcBorders>
              <w:top w:val="single" w:color="000000" w:sz="4" w:space="0"/>
              <w:left w:val="single" w:color="000000" w:sz="4" w:space="0"/>
              <w:bottom w:val="single" w:color="000000" w:sz="4" w:space="0"/>
              <w:right w:val="single" w:color="000000" w:sz="4" w:space="0"/>
            </w:tcBorders>
            <w:vAlign w:val="center"/>
          </w:tcPr>
          <w:p w14:paraId="319A21FF">
            <w:pPr>
              <w:spacing w:before="0" w:after="0" w:line="240" w:lineRule="auto"/>
              <w:jc w:val="center"/>
            </w:pPr>
            <w:r>
              <w:rPr>
                <w:rFonts w:ascii="宋体" w:hAnsi="宋体" w:eastAsia="宋体"/>
                <w:b w:val="0"/>
                <w:sz w:val="21"/>
              </w:rPr>
              <w:t>一致性确认</w:t>
            </w:r>
          </w:p>
        </w:tc>
        <w:tc>
          <w:tcPr>
            <w:tcW w:w="1919" w:type="dxa"/>
            <w:tcBorders>
              <w:top w:val="single" w:color="000000" w:sz="4" w:space="0"/>
              <w:left w:val="single" w:color="000000" w:sz="4" w:space="0"/>
              <w:bottom w:val="single" w:color="000000" w:sz="4" w:space="0"/>
              <w:right w:val="single" w:color="000000" w:sz="4" w:space="0"/>
            </w:tcBorders>
            <w:vAlign w:val="center"/>
          </w:tcPr>
          <w:p w14:paraId="0A154149">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1850B818">
            <w:pPr>
              <w:spacing w:before="0" w:after="0" w:line="240" w:lineRule="auto"/>
              <w:jc w:val="center"/>
            </w:pPr>
            <w:r>
              <w:rPr>
                <w:rFonts w:ascii="宋体" w:hAnsi="宋体" w:eastAsia="宋体"/>
                <w:b w:val="0"/>
                <w:sz w:val="21"/>
              </w:rPr>
              <w:t>GB 29518—2013</w:t>
            </w:r>
          </w:p>
        </w:tc>
      </w:tr>
    </w:tbl>
    <w:p w14:paraId="5A733899"/>
    <w:p w14:paraId="279DE21F">
      <w:pPr>
        <w:spacing w:before="0" w:after="0" w:line="360" w:lineRule="auto"/>
        <w:ind w:firstLine="560" w:firstLineChars="200"/>
      </w:pPr>
      <w:r>
        <w:rPr>
          <w:rFonts w:ascii="宋体" w:hAnsi="宋体" w:eastAsia="宋体"/>
          <w:b w:val="0"/>
          <w:sz w:val="28"/>
        </w:rPr>
        <w:t>执行企业标准、团体标准、地方标准的产品，检验项目参照上述内容执行。</w:t>
      </w:r>
    </w:p>
    <w:p w14:paraId="4FC3CBFD">
      <w:pPr>
        <w:spacing w:before="0" w:after="0" w:line="360" w:lineRule="auto"/>
        <w:ind w:firstLine="560" w:firstLineChars="200"/>
      </w:pPr>
      <w:r>
        <w:rPr>
          <w:rFonts w:ascii="宋体" w:hAnsi="宋体" w:eastAsia="宋体"/>
          <w:b w:val="0"/>
          <w:sz w:val="28"/>
        </w:rPr>
        <w:t>凡注日期的文件，其随后所有的修改单（不包括勘误的内容）或修订版不适用于本细则。凡是不注日期的文件，其最新版本适用于本细则。</w:t>
      </w:r>
    </w:p>
    <w:p w14:paraId="388DCA22"/>
    <w:p w14:paraId="161A14BD">
      <w:pPr>
        <w:spacing w:before="0" w:after="0" w:line="360" w:lineRule="auto"/>
      </w:pPr>
      <w:r>
        <w:rPr>
          <w:rFonts w:ascii="黑体" w:hAnsi="黑体" w:eastAsia="黑体"/>
          <w:b/>
          <w:sz w:val="28"/>
        </w:rPr>
        <w:t>3 判定规则</w:t>
      </w:r>
    </w:p>
    <w:p w14:paraId="5387D968">
      <w:pPr>
        <w:spacing w:before="0" w:after="0" w:line="360" w:lineRule="auto"/>
      </w:pPr>
      <w:r>
        <w:rPr>
          <w:rFonts w:ascii="黑体" w:hAnsi="黑体" w:eastAsia="黑体"/>
          <w:b/>
          <w:sz w:val="28"/>
        </w:rPr>
        <w:t>3.1 依据标准</w:t>
      </w:r>
    </w:p>
    <w:p w14:paraId="42700CD9">
      <w:pPr>
        <w:spacing w:before="0" w:after="0" w:line="360" w:lineRule="auto"/>
      </w:pPr>
      <w:r>
        <w:rPr>
          <w:rFonts w:ascii="宋体" w:hAnsi="宋体" w:eastAsia="宋体"/>
          <w:b w:val="0"/>
          <w:sz w:val="28"/>
        </w:rPr>
        <w:t>GB 29518—2013 柴油发动机氮氧化物还原剂 尿素水溶液（AUS 32）</w:t>
      </w:r>
    </w:p>
    <w:p w14:paraId="5B675DD7">
      <w:pPr>
        <w:spacing w:before="0" w:after="0" w:line="360" w:lineRule="auto"/>
      </w:pPr>
      <w:r>
        <w:rPr>
          <w:rFonts w:ascii="宋体" w:hAnsi="宋体" w:eastAsia="宋体"/>
          <w:b w:val="0"/>
          <w:sz w:val="28"/>
        </w:rPr>
        <w:t>现行有效的企业标准、团体标准、地方标准及产品明示质量要求</w:t>
      </w:r>
    </w:p>
    <w:p w14:paraId="2C44EB50">
      <w:pPr>
        <w:spacing w:before="0" w:after="0" w:line="360" w:lineRule="auto"/>
        <w:rPr>
          <w:rFonts w:ascii="黑体" w:hAnsi="黑体" w:eastAsia="黑体"/>
          <w:b/>
          <w:sz w:val="28"/>
        </w:rPr>
      </w:pPr>
      <w:r>
        <w:rPr>
          <w:rFonts w:ascii="黑体" w:hAnsi="黑体" w:eastAsia="黑体"/>
          <w:b/>
          <w:sz w:val="28"/>
        </w:rPr>
        <w:t>3.2 判定原则</w:t>
      </w:r>
    </w:p>
    <w:p w14:paraId="4FA9B784">
      <w:pPr>
        <w:spacing w:before="0" w:after="0" w:line="360" w:lineRule="auto"/>
        <w:ind w:firstLine="560" w:firstLineChars="200"/>
      </w:pPr>
      <w:r>
        <w:rPr>
          <w:rFonts w:ascii="宋体" w:hAnsi="宋体" w:eastAsia="宋体"/>
          <w:b w:val="0"/>
          <w:sz w:val="28"/>
        </w:rPr>
        <w:t>经检验，检验项目全部合格，判定为被抽查产品所检项目未发现不合格；检验项目中任一项或一项以上不合格，判定为被抽查产品不合格。</w:t>
      </w:r>
    </w:p>
    <w:p w14:paraId="46D48E3C">
      <w:pPr>
        <w:spacing w:before="0" w:after="0" w:line="360" w:lineRule="auto"/>
        <w:ind w:firstLine="560" w:firstLineChars="200"/>
      </w:pPr>
      <w:r>
        <w:rPr>
          <w:rFonts w:ascii="宋体" w:hAnsi="宋体" w:eastAsia="宋体"/>
          <w:b w:val="0"/>
          <w:sz w:val="28"/>
        </w:rPr>
        <w:t>若检产品明示的质量要求高于本细则中检验项目依据的标准要求时，应按被检产品明示的质量要求判定。</w:t>
      </w:r>
    </w:p>
    <w:p w14:paraId="021C127F">
      <w:pPr>
        <w:spacing w:before="0" w:after="0" w:line="360" w:lineRule="auto"/>
        <w:ind w:firstLine="560" w:firstLineChars="200"/>
      </w:pPr>
      <w:r>
        <w:rPr>
          <w:rFonts w:ascii="宋体" w:hAnsi="宋体" w:eastAsia="宋体"/>
          <w:b w:val="0"/>
          <w:sz w:val="28"/>
        </w:rPr>
        <w:t>若检产品明示的质量要求低于本细则中检验项目依据的强制性标准要求时，应按照强制性标准要求判定。</w:t>
      </w:r>
    </w:p>
    <w:p w14:paraId="2BAAC9F8">
      <w:pPr>
        <w:spacing w:before="0" w:after="0" w:line="360" w:lineRule="auto"/>
        <w:ind w:firstLine="560" w:firstLineChars="200"/>
      </w:pPr>
      <w:r>
        <w:rPr>
          <w:rFonts w:ascii="宋体" w:hAnsi="宋体" w:eastAsia="宋体"/>
          <w:b w:val="0"/>
          <w:sz w:val="28"/>
        </w:rPr>
        <w:t>若检产品明示的质量要求低于或包含本细则中检验项目依据的推荐性标准要求时，应以被检产品明示的质量要求判定。</w:t>
      </w:r>
    </w:p>
    <w:p w14:paraId="574F0923">
      <w:pPr>
        <w:spacing w:before="0" w:after="0" w:line="360" w:lineRule="auto"/>
        <w:ind w:firstLine="560" w:firstLineChars="200"/>
      </w:pPr>
      <w:r>
        <w:rPr>
          <w:rFonts w:ascii="宋体" w:hAnsi="宋体" w:eastAsia="宋体"/>
          <w:b w:val="0"/>
          <w:sz w:val="28"/>
        </w:rPr>
        <w:t>若被检产品明示的质量要求缺少本细则中检验项目依据的强制性标准要求时，应按照强制性标准要求判定。</w:t>
      </w:r>
    </w:p>
    <w:p w14:paraId="5AD28582">
      <w:pPr>
        <w:spacing w:before="0" w:after="0" w:line="360" w:lineRule="auto"/>
        <w:ind w:firstLine="560" w:firstLineChars="200"/>
      </w:pPr>
      <w:r>
        <w:rPr>
          <w:rFonts w:ascii="宋体" w:hAnsi="宋体" w:eastAsia="宋体"/>
          <w:b w:val="0"/>
          <w:sz w:val="28"/>
        </w:rPr>
        <w:t>若检产品明示的质量要求缺少本细则中检验项目依据的推荐性标准要求时，该项目不参与判定。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C665E5-2718-4E31-9F07-14EB029E04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2" w:fontKey="{655FEFA4-E2BC-4A28-9764-CFE03D4DC7A5}"/>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embedRegular r:id="rId3" w:fontKey="{9E30329F-1C58-4D3A-A89A-2280C33BA1AE}"/>
  </w:font>
  <w:font w:name="仿宋">
    <w:panose1 w:val="02010609060101010101"/>
    <w:charset w:val="86"/>
    <w:family w:val="modern"/>
    <w:pitch w:val="default"/>
    <w:sig w:usb0="800002BF" w:usb1="38CF7CFA" w:usb2="00000016" w:usb3="00000000" w:csb0="00040001" w:csb1="00000000"/>
    <w:embedRegular r:id="rId4" w:fontKey="{56EDB983-A037-4CC6-BA04-F29B90A8C9AC}"/>
  </w:font>
  <w:font w:name="方正仿宋简体">
    <w:panose1 w:val="02000000000000000000"/>
    <w:charset w:val="86"/>
    <w:family w:val="script"/>
    <w:pitch w:val="default"/>
    <w:sig w:usb0="A00002BF" w:usb1="184F6CFA" w:usb2="00000012" w:usb3="00000000" w:csb0="00040001" w:csb1="00000000"/>
    <w:embedRegular r:id="rId5" w:fontKey="{181456E7-71E7-4EC0-A966-AE1504493842}"/>
  </w:font>
  <w:font w:name="ＭＳ 明朝">
    <w:altName w:val="Segoe Print"/>
    <w:panose1 w:val="00000000000000000000"/>
    <w:charset w:val="00"/>
    <w:family w:val="auto"/>
    <w:pitch w:val="default"/>
    <w:sig w:usb0="00000000" w:usb1="00000000" w:usb2="00000000" w:usb3="00000000" w:csb0="00000000" w:csb1="00000000"/>
    <w:embedRegular r:id="rId6" w:fontKey="{EE12FF95-DDFF-409F-9AA9-25104CB21F24}"/>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D2B64A6"/>
    <w:rsid w:val="23BE7487"/>
    <w:rsid w:val="2B242E50"/>
    <w:rsid w:val="43CA4B6B"/>
    <w:rsid w:val="49181124"/>
    <w:rsid w:val="649A689F"/>
    <w:rsid w:val="6558262B"/>
    <w:rsid w:val="6BD43A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871</Words>
  <Characters>1241</Characters>
  <Lines>0</Lines>
  <Paragraphs>0</Paragraphs>
  <TotalTime>1</TotalTime>
  <ScaleCrop>false</ScaleCrop>
  <LinksUpToDate>false</LinksUpToDate>
  <CharactersWithSpaces>1291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mkc</cp:lastModifiedBy>
  <dcterms:modified xsi:type="dcterms:W3CDTF">2026-05-19T08:32:03Z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eyJoZGlkIjoiYjY4NzJiMmUyOGZlYTE0MWUxOTMyMzBlY2I1OGIwZDEiLCJ1c2VySWQiOiI0Njg4MTMxNDQifQ==</vt:lpwstr>
  </property>
  <property fmtid="{D5CDD505-2E9C-101B-9397-08002B2CF9AE}" pid="3" name="KSOProductBuildVer">
    <vt:lpwstr>2052-12.1.0.26375</vt:lpwstr>
  </property>
  <property fmtid="{D5CDD505-2E9C-101B-9397-08002B2CF9AE}" pid="4" name="ICV">
    <vt:lpwstr>EBD93FDA20764F1BA827EE727621FE7C_13</vt:lpwstr>
  </property>
</Properties>
</file>