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大兴区电动自行车充电器</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个，</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个为检验用样品，另</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个为备用样品。</w:t>
      </w: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679"/>
        <w:gridCol w:w="1406"/>
        <w:gridCol w:w="2111"/>
        <w:gridCol w:w="2292"/>
        <w:gridCol w:w="1864"/>
      </w:tblGrid>
      <w:tr w14:paraId="7E9C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blHeader/>
          <w:jc w:val="center"/>
        </w:trPr>
        <w:tc>
          <w:tcPr>
            <w:tcW w:w="703" w:type="dxa"/>
            <w:noWrap w:val="0"/>
            <w:vAlign w:val="center"/>
          </w:tcPr>
          <w:p w14:paraId="19E5C60E">
            <w:pPr>
              <w:snapToGrid w:val="0"/>
              <w:spacing w:line="440" w:lineRule="exact"/>
              <w:jc w:val="center"/>
              <w:rPr>
                <w:bCs/>
                <w:szCs w:val="21"/>
              </w:rPr>
            </w:pPr>
            <w:r>
              <w:rPr>
                <w:bCs/>
                <w:szCs w:val="21"/>
              </w:rPr>
              <w:t>序号</w:t>
            </w:r>
          </w:p>
        </w:tc>
        <w:tc>
          <w:tcPr>
            <w:tcW w:w="2085" w:type="dxa"/>
            <w:gridSpan w:val="2"/>
            <w:noWrap w:val="0"/>
            <w:vAlign w:val="center"/>
          </w:tcPr>
          <w:p w14:paraId="276EF42E">
            <w:pPr>
              <w:snapToGrid w:val="0"/>
              <w:spacing w:line="440" w:lineRule="exact"/>
              <w:jc w:val="center"/>
              <w:rPr>
                <w:bCs/>
                <w:szCs w:val="21"/>
              </w:rPr>
            </w:pPr>
            <w:r>
              <w:rPr>
                <w:bCs/>
                <w:szCs w:val="21"/>
              </w:rPr>
              <w:t>检验项目</w:t>
            </w:r>
          </w:p>
        </w:tc>
        <w:tc>
          <w:tcPr>
            <w:tcW w:w="2111" w:type="dxa"/>
            <w:noWrap w:val="0"/>
            <w:vAlign w:val="center"/>
          </w:tcPr>
          <w:p w14:paraId="023737FB">
            <w:pPr>
              <w:snapToGrid w:val="0"/>
              <w:spacing w:line="440" w:lineRule="exact"/>
              <w:jc w:val="center"/>
              <w:rPr>
                <w:bCs/>
                <w:szCs w:val="21"/>
              </w:rPr>
            </w:pPr>
            <w:r>
              <w:rPr>
                <w:bCs/>
                <w:szCs w:val="21"/>
              </w:rPr>
              <w:t>检验依据</w:t>
            </w:r>
          </w:p>
        </w:tc>
        <w:tc>
          <w:tcPr>
            <w:tcW w:w="2292" w:type="dxa"/>
            <w:noWrap w:val="0"/>
            <w:vAlign w:val="center"/>
          </w:tcPr>
          <w:p w14:paraId="48E8ECB0">
            <w:pPr>
              <w:snapToGrid w:val="0"/>
              <w:spacing w:line="440" w:lineRule="exact"/>
              <w:jc w:val="center"/>
              <w:rPr>
                <w:bCs/>
                <w:szCs w:val="21"/>
              </w:rPr>
            </w:pPr>
            <w:r>
              <w:rPr>
                <w:bCs/>
                <w:szCs w:val="21"/>
              </w:rPr>
              <w:t>检验方法</w:t>
            </w:r>
          </w:p>
        </w:tc>
        <w:tc>
          <w:tcPr>
            <w:tcW w:w="1864" w:type="dxa"/>
            <w:noWrap w:val="0"/>
            <w:vAlign w:val="center"/>
          </w:tcPr>
          <w:p w14:paraId="5B2162AB">
            <w:pPr>
              <w:snapToGrid w:val="0"/>
              <w:spacing w:line="440" w:lineRule="exact"/>
              <w:jc w:val="center"/>
              <w:rPr>
                <w:bCs/>
                <w:szCs w:val="21"/>
              </w:rPr>
            </w:pPr>
            <w:r>
              <w:rPr>
                <w:bCs/>
                <w:szCs w:val="21"/>
              </w:rPr>
              <w:t>备注</w:t>
            </w:r>
          </w:p>
        </w:tc>
      </w:tr>
      <w:tr w14:paraId="711E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6542F416">
            <w:pPr>
              <w:widowControl/>
              <w:jc w:val="center"/>
              <w:textAlignment w:val="center"/>
              <w:rPr>
                <w:rFonts w:hint="eastAsia" w:eastAsiaTheme="minorEastAsia"/>
                <w:kern w:val="0"/>
                <w:szCs w:val="21"/>
                <w:lang w:val="en-US" w:eastAsia="zh-CN" w:bidi="ar"/>
              </w:rPr>
            </w:pPr>
            <w:r>
              <w:rPr>
                <w:rFonts w:hint="eastAsia"/>
                <w:kern w:val="0"/>
                <w:szCs w:val="21"/>
                <w:lang w:val="en-US" w:eastAsia="zh-CN" w:bidi="ar"/>
              </w:rPr>
              <w:t>1</w:t>
            </w:r>
          </w:p>
        </w:tc>
        <w:tc>
          <w:tcPr>
            <w:tcW w:w="2085" w:type="dxa"/>
            <w:gridSpan w:val="2"/>
            <w:noWrap w:val="0"/>
            <w:vAlign w:val="center"/>
          </w:tcPr>
          <w:p w14:paraId="74D38B8C">
            <w:pPr>
              <w:widowControl/>
              <w:jc w:val="center"/>
              <w:textAlignment w:val="center"/>
              <w:rPr>
                <w:rFonts w:hint="eastAsia" w:eastAsiaTheme="minorEastAsia"/>
                <w:kern w:val="0"/>
                <w:lang w:eastAsia="zh-CN" w:bidi="ar"/>
              </w:rPr>
            </w:pPr>
            <w:r>
              <w:rPr>
                <w:rFonts w:hint="eastAsia"/>
                <w:kern w:val="0"/>
                <w:lang w:eastAsia="zh-CN" w:bidi="ar"/>
              </w:rPr>
              <w:t>外壳冲击</w:t>
            </w:r>
          </w:p>
        </w:tc>
        <w:tc>
          <w:tcPr>
            <w:tcW w:w="2111" w:type="dxa"/>
            <w:noWrap w:val="0"/>
            <w:vAlign w:val="center"/>
          </w:tcPr>
          <w:p w14:paraId="730C2E29">
            <w:pPr>
              <w:widowControl/>
              <w:jc w:val="center"/>
              <w:textAlignment w:val="center"/>
              <w:rPr>
                <w:kern w:val="0"/>
                <w:lang w:bidi="ar"/>
              </w:rPr>
            </w:pPr>
            <w:r>
              <w:rPr>
                <w:rFonts w:hint="eastAsia"/>
                <w:kern w:val="0"/>
                <w:lang w:val="en-US" w:eastAsia="zh-CN" w:bidi="ar"/>
              </w:rPr>
              <w:t>GB 42296—2022</w:t>
            </w:r>
          </w:p>
        </w:tc>
        <w:tc>
          <w:tcPr>
            <w:tcW w:w="2292" w:type="dxa"/>
            <w:noWrap w:val="0"/>
            <w:vAlign w:val="center"/>
          </w:tcPr>
          <w:p w14:paraId="1F7F2BCA">
            <w:pPr>
              <w:widowControl/>
              <w:jc w:val="center"/>
              <w:textAlignment w:val="center"/>
              <w:rPr>
                <w:kern w:val="0"/>
                <w:lang w:bidi="ar"/>
              </w:rPr>
            </w:pPr>
            <w:r>
              <w:rPr>
                <w:rFonts w:hint="eastAsia"/>
                <w:kern w:val="0"/>
                <w:lang w:val="en-US" w:eastAsia="zh-CN" w:bidi="ar"/>
              </w:rPr>
              <w:t>GB 42296—2022</w:t>
            </w:r>
          </w:p>
        </w:tc>
        <w:tc>
          <w:tcPr>
            <w:tcW w:w="1864" w:type="dxa"/>
            <w:noWrap w:val="0"/>
            <w:vAlign w:val="center"/>
          </w:tcPr>
          <w:p w14:paraId="352830FD">
            <w:pPr>
              <w:jc w:val="left"/>
              <w:rPr>
                <w:rFonts w:hint="eastAsia"/>
              </w:rPr>
            </w:pPr>
          </w:p>
        </w:tc>
      </w:tr>
      <w:tr w14:paraId="1B49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6969B6D1">
            <w:pPr>
              <w:widowControl/>
              <w:jc w:val="center"/>
              <w:textAlignment w:val="center"/>
              <w:rPr>
                <w:rFonts w:hint="eastAsia" w:eastAsiaTheme="minorEastAsia"/>
                <w:kern w:val="0"/>
                <w:szCs w:val="21"/>
                <w:lang w:eastAsia="zh-CN" w:bidi="ar"/>
              </w:rPr>
            </w:pPr>
            <w:r>
              <w:rPr>
                <w:rFonts w:hint="eastAsia"/>
                <w:kern w:val="0"/>
                <w:szCs w:val="21"/>
                <w:lang w:val="en-US" w:eastAsia="zh-CN" w:bidi="ar"/>
              </w:rPr>
              <w:t>2</w:t>
            </w:r>
          </w:p>
        </w:tc>
        <w:tc>
          <w:tcPr>
            <w:tcW w:w="2085" w:type="dxa"/>
            <w:gridSpan w:val="2"/>
            <w:noWrap w:val="0"/>
            <w:vAlign w:val="center"/>
          </w:tcPr>
          <w:p w14:paraId="41AA901A">
            <w:pPr>
              <w:widowControl/>
              <w:jc w:val="center"/>
              <w:textAlignment w:val="center"/>
              <w:rPr>
                <w:kern w:val="0"/>
                <w:lang w:bidi="ar"/>
              </w:rPr>
            </w:pPr>
            <w:r>
              <w:rPr>
                <w:rFonts w:hint="eastAsia"/>
                <w:kern w:val="0"/>
                <w:lang w:bidi="ar"/>
              </w:rPr>
              <w:t>跌落</w:t>
            </w:r>
          </w:p>
        </w:tc>
        <w:tc>
          <w:tcPr>
            <w:tcW w:w="2111" w:type="dxa"/>
            <w:noWrap w:val="0"/>
            <w:vAlign w:val="center"/>
          </w:tcPr>
          <w:p w14:paraId="787C37B2">
            <w:pPr>
              <w:widowControl/>
              <w:jc w:val="center"/>
              <w:textAlignment w:val="center"/>
              <w:rPr>
                <w:kern w:val="0"/>
                <w:lang w:bidi="ar"/>
              </w:rPr>
            </w:pPr>
            <w:r>
              <w:rPr>
                <w:kern w:val="0"/>
                <w:lang w:bidi="ar"/>
              </w:rPr>
              <w:t>GB 42296—2022</w:t>
            </w:r>
          </w:p>
        </w:tc>
        <w:tc>
          <w:tcPr>
            <w:tcW w:w="2292" w:type="dxa"/>
            <w:noWrap w:val="0"/>
            <w:vAlign w:val="center"/>
          </w:tcPr>
          <w:p w14:paraId="4C0DC3E9">
            <w:pPr>
              <w:widowControl/>
              <w:jc w:val="center"/>
              <w:textAlignment w:val="center"/>
              <w:rPr>
                <w:kern w:val="0"/>
                <w:lang w:bidi="ar"/>
              </w:rPr>
            </w:pPr>
            <w:r>
              <w:rPr>
                <w:kern w:val="0"/>
                <w:lang w:bidi="ar"/>
              </w:rPr>
              <w:t>GB 42296—2022</w:t>
            </w:r>
          </w:p>
        </w:tc>
        <w:tc>
          <w:tcPr>
            <w:tcW w:w="1864" w:type="dxa"/>
            <w:noWrap w:val="0"/>
            <w:vAlign w:val="center"/>
          </w:tcPr>
          <w:p w14:paraId="12E15EEB">
            <w:pPr>
              <w:jc w:val="left"/>
              <w:rPr>
                <w:szCs w:val="21"/>
              </w:rPr>
            </w:pPr>
            <w:r>
              <w:rPr>
                <w:rFonts w:hint="eastAsia"/>
              </w:rPr>
              <w:t>考核跌落后的对触及带电件的防护和电气强度</w:t>
            </w:r>
          </w:p>
        </w:tc>
      </w:tr>
      <w:tr w14:paraId="6BBD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532E036F">
            <w:pPr>
              <w:jc w:val="center"/>
              <w:rPr>
                <w:szCs w:val="21"/>
              </w:rPr>
            </w:pPr>
            <w:r>
              <w:rPr>
                <w:szCs w:val="21"/>
              </w:rPr>
              <w:t>3</w:t>
            </w:r>
          </w:p>
        </w:tc>
        <w:tc>
          <w:tcPr>
            <w:tcW w:w="2085" w:type="dxa"/>
            <w:gridSpan w:val="2"/>
            <w:noWrap w:val="0"/>
            <w:vAlign w:val="center"/>
          </w:tcPr>
          <w:p w14:paraId="1A798B95">
            <w:pPr>
              <w:widowControl/>
              <w:jc w:val="center"/>
              <w:textAlignment w:val="center"/>
              <w:rPr>
                <w:szCs w:val="21"/>
              </w:rPr>
            </w:pPr>
            <w:r>
              <w:rPr>
                <w:kern w:val="0"/>
                <w:szCs w:val="21"/>
                <w:lang w:bidi="ar"/>
              </w:rPr>
              <w:t>工作温度下的泄漏电流</w:t>
            </w:r>
          </w:p>
        </w:tc>
        <w:tc>
          <w:tcPr>
            <w:tcW w:w="2111" w:type="dxa"/>
            <w:noWrap w:val="0"/>
            <w:vAlign w:val="center"/>
          </w:tcPr>
          <w:p w14:paraId="788E1C58">
            <w:pPr>
              <w:widowControl/>
              <w:jc w:val="center"/>
              <w:textAlignment w:val="center"/>
              <w:rPr>
                <w:kern w:val="0"/>
                <w:szCs w:val="21"/>
                <w:lang w:bidi="ar"/>
              </w:rPr>
            </w:pPr>
            <w:r>
              <w:rPr>
                <w:kern w:val="0"/>
                <w:szCs w:val="21"/>
                <w:lang w:bidi="ar"/>
              </w:rPr>
              <w:t>GB 42296—2022</w:t>
            </w:r>
          </w:p>
        </w:tc>
        <w:tc>
          <w:tcPr>
            <w:tcW w:w="2292" w:type="dxa"/>
            <w:noWrap w:val="0"/>
            <w:vAlign w:val="center"/>
          </w:tcPr>
          <w:p w14:paraId="2662D314">
            <w:pPr>
              <w:widowControl/>
              <w:jc w:val="center"/>
              <w:textAlignment w:val="center"/>
              <w:rPr>
                <w:kern w:val="0"/>
                <w:szCs w:val="21"/>
                <w:lang w:bidi="ar"/>
              </w:rPr>
            </w:pPr>
            <w:r>
              <w:rPr>
                <w:kern w:val="0"/>
                <w:szCs w:val="21"/>
                <w:lang w:bidi="ar"/>
              </w:rPr>
              <w:t>GB 42296—2022</w:t>
            </w:r>
          </w:p>
        </w:tc>
        <w:tc>
          <w:tcPr>
            <w:tcW w:w="1864" w:type="dxa"/>
            <w:noWrap w:val="0"/>
            <w:vAlign w:val="center"/>
          </w:tcPr>
          <w:p w14:paraId="4AADE50F">
            <w:pPr>
              <w:jc w:val="left"/>
              <w:rPr>
                <w:szCs w:val="21"/>
              </w:rPr>
            </w:pPr>
          </w:p>
        </w:tc>
      </w:tr>
      <w:tr w14:paraId="7AA3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703" w:type="dxa"/>
            <w:noWrap w:val="0"/>
            <w:vAlign w:val="center"/>
          </w:tcPr>
          <w:p w14:paraId="78815720">
            <w:pPr>
              <w:jc w:val="center"/>
              <w:rPr>
                <w:szCs w:val="21"/>
              </w:rPr>
            </w:pPr>
            <w:r>
              <w:rPr>
                <w:szCs w:val="21"/>
              </w:rPr>
              <w:t>4</w:t>
            </w:r>
          </w:p>
        </w:tc>
        <w:tc>
          <w:tcPr>
            <w:tcW w:w="2085" w:type="dxa"/>
            <w:gridSpan w:val="2"/>
            <w:noWrap w:val="0"/>
            <w:vAlign w:val="center"/>
          </w:tcPr>
          <w:p w14:paraId="4F50AD6F">
            <w:pPr>
              <w:widowControl/>
              <w:jc w:val="center"/>
              <w:textAlignment w:val="center"/>
              <w:rPr>
                <w:szCs w:val="21"/>
              </w:rPr>
            </w:pPr>
            <w:r>
              <w:rPr>
                <w:kern w:val="0"/>
                <w:szCs w:val="21"/>
                <w:lang w:bidi="ar"/>
              </w:rPr>
              <w:t>电气强度</w:t>
            </w:r>
          </w:p>
        </w:tc>
        <w:tc>
          <w:tcPr>
            <w:tcW w:w="2111" w:type="dxa"/>
            <w:noWrap w:val="0"/>
            <w:vAlign w:val="center"/>
          </w:tcPr>
          <w:p w14:paraId="34E293FA">
            <w:pPr>
              <w:widowControl/>
              <w:jc w:val="center"/>
              <w:textAlignment w:val="center"/>
              <w:rPr>
                <w:kern w:val="0"/>
                <w:szCs w:val="21"/>
                <w:lang w:bidi="ar"/>
              </w:rPr>
            </w:pPr>
            <w:r>
              <w:rPr>
                <w:kern w:val="0"/>
                <w:szCs w:val="21"/>
                <w:lang w:bidi="ar"/>
              </w:rPr>
              <w:t>GB 42296—2022</w:t>
            </w:r>
          </w:p>
        </w:tc>
        <w:tc>
          <w:tcPr>
            <w:tcW w:w="2292" w:type="dxa"/>
            <w:noWrap w:val="0"/>
            <w:vAlign w:val="center"/>
          </w:tcPr>
          <w:p w14:paraId="6A75E73C">
            <w:pPr>
              <w:widowControl/>
              <w:jc w:val="center"/>
              <w:textAlignment w:val="center"/>
              <w:rPr>
                <w:kern w:val="0"/>
                <w:szCs w:val="21"/>
                <w:lang w:bidi="ar"/>
              </w:rPr>
            </w:pPr>
            <w:r>
              <w:rPr>
                <w:kern w:val="0"/>
                <w:szCs w:val="21"/>
                <w:lang w:bidi="ar"/>
              </w:rPr>
              <w:t>GB 42296—2022</w:t>
            </w:r>
          </w:p>
        </w:tc>
        <w:tc>
          <w:tcPr>
            <w:tcW w:w="1864" w:type="dxa"/>
            <w:noWrap w:val="0"/>
            <w:vAlign w:val="center"/>
          </w:tcPr>
          <w:p w14:paraId="5136038F">
            <w:pPr>
              <w:jc w:val="left"/>
              <w:rPr>
                <w:szCs w:val="21"/>
              </w:rPr>
            </w:pPr>
          </w:p>
        </w:tc>
      </w:tr>
      <w:tr w14:paraId="3F40B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0B7FD5F6">
            <w:pPr>
              <w:jc w:val="center"/>
              <w:rPr>
                <w:szCs w:val="21"/>
              </w:rPr>
            </w:pPr>
            <w:r>
              <w:rPr>
                <w:szCs w:val="21"/>
              </w:rPr>
              <w:t>5</w:t>
            </w:r>
          </w:p>
        </w:tc>
        <w:tc>
          <w:tcPr>
            <w:tcW w:w="2085" w:type="dxa"/>
            <w:gridSpan w:val="2"/>
            <w:noWrap w:val="0"/>
            <w:vAlign w:val="center"/>
          </w:tcPr>
          <w:p w14:paraId="7840DBCC">
            <w:pPr>
              <w:widowControl/>
              <w:jc w:val="center"/>
              <w:textAlignment w:val="center"/>
              <w:rPr>
                <w:szCs w:val="21"/>
              </w:rPr>
            </w:pPr>
            <w:r>
              <w:rPr>
                <w:kern w:val="0"/>
                <w:szCs w:val="21"/>
                <w:lang w:bidi="ar"/>
              </w:rPr>
              <w:t>防触电保护</w:t>
            </w:r>
          </w:p>
        </w:tc>
        <w:tc>
          <w:tcPr>
            <w:tcW w:w="2111" w:type="dxa"/>
            <w:noWrap w:val="0"/>
            <w:vAlign w:val="center"/>
          </w:tcPr>
          <w:p w14:paraId="00DED666">
            <w:pPr>
              <w:widowControl/>
              <w:jc w:val="center"/>
              <w:textAlignment w:val="center"/>
              <w:rPr>
                <w:kern w:val="0"/>
                <w:szCs w:val="21"/>
                <w:lang w:bidi="ar"/>
              </w:rPr>
            </w:pPr>
            <w:r>
              <w:rPr>
                <w:kern w:val="0"/>
                <w:szCs w:val="21"/>
                <w:lang w:bidi="ar"/>
              </w:rPr>
              <w:t>GB 42296—2022</w:t>
            </w:r>
          </w:p>
        </w:tc>
        <w:tc>
          <w:tcPr>
            <w:tcW w:w="2292" w:type="dxa"/>
            <w:noWrap w:val="0"/>
            <w:vAlign w:val="center"/>
          </w:tcPr>
          <w:p w14:paraId="360B5386">
            <w:pPr>
              <w:widowControl/>
              <w:jc w:val="center"/>
              <w:textAlignment w:val="center"/>
              <w:rPr>
                <w:kern w:val="0"/>
                <w:szCs w:val="21"/>
                <w:lang w:bidi="ar"/>
              </w:rPr>
            </w:pPr>
            <w:r>
              <w:rPr>
                <w:kern w:val="0"/>
                <w:szCs w:val="21"/>
                <w:lang w:bidi="ar"/>
              </w:rPr>
              <w:t>GB 42296—2022</w:t>
            </w:r>
          </w:p>
          <w:p w14:paraId="71EEDCD0">
            <w:pPr>
              <w:widowControl/>
              <w:jc w:val="center"/>
              <w:textAlignment w:val="center"/>
              <w:rPr>
                <w:kern w:val="0"/>
                <w:szCs w:val="21"/>
                <w:lang w:bidi="ar"/>
              </w:rPr>
            </w:pPr>
            <w:r>
              <w:rPr>
                <w:kern w:val="0"/>
                <w:szCs w:val="21"/>
                <w:lang w:bidi="ar"/>
              </w:rPr>
              <w:t>GB 4706.1—2005</w:t>
            </w:r>
          </w:p>
        </w:tc>
        <w:tc>
          <w:tcPr>
            <w:tcW w:w="1864" w:type="dxa"/>
            <w:noWrap w:val="0"/>
            <w:vAlign w:val="center"/>
          </w:tcPr>
          <w:p w14:paraId="79D2785C">
            <w:pPr>
              <w:jc w:val="left"/>
              <w:rPr>
                <w:szCs w:val="21"/>
              </w:rPr>
            </w:pPr>
          </w:p>
        </w:tc>
      </w:tr>
      <w:tr w14:paraId="0C35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149B5530">
            <w:pPr>
              <w:jc w:val="center"/>
              <w:rPr>
                <w:szCs w:val="21"/>
              </w:rPr>
            </w:pPr>
            <w:r>
              <w:rPr>
                <w:szCs w:val="21"/>
              </w:rPr>
              <w:t>6</w:t>
            </w:r>
          </w:p>
        </w:tc>
        <w:tc>
          <w:tcPr>
            <w:tcW w:w="2085" w:type="dxa"/>
            <w:gridSpan w:val="2"/>
            <w:noWrap w:val="0"/>
            <w:vAlign w:val="center"/>
          </w:tcPr>
          <w:p w14:paraId="779CC518">
            <w:pPr>
              <w:widowControl/>
              <w:jc w:val="center"/>
              <w:textAlignment w:val="center"/>
              <w:rPr>
                <w:szCs w:val="21"/>
              </w:rPr>
            </w:pPr>
            <w:r>
              <w:rPr>
                <w:kern w:val="0"/>
                <w:szCs w:val="21"/>
                <w:lang w:bidi="ar"/>
              </w:rPr>
              <w:t>风扇堵转</w:t>
            </w:r>
          </w:p>
        </w:tc>
        <w:tc>
          <w:tcPr>
            <w:tcW w:w="2111" w:type="dxa"/>
            <w:noWrap w:val="0"/>
            <w:vAlign w:val="center"/>
          </w:tcPr>
          <w:p w14:paraId="5C4BBC1F">
            <w:pPr>
              <w:widowControl/>
              <w:jc w:val="center"/>
              <w:textAlignment w:val="center"/>
              <w:rPr>
                <w:kern w:val="0"/>
                <w:szCs w:val="21"/>
                <w:lang w:bidi="ar"/>
              </w:rPr>
            </w:pPr>
            <w:r>
              <w:rPr>
                <w:kern w:val="0"/>
                <w:szCs w:val="21"/>
                <w:lang w:bidi="ar"/>
              </w:rPr>
              <w:t>GB 42296—2022</w:t>
            </w:r>
          </w:p>
        </w:tc>
        <w:tc>
          <w:tcPr>
            <w:tcW w:w="2292" w:type="dxa"/>
            <w:noWrap w:val="0"/>
            <w:vAlign w:val="center"/>
          </w:tcPr>
          <w:p w14:paraId="684C6724">
            <w:pPr>
              <w:widowControl/>
              <w:jc w:val="center"/>
              <w:textAlignment w:val="center"/>
              <w:rPr>
                <w:kern w:val="0"/>
                <w:szCs w:val="21"/>
                <w:lang w:bidi="ar"/>
              </w:rPr>
            </w:pPr>
            <w:r>
              <w:rPr>
                <w:kern w:val="0"/>
                <w:szCs w:val="21"/>
                <w:lang w:bidi="ar"/>
              </w:rPr>
              <w:t>GB 42296—2022</w:t>
            </w:r>
          </w:p>
        </w:tc>
        <w:tc>
          <w:tcPr>
            <w:tcW w:w="1864" w:type="dxa"/>
            <w:noWrap w:val="0"/>
            <w:vAlign w:val="center"/>
          </w:tcPr>
          <w:p w14:paraId="068D6750">
            <w:pPr>
              <w:jc w:val="left"/>
              <w:rPr>
                <w:szCs w:val="21"/>
              </w:rPr>
            </w:pPr>
          </w:p>
        </w:tc>
      </w:tr>
      <w:tr w14:paraId="2922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38B37A13">
            <w:pPr>
              <w:jc w:val="center"/>
              <w:rPr>
                <w:szCs w:val="21"/>
              </w:rPr>
            </w:pPr>
            <w:r>
              <w:rPr>
                <w:szCs w:val="21"/>
              </w:rPr>
              <w:t>7</w:t>
            </w:r>
          </w:p>
        </w:tc>
        <w:tc>
          <w:tcPr>
            <w:tcW w:w="2085" w:type="dxa"/>
            <w:gridSpan w:val="2"/>
            <w:noWrap w:val="0"/>
            <w:vAlign w:val="center"/>
          </w:tcPr>
          <w:p w14:paraId="714B88AF">
            <w:pPr>
              <w:widowControl/>
              <w:jc w:val="center"/>
              <w:textAlignment w:val="center"/>
              <w:rPr>
                <w:szCs w:val="21"/>
              </w:rPr>
            </w:pPr>
            <w:r>
              <w:rPr>
                <w:kern w:val="0"/>
                <w:szCs w:val="21"/>
                <w:lang w:bidi="ar"/>
              </w:rPr>
              <w:t>熔断器</w:t>
            </w:r>
          </w:p>
        </w:tc>
        <w:tc>
          <w:tcPr>
            <w:tcW w:w="2111" w:type="dxa"/>
            <w:noWrap w:val="0"/>
            <w:vAlign w:val="center"/>
          </w:tcPr>
          <w:p w14:paraId="21E16227">
            <w:pPr>
              <w:widowControl/>
              <w:jc w:val="center"/>
              <w:textAlignment w:val="center"/>
              <w:rPr>
                <w:kern w:val="0"/>
                <w:szCs w:val="21"/>
                <w:lang w:bidi="ar"/>
              </w:rPr>
            </w:pPr>
            <w:r>
              <w:rPr>
                <w:kern w:val="0"/>
                <w:szCs w:val="21"/>
                <w:lang w:bidi="ar"/>
              </w:rPr>
              <w:t>GB 42296—2022</w:t>
            </w:r>
          </w:p>
        </w:tc>
        <w:tc>
          <w:tcPr>
            <w:tcW w:w="2292" w:type="dxa"/>
            <w:noWrap w:val="0"/>
            <w:vAlign w:val="center"/>
          </w:tcPr>
          <w:p w14:paraId="69B8F988">
            <w:pPr>
              <w:widowControl/>
              <w:jc w:val="center"/>
              <w:textAlignment w:val="center"/>
              <w:rPr>
                <w:kern w:val="0"/>
                <w:szCs w:val="21"/>
                <w:lang w:bidi="ar"/>
              </w:rPr>
            </w:pPr>
            <w:r>
              <w:rPr>
                <w:kern w:val="0"/>
                <w:szCs w:val="21"/>
                <w:lang w:bidi="ar"/>
              </w:rPr>
              <w:t>GB 42296—2022</w:t>
            </w:r>
          </w:p>
        </w:tc>
        <w:tc>
          <w:tcPr>
            <w:tcW w:w="1864" w:type="dxa"/>
            <w:noWrap w:val="0"/>
            <w:vAlign w:val="center"/>
          </w:tcPr>
          <w:p w14:paraId="4CC3F6CD">
            <w:pPr>
              <w:jc w:val="left"/>
              <w:rPr>
                <w:szCs w:val="21"/>
              </w:rPr>
            </w:pPr>
          </w:p>
        </w:tc>
      </w:tr>
      <w:tr w14:paraId="78E4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vMerge w:val="restart"/>
            <w:shd w:val="clear"/>
            <w:noWrap w:val="0"/>
            <w:vAlign w:val="center"/>
          </w:tcPr>
          <w:p w14:paraId="4B1CF6D9">
            <w:pPr>
              <w:jc w:val="center"/>
              <w:rPr>
                <w:color w:val="auto"/>
                <w:szCs w:val="21"/>
              </w:rPr>
            </w:pPr>
            <w:r>
              <w:rPr>
                <w:rFonts w:hint="eastAsia"/>
                <w:color w:val="auto"/>
                <w:szCs w:val="21"/>
                <w:lang w:val="en-US" w:eastAsia="zh-CN"/>
              </w:rPr>
              <w:t>8</w:t>
            </w:r>
          </w:p>
        </w:tc>
        <w:tc>
          <w:tcPr>
            <w:tcW w:w="679" w:type="dxa"/>
            <w:vMerge w:val="restart"/>
            <w:shd w:val="clear"/>
            <w:noWrap w:val="0"/>
            <w:vAlign w:val="center"/>
          </w:tcPr>
          <w:p w14:paraId="234566ED">
            <w:pPr>
              <w:widowControl/>
              <w:jc w:val="center"/>
              <w:textAlignment w:val="center"/>
              <w:rPr>
                <w:color w:val="auto"/>
                <w:kern w:val="0"/>
                <w:szCs w:val="21"/>
                <w:lang w:bidi="ar"/>
              </w:rPr>
            </w:pPr>
            <w:r>
              <w:rPr>
                <w:color w:val="auto"/>
                <w:kern w:val="0"/>
                <w:szCs w:val="21"/>
                <w:lang w:bidi="ar"/>
              </w:rPr>
              <w:t>充电参数</w:t>
            </w:r>
          </w:p>
        </w:tc>
        <w:tc>
          <w:tcPr>
            <w:tcW w:w="1406" w:type="dxa"/>
            <w:shd w:val="clear"/>
            <w:noWrap w:val="0"/>
            <w:vAlign w:val="center"/>
          </w:tcPr>
          <w:p w14:paraId="500EFC79">
            <w:pPr>
              <w:widowControl/>
              <w:jc w:val="center"/>
              <w:textAlignment w:val="center"/>
              <w:rPr>
                <w:rFonts w:asciiTheme="minorHAnsi" w:hAnsiTheme="minorHAnsi" w:eastAsiaTheme="minorEastAsia" w:cstheme="minorBidi"/>
                <w:color w:val="auto"/>
                <w:kern w:val="2"/>
                <w:sz w:val="21"/>
                <w:szCs w:val="21"/>
                <w:lang w:val="en-US" w:eastAsia="zh-CN" w:bidi="ar-SA"/>
              </w:rPr>
            </w:pPr>
            <w:r>
              <w:rPr>
                <w:color w:val="auto"/>
                <w:kern w:val="0"/>
                <w:szCs w:val="21"/>
                <w:lang w:bidi="ar"/>
              </w:rPr>
              <w:t>输入电流</w:t>
            </w:r>
          </w:p>
        </w:tc>
        <w:tc>
          <w:tcPr>
            <w:tcW w:w="2111" w:type="dxa"/>
            <w:shd w:val="clear"/>
            <w:noWrap w:val="0"/>
            <w:vAlign w:val="center"/>
          </w:tcPr>
          <w:p w14:paraId="1F8C32F6">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2292" w:type="dxa"/>
            <w:shd w:val="clear"/>
            <w:noWrap w:val="0"/>
            <w:vAlign w:val="center"/>
          </w:tcPr>
          <w:p w14:paraId="52C77F32">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1864" w:type="dxa"/>
            <w:noWrap w:val="0"/>
            <w:vAlign w:val="center"/>
          </w:tcPr>
          <w:p w14:paraId="20FE9722">
            <w:pPr>
              <w:jc w:val="left"/>
              <w:rPr>
                <w:szCs w:val="21"/>
              </w:rPr>
            </w:pPr>
          </w:p>
        </w:tc>
      </w:tr>
      <w:tr w14:paraId="1AF33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vMerge w:val="continue"/>
            <w:tcBorders/>
            <w:noWrap w:val="0"/>
            <w:vAlign w:val="center"/>
          </w:tcPr>
          <w:p w14:paraId="536F86FD">
            <w:pPr>
              <w:jc w:val="center"/>
              <w:rPr>
                <w:color w:val="auto"/>
                <w:szCs w:val="21"/>
              </w:rPr>
            </w:pPr>
          </w:p>
        </w:tc>
        <w:tc>
          <w:tcPr>
            <w:tcW w:w="679" w:type="dxa"/>
            <w:vMerge w:val="continue"/>
            <w:tcBorders/>
            <w:noWrap w:val="0"/>
            <w:vAlign w:val="center"/>
          </w:tcPr>
          <w:p w14:paraId="3457EE29">
            <w:pPr>
              <w:widowControl/>
              <w:jc w:val="center"/>
              <w:textAlignment w:val="center"/>
              <w:rPr>
                <w:color w:val="auto"/>
                <w:kern w:val="0"/>
                <w:szCs w:val="21"/>
                <w:lang w:bidi="ar"/>
              </w:rPr>
            </w:pPr>
          </w:p>
        </w:tc>
        <w:tc>
          <w:tcPr>
            <w:tcW w:w="1406" w:type="dxa"/>
            <w:shd w:val="clear"/>
            <w:noWrap w:val="0"/>
            <w:vAlign w:val="center"/>
          </w:tcPr>
          <w:p w14:paraId="423FDD22">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输出电流</w:t>
            </w:r>
          </w:p>
        </w:tc>
        <w:tc>
          <w:tcPr>
            <w:tcW w:w="2111" w:type="dxa"/>
            <w:shd w:val="clear"/>
            <w:noWrap w:val="0"/>
            <w:vAlign w:val="center"/>
          </w:tcPr>
          <w:p w14:paraId="31932D9F">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2292" w:type="dxa"/>
            <w:shd w:val="clear"/>
            <w:noWrap w:val="0"/>
            <w:vAlign w:val="center"/>
          </w:tcPr>
          <w:p w14:paraId="4BCB940D">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1864" w:type="dxa"/>
            <w:noWrap w:val="0"/>
            <w:vAlign w:val="center"/>
          </w:tcPr>
          <w:p w14:paraId="0A059251">
            <w:pPr>
              <w:jc w:val="left"/>
              <w:rPr>
                <w:szCs w:val="21"/>
              </w:rPr>
            </w:pPr>
          </w:p>
        </w:tc>
      </w:tr>
      <w:tr w14:paraId="55F7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vMerge w:val="continue"/>
            <w:tcBorders/>
            <w:noWrap w:val="0"/>
            <w:vAlign w:val="center"/>
          </w:tcPr>
          <w:p w14:paraId="091E82C7">
            <w:pPr>
              <w:jc w:val="center"/>
              <w:rPr>
                <w:color w:val="auto"/>
                <w:szCs w:val="21"/>
              </w:rPr>
            </w:pPr>
          </w:p>
        </w:tc>
        <w:tc>
          <w:tcPr>
            <w:tcW w:w="679" w:type="dxa"/>
            <w:vMerge w:val="continue"/>
            <w:tcBorders/>
            <w:noWrap w:val="0"/>
            <w:vAlign w:val="center"/>
          </w:tcPr>
          <w:p w14:paraId="757A23F5">
            <w:pPr>
              <w:widowControl/>
              <w:jc w:val="center"/>
              <w:textAlignment w:val="center"/>
              <w:rPr>
                <w:color w:val="auto"/>
                <w:kern w:val="0"/>
                <w:szCs w:val="21"/>
                <w:lang w:bidi="ar"/>
              </w:rPr>
            </w:pPr>
          </w:p>
        </w:tc>
        <w:tc>
          <w:tcPr>
            <w:tcW w:w="1406" w:type="dxa"/>
            <w:shd w:val="clear"/>
            <w:noWrap w:val="0"/>
            <w:vAlign w:val="center"/>
          </w:tcPr>
          <w:p w14:paraId="18682DF2">
            <w:pPr>
              <w:widowControl/>
              <w:jc w:val="center"/>
              <w:textAlignment w:val="center"/>
              <w:rPr>
                <w:rFonts w:asciiTheme="minorHAnsi" w:hAnsiTheme="minorHAnsi" w:eastAsiaTheme="minorEastAsia" w:cstheme="minorBidi"/>
                <w:color w:val="auto"/>
                <w:kern w:val="2"/>
                <w:sz w:val="21"/>
                <w:szCs w:val="21"/>
                <w:lang w:val="en-US" w:eastAsia="zh-CN" w:bidi="ar-SA"/>
              </w:rPr>
            </w:pPr>
            <w:r>
              <w:rPr>
                <w:color w:val="auto"/>
                <w:kern w:val="0"/>
                <w:szCs w:val="21"/>
                <w:lang w:bidi="ar"/>
              </w:rPr>
              <w:t>电源适应性</w:t>
            </w:r>
          </w:p>
        </w:tc>
        <w:tc>
          <w:tcPr>
            <w:tcW w:w="2111" w:type="dxa"/>
            <w:shd w:val="clear"/>
            <w:noWrap w:val="0"/>
            <w:vAlign w:val="center"/>
          </w:tcPr>
          <w:p w14:paraId="7CBCBD98">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2292" w:type="dxa"/>
            <w:shd w:val="clear"/>
            <w:noWrap w:val="0"/>
            <w:vAlign w:val="center"/>
          </w:tcPr>
          <w:p w14:paraId="5656BF97">
            <w:pPr>
              <w:widowControl/>
              <w:jc w:val="center"/>
              <w:textAlignment w:val="center"/>
              <w:rPr>
                <w:rFonts w:asciiTheme="minorHAnsi" w:hAnsiTheme="minorHAnsi" w:eastAsiaTheme="minorEastAsia" w:cstheme="minorBidi"/>
                <w:color w:val="auto"/>
                <w:kern w:val="0"/>
                <w:sz w:val="21"/>
                <w:szCs w:val="21"/>
                <w:lang w:val="en-US" w:eastAsia="zh-CN" w:bidi="ar"/>
              </w:rPr>
            </w:pPr>
            <w:r>
              <w:rPr>
                <w:color w:val="auto"/>
                <w:kern w:val="0"/>
                <w:szCs w:val="21"/>
                <w:lang w:bidi="ar"/>
              </w:rPr>
              <w:t>GB 42296—2022</w:t>
            </w:r>
          </w:p>
        </w:tc>
        <w:tc>
          <w:tcPr>
            <w:tcW w:w="1864" w:type="dxa"/>
            <w:noWrap w:val="0"/>
            <w:vAlign w:val="center"/>
          </w:tcPr>
          <w:p w14:paraId="3EE5BBC6">
            <w:pPr>
              <w:jc w:val="left"/>
              <w:rPr>
                <w:szCs w:val="21"/>
              </w:rPr>
            </w:pPr>
          </w:p>
        </w:tc>
      </w:tr>
      <w:tr w14:paraId="34DC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24D9D18C">
            <w:pPr>
              <w:jc w:val="center"/>
              <w:rPr>
                <w:szCs w:val="21"/>
              </w:rPr>
            </w:pPr>
            <w:r>
              <w:rPr>
                <w:rFonts w:hint="eastAsia"/>
                <w:szCs w:val="21"/>
              </w:rPr>
              <w:t>9</w:t>
            </w:r>
          </w:p>
        </w:tc>
        <w:tc>
          <w:tcPr>
            <w:tcW w:w="2085" w:type="dxa"/>
            <w:gridSpan w:val="2"/>
            <w:noWrap w:val="0"/>
            <w:vAlign w:val="center"/>
          </w:tcPr>
          <w:p w14:paraId="120F7093">
            <w:pPr>
              <w:widowControl/>
              <w:jc w:val="center"/>
              <w:textAlignment w:val="center"/>
              <w:rPr>
                <w:rFonts w:hint="eastAsia"/>
                <w:kern w:val="0"/>
                <w:lang w:bidi="ar"/>
              </w:rPr>
            </w:pPr>
            <w:r>
              <w:rPr>
                <w:rFonts w:hint="eastAsia"/>
                <w:kern w:val="0"/>
                <w:lang w:bidi="ar"/>
              </w:rPr>
              <w:t>耐热</w:t>
            </w:r>
          </w:p>
        </w:tc>
        <w:tc>
          <w:tcPr>
            <w:tcW w:w="2111" w:type="dxa"/>
            <w:noWrap w:val="0"/>
            <w:vAlign w:val="center"/>
          </w:tcPr>
          <w:p w14:paraId="63EC7E95">
            <w:pPr>
              <w:widowControl/>
              <w:jc w:val="center"/>
              <w:textAlignment w:val="center"/>
              <w:rPr>
                <w:kern w:val="0"/>
                <w:lang w:bidi="ar"/>
              </w:rPr>
            </w:pPr>
            <w:r>
              <w:rPr>
                <w:kern w:val="0"/>
                <w:lang w:bidi="ar"/>
              </w:rPr>
              <w:t>GB 42296—2022</w:t>
            </w:r>
          </w:p>
        </w:tc>
        <w:tc>
          <w:tcPr>
            <w:tcW w:w="2292" w:type="dxa"/>
            <w:noWrap w:val="0"/>
            <w:vAlign w:val="center"/>
          </w:tcPr>
          <w:p w14:paraId="390E54FE">
            <w:pPr>
              <w:widowControl/>
              <w:jc w:val="center"/>
              <w:textAlignment w:val="center"/>
              <w:rPr>
                <w:kern w:val="0"/>
                <w:lang w:bidi="ar"/>
              </w:rPr>
            </w:pPr>
            <w:r>
              <w:rPr>
                <w:kern w:val="0"/>
                <w:lang w:bidi="ar"/>
              </w:rPr>
              <w:t>GB 42296—2022</w:t>
            </w:r>
          </w:p>
          <w:p w14:paraId="78B5FBA1">
            <w:pPr>
              <w:widowControl/>
              <w:jc w:val="center"/>
              <w:textAlignment w:val="center"/>
              <w:rPr>
                <w:kern w:val="0"/>
                <w:lang w:bidi="ar"/>
              </w:rPr>
            </w:pPr>
            <w:r>
              <w:rPr>
                <w:rFonts w:hint="eastAsia"/>
                <w:kern w:val="0"/>
                <w:lang w:bidi="ar"/>
              </w:rPr>
              <w:t>GB/T 5169.21</w:t>
            </w:r>
            <w:r>
              <w:rPr>
                <w:kern w:val="0"/>
                <w:lang w:bidi="ar"/>
              </w:rPr>
              <w:t>—</w:t>
            </w:r>
            <w:r>
              <w:rPr>
                <w:rFonts w:hint="eastAsia"/>
                <w:kern w:val="0"/>
                <w:lang w:bidi="ar"/>
              </w:rPr>
              <w:t>2017</w:t>
            </w:r>
          </w:p>
        </w:tc>
        <w:tc>
          <w:tcPr>
            <w:tcW w:w="1864" w:type="dxa"/>
            <w:noWrap w:val="0"/>
            <w:vAlign w:val="center"/>
          </w:tcPr>
          <w:p w14:paraId="2C3D5421">
            <w:pPr>
              <w:jc w:val="left"/>
              <w:rPr>
                <w:szCs w:val="21"/>
              </w:rPr>
            </w:pPr>
            <w:r>
              <w:t>仅测</w:t>
            </w:r>
            <w:r>
              <w:rPr>
                <w:rFonts w:hint="eastAsia"/>
              </w:rPr>
              <w:t>充电器外壳</w:t>
            </w:r>
          </w:p>
        </w:tc>
      </w:tr>
      <w:tr w14:paraId="1434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1754C549">
            <w:pPr>
              <w:jc w:val="center"/>
              <w:rPr>
                <w:szCs w:val="21"/>
              </w:rPr>
            </w:pPr>
            <w:r>
              <w:rPr>
                <w:szCs w:val="21"/>
              </w:rPr>
              <w:t>10</w:t>
            </w:r>
          </w:p>
        </w:tc>
        <w:tc>
          <w:tcPr>
            <w:tcW w:w="2085" w:type="dxa"/>
            <w:gridSpan w:val="2"/>
            <w:noWrap w:val="0"/>
            <w:vAlign w:val="center"/>
          </w:tcPr>
          <w:p w14:paraId="20FC90E6">
            <w:pPr>
              <w:widowControl/>
              <w:jc w:val="center"/>
              <w:textAlignment w:val="center"/>
              <w:rPr>
                <w:kern w:val="0"/>
                <w:szCs w:val="21"/>
                <w:lang w:bidi="ar"/>
              </w:rPr>
            </w:pPr>
            <w:r>
              <w:rPr>
                <w:rFonts w:hint="eastAsia"/>
                <w:kern w:val="0"/>
                <w:lang w:bidi="ar"/>
              </w:rPr>
              <w:t>编码</w:t>
            </w:r>
          </w:p>
        </w:tc>
        <w:tc>
          <w:tcPr>
            <w:tcW w:w="2111" w:type="dxa"/>
            <w:noWrap w:val="0"/>
            <w:vAlign w:val="center"/>
          </w:tcPr>
          <w:p w14:paraId="587EF9C7">
            <w:pPr>
              <w:widowControl/>
              <w:jc w:val="center"/>
              <w:textAlignment w:val="center"/>
              <w:rPr>
                <w:color w:val="auto"/>
                <w:kern w:val="0"/>
                <w:szCs w:val="21"/>
                <w:lang w:bidi="ar"/>
              </w:rPr>
            </w:pPr>
            <w:r>
              <w:rPr>
                <w:rFonts w:hint="eastAsia"/>
                <w:color w:val="auto"/>
                <w:kern w:val="0"/>
                <w:szCs w:val="21"/>
                <w:lang w:val="en-US" w:eastAsia="zh-CN" w:bidi="ar"/>
              </w:rPr>
              <w:t>GB 42296—2022及第1号修改单</w:t>
            </w:r>
          </w:p>
        </w:tc>
        <w:tc>
          <w:tcPr>
            <w:tcW w:w="2292" w:type="dxa"/>
            <w:noWrap w:val="0"/>
            <w:vAlign w:val="center"/>
          </w:tcPr>
          <w:p w14:paraId="23404A45">
            <w:pPr>
              <w:widowControl/>
              <w:jc w:val="center"/>
              <w:textAlignment w:val="center"/>
              <w:rPr>
                <w:color w:val="auto"/>
                <w:kern w:val="0"/>
                <w:szCs w:val="21"/>
                <w:lang w:bidi="ar"/>
              </w:rPr>
            </w:pPr>
            <w:r>
              <w:rPr>
                <w:rFonts w:hint="eastAsia"/>
                <w:color w:val="auto"/>
                <w:kern w:val="0"/>
                <w:szCs w:val="21"/>
                <w:lang w:val="en-US" w:eastAsia="zh-CN" w:bidi="ar"/>
              </w:rPr>
              <w:t>GB 42296—2022及第1号修改单</w:t>
            </w:r>
          </w:p>
        </w:tc>
        <w:tc>
          <w:tcPr>
            <w:tcW w:w="1864" w:type="dxa"/>
            <w:noWrap w:val="0"/>
            <w:vAlign w:val="center"/>
          </w:tcPr>
          <w:p w14:paraId="7050DFE7">
            <w:pPr>
              <w:jc w:val="left"/>
              <w:rPr>
                <w:szCs w:val="21"/>
              </w:rPr>
            </w:pPr>
          </w:p>
        </w:tc>
      </w:tr>
      <w:tr w14:paraId="010E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17B851C5">
            <w:pPr>
              <w:jc w:val="center"/>
              <w:rPr>
                <w:rFonts w:hint="default" w:eastAsiaTheme="minorEastAsia"/>
                <w:szCs w:val="21"/>
                <w:lang w:val="en-US" w:eastAsia="zh-CN"/>
              </w:rPr>
            </w:pPr>
            <w:r>
              <w:rPr>
                <w:rFonts w:hint="eastAsia"/>
                <w:szCs w:val="21"/>
                <w:lang w:val="en-US" w:eastAsia="zh-CN"/>
              </w:rPr>
              <w:t>11</w:t>
            </w:r>
          </w:p>
        </w:tc>
        <w:tc>
          <w:tcPr>
            <w:tcW w:w="2085" w:type="dxa"/>
            <w:gridSpan w:val="2"/>
            <w:noWrap w:val="0"/>
            <w:vAlign w:val="center"/>
          </w:tcPr>
          <w:p w14:paraId="3D602EA9">
            <w:pPr>
              <w:widowControl/>
              <w:jc w:val="center"/>
              <w:textAlignment w:val="center"/>
              <w:rPr>
                <w:rFonts w:hint="eastAsia"/>
                <w:kern w:val="0"/>
                <w:lang w:bidi="ar"/>
              </w:rPr>
            </w:pPr>
            <w:r>
              <w:rPr>
                <w:rFonts w:hint="eastAsia"/>
                <w:kern w:val="0"/>
                <w:lang w:val="en-US" w:eastAsia="zh-CN" w:bidi="ar"/>
              </w:rPr>
              <w:t>非正常工作(仅测 5.2.5.1、5.2.5.2)</w:t>
            </w:r>
          </w:p>
        </w:tc>
        <w:tc>
          <w:tcPr>
            <w:tcW w:w="2111" w:type="dxa"/>
            <w:noWrap w:val="0"/>
            <w:vAlign w:val="center"/>
          </w:tcPr>
          <w:p w14:paraId="213CC904">
            <w:pPr>
              <w:widowControl/>
              <w:jc w:val="center"/>
              <w:textAlignment w:val="center"/>
              <w:rPr>
                <w:rFonts w:hint="eastAsia"/>
                <w:kern w:val="0"/>
                <w:lang w:bidi="ar"/>
              </w:rPr>
            </w:pPr>
            <w:r>
              <w:rPr>
                <w:rFonts w:hint="eastAsia"/>
                <w:kern w:val="0"/>
                <w:lang w:val="en-US" w:eastAsia="zh-CN" w:bidi="ar"/>
              </w:rPr>
              <w:t>GB 42296—2022</w:t>
            </w:r>
          </w:p>
        </w:tc>
        <w:tc>
          <w:tcPr>
            <w:tcW w:w="2292" w:type="dxa"/>
            <w:noWrap w:val="0"/>
            <w:vAlign w:val="center"/>
          </w:tcPr>
          <w:p w14:paraId="60555761">
            <w:pPr>
              <w:widowControl/>
              <w:jc w:val="center"/>
              <w:textAlignment w:val="center"/>
              <w:rPr>
                <w:rFonts w:hint="eastAsia"/>
                <w:kern w:val="0"/>
                <w:lang w:bidi="ar"/>
              </w:rPr>
            </w:pPr>
            <w:r>
              <w:rPr>
                <w:rFonts w:hint="eastAsia"/>
                <w:kern w:val="0"/>
                <w:lang w:val="en-US" w:eastAsia="zh-CN" w:bidi="ar"/>
              </w:rPr>
              <w:t>GB 42296—2022</w:t>
            </w:r>
          </w:p>
        </w:tc>
        <w:tc>
          <w:tcPr>
            <w:tcW w:w="1864" w:type="dxa"/>
            <w:noWrap w:val="0"/>
            <w:vAlign w:val="center"/>
          </w:tcPr>
          <w:p w14:paraId="49B53D53">
            <w:pPr>
              <w:jc w:val="left"/>
              <w:rPr>
                <w:szCs w:val="21"/>
              </w:rPr>
            </w:pPr>
            <w:r>
              <w:rPr>
                <w:rFonts w:hint="eastAsia"/>
                <w:kern w:val="0"/>
                <w:lang w:val="en-US" w:eastAsia="zh-CN" w:bidi="ar"/>
              </w:rPr>
              <w:t>仅测 5.2.5.1、5.2.5.2</w:t>
            </w:r>
            <w:bookmarkStart w:id="0" w:name="_GoBack"/>
            <w:bookmarkEnd w:id="0"/>
          </w:p>
        </w:tc>
      </w:tr>
      <w:tr w14:paraId="2DE3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480F2D98">
            <w:pPr>
              <w:jc w:val="center"/>
              <w:rPr>
                <w:rFonts w:hint="default" w:eastAsiaTheme="minorEastAsia"/>
                <w:szCs w:val="21"/>
                <w:lang w:val="en-US" w:eastAsia="zh-CN"/>
              </w:rPr>
            </w:pPr>
            <w:r>
              <w:rPr>
                <w:rFonts w:hint="eastAsia"/>
                <w:szCs w:val="21"/>
                <w:lang w:val="en-US" w:eastAsia="zh-CN"/>
              </w:rPr>
              <w:t>12</w:t>
            </w:r>
          </w:p>
        </w:tc>
        <w:tc>
          <w:tcPr>
            <w:tcW w:w="2085" w:type="dxa"/>
            <w:gridSpan w:val="2"/>
            <w:noWrap w:val="0"/>
            <w:vAlign w:val="center"/>
          </w:tcPr>
          <w:p w14:paraId="633A3CBD">
            <w:pPr>
              <w:widowControl/>
              <w:jc w:val="center"/>
              <w:textAlignment w:val="center"/>
              <w:rPr>
                <w:rFonts w:hint="eastAsia"/>
                <w:kern w:val="0"/>
                <w:lang w:bidi="ar"/>
              </w:rPr>
            </w:pPr>
            <w:r>
              <w:rPr>
                <w:rFonts w:hint="eastAsia"/>
                <w:kern w:val="0"/>
                <w:lang w:val="en-US" w:eastAsia="zh-CN" w:bidi="ar"/>
              </w:rPr>
              <w:t>超温保护</w:t>
            </w:r>
          </w:p>
        </w:tc>
        <w:tc>
          <w:tcPr>
            <w:tcW w:w="2111" w:type="dxa"/>
            <w:noWrap w:val="0"/>
            <w:vAlign w:val="center"/>
          </w:tcPr>
          <w:p w14:paraId="68CF2538">
            <w:pPr>
              <w:widowControl/>
              <w:jc w:val="center"/>
              <w:textAlignment w:val="center"/>
              <w:rPr>
                <w:rFonts w:hint="eastAsia"/>
                <w:kern w:val="0"/>
                <w:lang w:bidi="ar"/>
              </w:rPr>
            </w:pPr>
            <w:r>
              <w:rPr>
                <w:rFonts w:hint="eastAsia"/>
                <w:kern w:val="0"/>
                <w:lang w:val="en-US" w:eastAsia="zh-CN" w:bidi="ar"/>
              </w:rPr>
              <w:t>GB 42296—2022</w:t>
            </w:r>
          </w:p>
        </w:tc>
        <w:tc>
          <w:tcPr>
            <w:tcW w:w="2292" w:type="dxa"/>
            <w:noWrap w:val="0"/>
            <w:vAlign w:val="center"/>
          </w:tcPr>
          <w:p w14:paraId="078557A7">
            <w:pPr>
              <w:widowControl/>
              <w:jc w:val="center"/>
              <w:textAlignment w:val="center"/>
              <w:rPr>
                <w:rFonts w:hint="eastAsia"/>
                <w:kern w:val="0"/>
                <w:lang w:bidi="ar"/>
              </w:rPr>
            </w:pPr>
            <w:r>
              <w:rPr>
                <w:rFonts w:hint="eastAsia"/>
                <w:kern w:val="0"/>
                <w:lang w:val="en-US" w:eastAsia="zh-CN" w:bidi="ar"/>
              </w:rPr>
              <w:t>GB 42296—2022</w:t>
            </w:r>
          </w:p>
        </w:tc>
        <w:tc>
          <w:tcPr>
            <w:tcW w:w="1864" w:type="dxa"/>
            <w:noWrap w:val="0"/>
            <w:vAlign w:val="center"/>
          </w:tcPr>
          <w:p w14:paraId="2BC852AF">
            <w:pPr>
              <w:jc w:val="left"/>
              <w:rPr>
                <w:szCs w:val="21"/>
              </w:rPr>
            </w:pPr>
          </w:p>
        </w:tc>
      </w:tr>
      <w:tr w14:paraId="401A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4F4696E6">
            <w:pPr>
              <w:jc w:val="center"/>
              <w:rPr>
                <w:rFonts w:hint="default" w:eastAsiaTheme="minorEastAsia"/>
                <w:szCs w:val="21"/>
                <w:lang w:val="en-US" w:eastAsia="zh-CN"/>
              </w:rPr>
            </w:pPr>
            <w:r>
              <w:rPr>
                <w:rFonts w:hint="eastAsia"/>
                <w:szCs w:val="21"/>
                <w:lang w:val="en-US" w:eastAsia="zh-CN"/>
              </w:rPr>
              <w:t>13</w:t>
            </w:r>
          </w:p>
        </w:tc>
        <w:tc>
          <w:tcPr>
            <w:tcW w:w="2085" w:type="dxa"/>
            <w:gridSpan w:val="2"/>
            <w:noWrap w:val="0"/>
            <w:vAlign w:val="center"/>
          </w:tcPr>
          <w:p w14:paraId="62D212CF">
            <w:pPr>
              <w:widowControl/>
              <w:jc w:val="center"/>
              <w:textAlignment w:val="center"/>
              <w:rPr>
                <w:rFonts w:hint="eastAsia"/>
                <w:kern w:val="0"/>
                <w:lang w:bidi="ar"/>
              </w:rPr>
            </w:pPr>
            <w:r>
              <w:rPr>
                <w:rFonts w:hint="eastAsia"/>
                <w:kern w:val="0"/>
                <w:lang w:val="en-US" w:eastAsia="zh-CN" w:bidi="ar"/>
              </w:rPr>
              <w:t>过充切断</w:t>
            </w:r>
          </w:p>
        </w:tc>
        <w:tc>
          <w:tcPr>
            <w:tcW w:w="2111" w:type="dxa"/>
            <w:noWrap w:val="0"/>
            <w:vAlign w:val="center"/>
          </w:tcPr>
          <w:p w14:paraId="70A2C8C1">
            <w:pPr>
              <w:widowControl/>
              <w:jc w:val="center"/>
              <w:textAlignment w:val="center"/>
              <w:rPr>
                <w:rFonts w:hint="eastAsia"/>
                <w:kern w:val="0"/>
                <w:lang w:bidi="ar"/>
              </w:rPr>
            </w:pPr>
            <w:r>
              <w:rPr>
                <w:rFonts w:hint="eastAsia"/>
                <w:kern w:val="0"/>
                <w:lang w:val="en-US" w:eastAsia="zh-CN" w:bidi="ar"/>
              </w:rPr>
              <w:t>GB 42296—2022</w:t>
            </w:r>
          </w:p>
        </w:tc>
        <w:tc>
          <w:tcPr>
            <w:tcW w:w="2292" w:type="dxa"/>
            <w:noWrap w:val="0"/>
            <w:vAlign w:val="center"/>
          </w:tcPr>
          <w:p w14:paraId="2E5BBCB5">
            <w:pPr>
              <w:widowControl/>
              <w:jc w:val="center"/>
              <w:textAlignment w:val="center"/>
              <w:rPr>
                <w:rFonts w:hint="eastAsia"/>
                <w:kern w:val="0"/>
                <w:lang w:bidi="ar"/>
              </w:rPr>
            </w:pPr>
            <w:r>
              <w:rPr>
                <w:rFonts w:hint="eastAsia"/>
                <w:kern w:val="0"/>
                <w:lang w:val="en-US" w:eastAsia="zh-CN" w:bidi="ar"/>
              </w:rPr>
              <w:t>GB 42296—2022</w:t>
            </w:r>
          </w:p>
        </w:tc>
        <w:tc>
          <w:tcPr>
            <w:tcW w:w="1864" w:type="dxa"/>
            <w:noWrap w:val="0"/>
            <w:vAlign w:val="center"/>
          </w:tcPr>
          <w:p w14:paraId="3172DFCB">
            <w:pPr>
              <w:jc w:val="left"/>
              <w:rPr>
                <w:szCs w:val="21"/>
              </w:rPr>
            </w:pPr>
          </w:p>
        </w:tc>
      </w:tr>
      <w:tr w14:paraId="0208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26FEA0C4">
            <w:pPr>
              <w:jc w:val="center"/>
              <w:rPr>
                <w:rFonts w:hint="default"/>
                <w:szCs w:val="21"/>
                <w:lang w:val="en-US" w:eastAsia="zh-CN"/>
              </w:rPr>
            </w:pPr>
            <w:r>
              <w:rPr>
                <w:rFonts w:hint="eastAsia"/>
                <w:szCs w:val="21"/>
                <w:lang w:val="en-US" w:eastAsia="zh-CN"/>
              </w:rPr>
              <w:t>14</w:t>
            </w:r>
          </w:p>
        </w:tc>
        <w:tc>
          <w:tcPr>
            <w:tcW w:w="2085" w:type="dxa"/>
            <w:gridSpan w:val="2"/>
            <w:noWrap w:val="0"/>
            <w:vAlign w:val="center"/>
          </w:tcPr>
          <w:p w14:paraId="098A17FD">
            <w:pPr>
              <w:widowControl/>
              <w:jc w:val="center"/>
              <w:textAlignment w:val="center"/>
              <w:rPr>
                <w:rFonts w:hint="eastAsia"/>
                <w:kern w:val="0"/>
                <w:lang w:bidi="ar"/>
              </w:rPr>
            </w:pPr>
            <w:r>
              <w:rPr>
                <w:rFonts w:hint="eastAsia"/>
                <w:kern w:val="0"/>
                <w:lang w:val="en-US" w:eastAsia="zh-CN" w:bidi="ar"/>
              </w:rPr>
              <w:t>延时切断</w:t>
            </w:r>
          </w:p>
        </w:tc>
        <w:tc>
          <w:tcPr>
            <w:tcW w:w="2111" w:type="dxa"/>
            <w:noWrap w:val="0"/>
            <w:vAlign w:val="center"/>
          </w:tcPr>
          <w:p w14:paraId="577D9856">
            <w:pPr>
              <w:widowControl/>
              <w:jc w:val="center"/>
              <w:textAlignment w:val="center"/>
              <w:rPr>
                <w:rFonts w:hint="eastAsia"/>
                <w:kern w:val="0"/>
                <w:lang w:bidi="ar"/>
              </w:rPr>
            </w:pPr>
            <w:r>
              <w:rPr>
                <w:rFonts w:hint="eastAsia"/>
                <w:kern w:val="0"/>
                <w:lang w:val="en-US" w:eastAsia="zh-CN" w:bidi="ar"/>
              </w:rPr>
              <w:t>GB 42296—2022</w:t>
            </w:r>
          </w:p>
        </w:tc>
        <w:tc>
          <w:tcPr>
            <w:tcW w:w="2292" w:type="dxa"/>
            <w:noWrap w:val="0"/>
            <w:vAlign w:val="center"/>
          </w:tcPr>
          <w:p w14:paraId="5AA9FC62">
            <w:pPr>
              <w:widowControl/>
              <w:jc w:val="center"/>
              <w:textAlignment w:val="center"/>
              <w:rPr>
                <w:rFonts w:hint="eastAsia"/>
                <w:kern w:val="0"/>
                <w:lang w:bidi="ar"/>
              </w:rPr>
            </w:pPr>
            <w:r>
              <w:rPr>
                <w:rFonts w:hint="eastAsia"/>
                <w:kern w:val="0"/>
                <w:lang w:val="en-US" w:eastAsia="zh-CN" w:bidi="ar"/>
              </w:rPr>
              <w:t>GB 42296—2022</w:t>
            </w:r>
          </w:p>
        </w:tc>
        <w:tc>
          <w:tcPr>
            <w:tcW w:w="1864" w:type="dxa"/>
            <w:noWrap w:val="0"/>
            <w:vAlign w:val="center"/>
          </w:tcPr>
          <w:p w14:paraId="7E18CFD0">
            <w:pPr>
              <w:jc w:val="left"/>
              <w:rPr>
                <w:szCs w:val="21"/>
              </w:rPr>
            </w:pPr>
          </w:p>
        </w:tc>
      </w:tr>
      <w:tr w14:paraId="476B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703" w:type="dxa"/>
            <w:noWrap w:val="0"/>
            <w:vAlign w:val="center"/>
          </w:tcPr>
          <w:p w14:paraId="48F1F79B">
            <w:pPr>
              <w:jc w:val="center"/>
              <w:rPr>
                <w:rFonts w:hint="default"/>
                <w:szCs w:val="21"/>
                <w:lang w:val="en-US" w:eastAsia="zh-CN"/>
              </w:rPr>
            </w:pPr>
            <w:r>
              <w:rPr>
                <w:rFonts w:hint="eastAsia"/>
                <w:szCs w:val="21"/>
                <w:lang w:val="en-US" w:eastAsia="zh-CN"/>
              </w:rPr>
              <w:t>15</w:t>
            </w:r>
          </w:p>
        </w:tc>
        <w:tc>
          <w:tcPr>
            <w:tcW w:w="2085" w:type="dxa"/>
            <w:gridSpan w:val="2"/>
            <w:noWrap w:val="0"/>
            <w:vAlign w:val="center"/>
          </w:tcPr>
          <w:p w14:paraId="48E9962F">
            <w:pPr>
              <w:widowControl/>
              <w:jc w:val="center"/>
              <w:textAlignment w:val="center"/>
              <w:rPr>
                <w:rFonts w:hint="eastAsia"/>
                <w:kern w:val="0"/>
                <w:lang w:bidi="ar"/>
              </w:rPr>
            </w:pPr>
            <w:r>
              <w:rPr>
                <w:rFonts w:hint="eastAsia"/>
                <w:kern w:val="0"/>
                <w:lang w:val="en-US" w:eastAsia="zh-CN" w:bidi="ar"/>
              </w:rPr>
              <w:t>灼热丝</w:t>
            </w:r>
          </w:p>
        </w:tc>
        <w:tc>
          <w:tcPr>
            <w:tcW w:w="2111" w:type="dxa"/>
            <w:noWrap w:val="0"/>
            <w:vAlign w:val="center"/>
          </w:tcPr>
          <w:p w14:paraId="27296ADA">
            <w:pPr>
              <w:widowControl/>
              <w:jc w:val="center"/>
              <w:textAlignment w:val="center"/>
              <w:rPr>
                <w:rFonts w:hint="eastAsia"/>
                <w:kern w:val="0"/>
                <w:lang w:bidi="ar"/>
              </w:rPr>
            </w:pPr>
            <w:r>
              <w:rPr>
                <w:rFonts w:hint="eastAsia"/>
                <w:kern w:val="0"/>
                <w:lang w:val="en-US" w:eastAsia="zh-CN" w:bidi="ar"/>
              </w:rPr>
              <w:t>GB 42296—2022</w:t>
            </w:r>
          </w:p>
        </w:tc>
        <w:tc>
          <w:tcPr>
            <w:tcW w:w="2292" w:type="dxa"/>
            <w:noWrap w:val="0"/>
            <w:vAlign w:val="center"/>
          </w:tcPr>
          <w:p w14:paraId="2C62B90B">
            <w:pPr>
              <w:widowControl/>
              <w:jc w:val="center"/>
              <w:textAlignment w:val="center"/>
              <w:rPr>
                <w:rFonts w:hint="eastAsia"/>
                <w:kern w:val="0"/>
                <w:lang w:bidi="ar"/>
              </w:rPr>
            </w:pPr>
            <w:r>
              <w:rPr>
                <w:rFonts w:hint="eastAsia"/>
                <w:kern w:val="0"/>
                <w:lang w:val="en-US" w:eastAsia="zh-CN" w:bidi="ar"/>
              </w:rPr>
              <w:t>GB 42296—2022</w:t>
            </w:r>
          </w:p>
        </w:tc>
        <w:tc>
          <w:tcPr>
            <w:tcW w:w="1864" w:type="dxa"/>
            <w:noWrap w:val="0"/>
            <w:vAlign w:val="center"/>
          </w:tcPr>
          <w:p w14:paraId="7071ADE4">
            <w:pPr>
              <w:jc w:val="left"/>
              <w:rPr>
                <w:szCs w:val="21"/>
              </w:rPr>
            </w:pPr>
          </w:p>
        </w:tc>
      </w:tr>
    </w:tbl>
    <w:p w14:paraId="7C1610F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黑体" w:cs="黑体"/>
          <w:sz w:val="22"/>
          <w:szCs w:val="28"/>
          <w:lang w:val="en-US" w:eastAsia="zh-CN"/>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5DE8A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42296—2022 电动自行车用充电器安全技术要求</w:t>
      </w:r>
      <w:r>
        <w:rPr>
          <w:rFonts w:hint="eastAsia" w:ascii="Times New Roman" w:hAnsi="Times New Roman" w:eastAsia="宋体" w:cs="宋体"/>
          <w:sz w:val="22"/>
          <w:szCs w:val="28"/>
          <w:lang w:val="en-US" w:eastAsia="zh-CN"/>
        </w:rPr>
        <w:t>及</w:t>
      </w:r>
      <w:r>
        <w:rPr>
          <w:rFonts w:hint="eastAsia" w:ascii="Times New Roman" w:hAnsi="Times New Roman" w:eastAsia="宋体" w:cs="宋体"/>
          <w:sz w:val="22"/>
          <w:szCs w:val="28"/>
        </w:rPr>
        <w:t>第1号修改单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2C24393"/>
    <w:rsid w:val="036455F8"/>
    <w:rsid w:val="06E03F13"/>
    <w:rsid w:val="070E6657"/>
    <w:rsid w:val="08B701FA"/>
    <w:rsid w:val="09C35C0B"/>
    <w:rsid w:val="0CD143AE"/>
    <w:rsid w:val="0D343503"/>
    <w:rsid w:val="0EA16002"/>
    <w:rsid w:val="13144FF5"/>
    <w:rsid w:val="149E7B87"/>
    <w:rsid w:val="156C55BC"/>
    <w:rsid w:val="1E7B23CC"/>
    <w:rsid w:val="222A1341"/>
    <w:rsid w:val="23035B1D"/>
    <w:rsid w:val="29B570DA"/>
    <w:rsid w:val="2B4863B8"/>
    <w:rsid w:val="2B830B12"/>
    <w:rsid w:val="2E5977D4"/>
    <w:rsid w:val="2E8C4181"/>
    <w:rsid w:val="2ED81174"/>
    <w:rsid w:val="2F9309E8"/>
    <w:rsid w:val="38A81BB8"/>
    <w:rsid w:val="408E5B37"/>
    <w:rsid w:val="42C54070"/>
    <w:rsid w:val="43081BD1"/>
    <w:rsid w:val="439E0D9F"/>
    <w:rsid w:val="46050649"/>
    <w:rsid w:val="46F26E20"/>
    <w:rsid w:val="470C0994"/>
    <w:rsid w:val="4784148B"/>
    <w:rsid w:val="48797678"/>
    <w:rsid w:val="4C621D61"/>
    <w:rsid w:val="4C6D02BD"/>
    <w:rsid w:val="4E227B86"/>
    <w:rsid w:val="4E3A2F69"/>
    <w:rsid w:val="4EE311F0"/>
    <w:rsid w:val="523C53F3"/>
    <w:rsid w:val="534D3EB1"/>
    <w:rsid w:val="56A02CA6"/>
    <w:rsid w:val="58705DF6"/>
    <w:rsid w:val="592E4311"/>
    <w:rsid w:val="649B4036"/>
    <w:rsid w:val="68932257"/>
    <w:rsid w:val="6C1F3963"/>
    <w:rsid w:val="6E79418D"/>
    <w:rsid w:val="6F3A5E69"/>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812</Words>
  <Characters>1041</Characters>
  <Lines>0</Lines>
  <Paragraphs>0</Paragraphs>
  <TotalTime>2</TotalTime>
  <ScaleCrop>false</ScaleCrop>
  <LinksUpToDate>false</LinksUpToDate>
  <CharactersWithSpaces>1074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秦雪亮</cp:lastModifiedBy>
  <dcterms:modified xsi:type="dcterms:W3CDTF">2026-05-20T02:05:30Z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B193BA6226EE4608866785606C9B9EA0_13</vt:lpwstr>
  </property>
  <property fmtid="{D5CDD505-2E9C-101B-9397-08002B2CF9AE}" pid="4" name="KSOTemplateDocerSaveRecord">
    <vt:lpwstr>eyJoZGlkIjoiYjEwMDEyYjJlZDlkMDAzZTU5ODJlZDBmYzU1MjAzNTYiLCJ1c2VySWQiOiIyMzU4OTA1MTcifQ==</vt:lpwstr>
  </property>
</Properties>
</file>