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D187A">
      <w:pPr>
        <w:snapToGrid w:val="0"/>
        <w:spacing w:line="440" w:lineRule="exact"/>
        <w:jc w:val="center"/>
        <w:rPr>
          <w:rFonts w:hint="eastAsia" w:ascii="宋体" w:hAnsi="宋体" w:eastAsia="宋体" w:cs="宋体"/>
          <w:color w:val="000000"/>
          <w:sz w:val="32"/>
          <w:szCs w:val="32"/>
        </w:rPr>
      </w:pPr>
      <w:r>
        <w:rPr>
          <w:rFonts w:hint="eastAsia" w:ascii="宋体" w:hAnsi="宋体" w:eastAsia="宋体" w:cs="宋体"/>
          <w:color w:val="000000"/>
          <w:sz w:val="32"/>
          <w:szCs w:val="32"/>
        </w:rPr>
        <w:t>2026年北京市</w:t>
      </w:r>
      <w:r>
        <w:rPr>
          <w:rFonts w:hint="eastAsia" w:ascii="宋体" w:hAnsi="宋体" w:cs="宋体"/>
          <w:color w:val="000000"/>
          <w:sz w:val="32"/>
          <w:szCs w:val="32"/>
          <w:lang w:val="en-US" w:eastAsia="zh-CN"/>
        </w:rPr>
        <w:t>大兴</w:t>
      </w:r>
      <w:r>
        <w:rPr>
          <w:rFonts w:hint="eastAsia" w:ascii="宋体" w:hAnsi="宋体" w:eastAsia="宋体" w:cs="宋体"/>
          <w:color w:val="000000"/>
          <w:sz w:val="32"/>
          <w:szCs w:val="32"/>
        </w:rPr>
        <w:t>区</w:t>
      </w:r>
      <w:r>
        <w:rPr>
          <w:rFonts w:hint="eastAsia" w:ascii="宋体" w:hAnsi="宋体" w:cs="宋体"/>
          <w:color w:val="000000"/>
          <w:sz w:val="32"/>
          <w:szCs w:val="32"/>
          <w:lang w:val="en-US" w:eastAsia="zh-CN"/>
        </w:rPr>
        <w:t>铅酸蓄电池</w:t>
      </w:r>
      <w:r>
        <w:rPr>
          <w:rFonts w:hint="eastAsia" w:ascii="宋体" w:hAnsi="宋体" w:eastAsia="宋体" w:cs="宋体"/>
          <w:color w:val="000000"/>
          <w:sz w:val="32"/>
          <w:szCs w:val="32"/>
        </w:rPr>
        <w:t>产品质量监督抽查实施细则</w:t>
      </w:r>
    </w:p>
    <w:p w14:paraId="3AB0CB53">
      <w:pPr>
        <w:snapToGrid w:val="0"/>
        <w:spacing w:line="440" w:lineRule="exact"/>
        <w:rPr>
          <w:rFonts w:eastAsia="黑体"/>
          <w:color w:val="000000"/>
          <w:szCs w:val="21"/>
        </w:rPr>
      </w:pPr>
    </w:p>
    <w:p w14:paraId="2B75022D">
      <w:pPr>
        <w:snapToGrid w:val="0"/>
        <w:spacing w:line="440" w:lineRule="exact"/>
        <w:rPr>
          <w:rFonts w:eastAsia="黑体"/>
          <w:color w:val="000000"/>
          <w:szCs w:val="21"/>
        </w:rPr>
      </w:pPr>
      <w:r>
        <w:rPr>
          <w:rFonts w:eastAsia="黑体"/>
          <w:color w:val="000000"/>
          <w:szCs w:val="21"/>
        </w:rPr>
        <w:t>1 抽样方法</w:t>
      </w:r>
    </w:p>
    <w:p w14:paraId="187112EC">
      <w:pPr>
        <w:snapToGrid w:val="0"/>
        <w:spacing w:line="440" w:lineRule="exact"/>
        <w:ind w:firstLine="420" w:firstLineChars="200"/>
        <w:rPr>
          <w:color w:val="000000"/>
          <w:szCs w:val="21"/>
        </w:rPr>
      </w:pPr>
      <w:r>
        <w:rPr>
          <w:rFonts w:hint="eastAsia"/>
          <w:color w:val="000000"/>
          <w:szCs w:val="21"/>
        </w:rPr>
        <w:t>以随机抽样的方式在被抽样生产者、销售者的待销产品中抽取。</w:t>
      </w:r>
    </w:p>
    <w:p w14:paraId="44EFB210">
      <w:pPr>
        <w:snapToGrid w:val="0"/>
        <w:spacing w:line="440" w:lineRule="exact"/>
        <w:ind w:firstLine="420" w:firstLineChars="200"/>
        <w:rPr>
          <w:color w:val="000000"/>
          <w:szCs w:val="21"/>
        </w:rPr>
      </w:pPr>
      <w:r>
        <w:rPr>
          <w:rFonts w:hint="eastAsia"/>
          <w:color w:val="000000"/>
          <w:szCs w:val="21"/>
        </w:rPr>
        <w:t>随机数一般可使用随机数表等方法产生。</w:t>
      </w:r>
    </w:p>
    <w:p w14:paraId="3B5BC84A">
      <w:pPr>
        <w:snapToGrid w:val="0"/>
        <w:spacing w:line="440" w:lineRule="exact"/>
        <w:ind w:firstLine="420" w:firstLineChars="200"/>
        <w:rPr>
          <w:rFonts w:ascii="Times New Roman" w:hAnsi="Times New Roman"/>
          <w:color w:val="000000"/>
          <w:szCs w:val="21"/>
        </w:rPr>
      </w:pPr>
      <w:r>
        <w:rPr>
          <w:rFonts w:hint="eastAsia"/>
          <w:color w:val="000000"/>
          <w:szCs w:val="21"/>
        </w:rPr>
        <w:t>抽样基数满足抽样数量即可，抽取2</w:t>
      </w:r>
      <w:r>
        <w:rPr>
          <w:rFonts w:hint="eastAsia"/>
          <w:color w:val="000000"/>
          <w:szCs w:val="21"/>
          <w:lang w:val="en-US" w:eastAsia="zh-CN"/>
        </w:rPr>
        <w:t>只蓄电池（需配充电器）</w:t>
      </w:r>
      <w:r>
        <w:rPr>
          <w:rFonts w:hint="eastAsia"/>
          <w:color w:val="000000"/>
          <w:szCs w:val="21"/>
        </w:rPr>
        <w:t>，1</w:t>
      </w:r>
      <w:r>
        <w:rPr>
          <w:rFonts w:hint="eastAsia"/>
          <w:color w:val="000000"/>
          <w:szCs w:val="21"/>
          <w:lang w:val="en-US" w:eastAsia="zh-CN"/>
        </w:rPr>
        <w:t>只</w:t>
      </w:r>
      <w:r>
        <w:rPr>
          <w:rFonts w:hint="eastAsia"/>
          <w:color w:val="000000"/>
          <w:szCs w:val="21"/>
        </w:rPr>
        <w:t>为检验用样品，另1</w:t>
      </w:r>
      <w:r>
        <w:rPr>
          <w:rFonts w:hint="eastAsia"/>
          <w:color w:val="000000"/>
          <w:szCs w:val="21"/>
          <w:lang w:val="en-US" w:eastAsia="zh-CN"/>
        </w:rPr>
        <w:t>只</w:t>
      </w:r>
      <w:r>
        <w:rPr>
          <w:rFonts w:hint="eastAsia"/>
          <w:color w:val="000000"/>
          <w:szCs w:val="21"/>
        </w:rPr>
        <w:t>为备用样品。</w:t>
      </w:r>
    </w:p>
    <w:p w14:paraId="27AB0FE3">
      <w:pPr>
        <w:snapToGrid w:val="0"/>
        <w:spacing w:line="440" w:lineRule="exact"/>
        <w:ind w:firstLine="420" w:firstLineChars="200"/>
        <w:rPr>
          <w:rFonts w:ascii="Times New Roman" w:hAnsi="Times New Roman"/>
          <w:color w:val="000000"/>
          <w:szCs w:val="21"/>
        </w:rPr>
      </w:pPr>
    </w:p>
    <w:p w14:paraId="3E60B752">
      <w:pPr>
        <w:snapToGrid w:val="0"/>
        <w:spacing w:line="440" w:lineRule="exact"/>
        <w:rPr>
          <w:rFonts w:eastAsia="黑体"/>
          <w:color w:val="000000"/>
          <w:szCs w:val="21"/>
        </w:rPr>
      </w:pPr>
      <w:r>
        <w:rPr>
          <w:rFonts w:eastAsia="黑体"/>
          <w:color w:val="000000"/>
          <w:szCs w:val="21"/>
        </w:rPr>
        <w:t>2 检验依据</w:t>
      </w:r>
    </w:p>
    <w:tbl>
      <w:tblPr>
        <w:tblStyle w:val="16"/>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1769"/>
        <w:gridCol w:w="2331"/>
        <w:gridCol w:w="2229"/>
        <w:gridCol w:w="2001"/>
      </w:tblGrid>
      <w:tr w14:paraId="25295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blHeader/>
          <w:jc w:val="center"/>
        </w:trPr>
        <w:tc>
          <w:tcPr>
            <w:tcW w:w="742" w:type="dxa"/>
            <w:noWrap w:val="0"/>
            <w:vAlign w:val="center"/>
          </w:tcPr>
          <w:p w14:paraId="54CF818C">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序号</w:t>
            </w:r>
          </w:p>
        </w:tc>
        <w:tc>
          <w:tcPr>
            <w:tcW w:w="1769" w:type="dxa"/>
            <w:noWrap w:val="0"/>
            <w:vAlign w:val="center"/>
          </w:tcPr>
          <w:p w14:paraId="588C8468">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检验项目</w:t>
            </w:r>
          </w:p>
        </w:tc>
        <w:tc>
          <w:tcPr>
            <w:tcW w:w="2331" w:type="dxa"/>
            <w:noWrap w:val="0"/>
            <w:vAlign w:val="center"/>
          </w:tcPr>
          <w:p w14:paraId="11B6E231">
            <w:pPr>
              <w:jc w:val="center"/>
              <w:rPr>
                <w:rFonts w:hint="default" w:ascii="Times New Roman" w:hAnsi="Times New Roman" w:eastAsia="宋体" w:cs="Times New Roman"/>
                <w:color w:val="auto"/>
                <w:sz w:val="21"/>
                <w:szCs w:val="21"/>
              </w:rPr>
            </w:pPr>
            <w:r>
              <w:rPr>
                <w:rFonts w:hint="eastAsia"/>
                <w:color w:val="auto"/>
                <w:szCs w:val="21"/>
              </w:rPr>
              <w:t>检验依据</w:t>
            </w:r>
          </w:p>
        </w:tc>
        <w:tc>
          <w:tcPr>
            <w:tcW w:w="2229" w:type="dxa"/>
            <w:noWrap w:val="0"/>
            <w:vAlign w:val="center"/>
          </w:tcPr>
          <w:p w14:paraId="637B1649">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检验方法</w:t>
            </w:r>
          </w:p>
        </w:tc>
        <w:tc>
          <w:tcPr>
            <w:tcW w:w="2001" w:type="dxa"/>
            <w:noWrap w:val="0"/>
            <w:vAlign w:val="center"/>
          </w:tcPr>
          <w:p w14:paraId="0DA826AA">
            <w:pPr>
              <w:jc w:val="center"/>
              <w:rPr>
                <w:rFonts w:hint="default" w:ascii="Times New Roman" w:hAnsi="Times New Roman" w:eastAsia="宋体" w:cs="Times New Roman"/>
                <w:color w:val="auto"/>
                <w:sz w:val="21"/>
                <w:szCs w:val="21"/>
              </w:rPr>
            </w:pPr>
            <w:r>
              <w:rPr>
                <w:rFonts w:hint="eastAsia" w:cs="Times New Roman"/>
                <w:color w:val="auto"/>
                <w:sz w:val="21"/>
                <w:szCs w:val="21"/>
                <w:lang w:val="en-US" w:eastAsia="zh-CN"/>
              </w:rPr>
              <w:t>备注</w:t>
            </w:r>
          </w:p>
        </w:tc>
      </w:tr>
      <w:tr w14:paraId="02A38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2" w:type="dxa"/>
            <w:noWrap w:val="0"/>
            <w:vAlign w:val="center"/>
          </w:tcPr>
          <w:p w14:paraId="723598B2">
            <w:pPr>
              <w:keepNext w:val="0"/>
              <w:keepLines w:val="0"/>
              <w:widowControl/>
              <w:suppressLineNumbers w:val="0"/>
              <w:jc w:val="cente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1</w:t>
            </w:r>
          </w:p>
        </w:tc>
        <w:tc>
          <w:tcPr>
            <w:tcW w:w="1769" w:type="dxa"/>
            <w:noWrap w:val="0"/>
            <w:vAlign w:val="center"/>
          </w:tcPr>
          <w:p w14:paraId="322D0101">
            <w:pPr>
              <w:snapToGrid w:val="0"/>
              <w:ind w:left="-1" w:leftChars="-27" w:hanging="56" w:hangingChars="27"/>
              <w:jc w:val="center"/>
              <w:rPr>
                <w:rFonts w:hint="default" w:ascii="宋体" w:hAnsi="宋体" w:eastAsia="宋体"/>
                <w:bCs/>
                <w:color w:val="auto"/>
                <w:kern w:val="0"/>
                <w:sz w:val="21"/>
                <w:szCs w:val="21"/>
              </w:rPr>
            </w:pPr>
            <w:r>
              <w:rPr>
                <w:rFonts w:hint="eastAsia" w:ascii="宋体" w:hAnsi="宋体" w:eastAsia="宋体"/>
                <w:bCs/>
                <w:color w:val="auto"/>
                <w:kern w:val="0"/>
                <w:sz w:val="21"/>
                <w:szCs w:val="21"/>
                <w:lang w:val="en-US" w:eastAsia="zh-CN"/>
              </w:rPr>
              <w:t>外观</w:t>
            </w:r>
          </w:p>
        </w:tc>
        <w:tc>
          <w:tcPr>
            <w:tcW w:w="2331" w:type="dxa"/>
            <w:noWrap w:val="0"/>
            <w:vAlign w:val="center"/>
          </w:tcPr>
          <w:p w14:paraId="56CE2ED2">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GB/T 22199.1</w:t>
            </w:r>
            <w:r>
              <w:rPr>
                <w:rFonts w:hint="eastAsia" w:ascii="Times New Roman" w:hAnsi="Times New Roman" w:eastAsia="宋体" w:cs="Times New Roman"/>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2017</w:t>
            </w:r>
          </w:p>
        </w:tc>
        <w:tc>
          <w:tcPr>
            <w:tcW w:w="2229" w:type="dxa"/>
            <w:noWrap w:val="0"/>
            <w:vAlign w:val="center"/>
          </w:tcPr>
          <w:p w14:paraId="67C66922">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GB/T 22199.1</w:t>
            </w:r>
            <w:r>
              <w:rPr>
                <w:rFonts w:hint="eastAsia" w:ascii="Times New Roman" w:hAnsi="Times New Roman" w:eastAsia="宋体" w:cs="Times New Roman"/>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2017</w:t>
            </w:r>
          </w:p>
        </w:tc>
        <w:tc>
          <w:tcPr>
            <w:tcW w:w="2001" w:type="dxa"/>
            <w:noWrap w:val="0"/>
            <w:vAlign w:val="center"/>
          </w:tcPr>
          <w:p w14:paraId="7698E13C">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r>
      <w:tr w14:paraId="65F79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2" w:type="dxa"/>
            <w:noWrap w:val="0"/>
            <w:vAlign w:val="center"/>
          </w:tcPr>
          <w:p w14:paraId="4BC5F700">
            <w:pPr>
              <w:keepNext w:val="0"/>
              <w:keepLines w:val="0"/>
              <w:widowControl/>
              <w:suppressLineNumbers w:val="0"/>
              <w:jc w:val="cente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2</w:t>
            </w:r>
          </w:p>
        </w:tc>
        <w:tc>
          <w:tcPr>
            <w:tcW w:w="1769" w:type="dxa"/>
            <w:noWrap w:val="0"/>
            <w:vAlign w:val="center"/>
          </w:tcPr>
          <w:p w14:paraId="082083FA">
            <w:pPr>
              <w:snapToGrid w:val="0"/>
              <w:ind w:left="-1" w:leftChars="-27" w:hanging="56" w:hangingChars="27"/>
              <w:jc w:val="center"/>
              <w:rPr>
                <w:rFonts w:hint="default" w:ascii="宋体" w:hAnsi="宋体" w:eastAsia="宋体"/>
                <w:bCs/>
                <w:color w:val="auto"/>
                <w:kern w:val="0"/>
                <w:sz w:val="21"/>
                <w:szCs w:val="21"/>
                <w:lang w:val="en-US"/>
              </w:rPr>
            </w:pPr>
            <w:r>
              <w:rPr>
                <w:rFonts w:hint="eastAsia" w:ascii="宋体" w:hAnsi="宋体" w:eastAsia="宋体"/>
                <w:bCs/>
                <w:color w:val="auto"/>
                <w:kern w:val="0"/>
                <w:sz w:val="21"/>
                <w:szCs w:val="21"/>
                <w:lang w:val="en-US" w:eastAsia="zh-CN"/>
              </w:rPr>
              <w:t>2 hr容量</w:t>
            </w:r>
          </w:p>
        </w:tc>
        <w:tc>
          <w:tcPr>
            <w:tcW w:w="2331" w:type="dxa"/>
            <w:noWrap w:val="0"/>
            <w:vAlign w:val="center"/>
          </w:tcPr>
          <w:p w14:paraId="31AC619A">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GB/T 22199.1</w:t>
            </w:r>
            <w:r>
              <w:rPr>
                <w:rFonts w:hint="eastAsia" w:ascii="Times New Roman" w:hAnsi="Times New Roman" w:eastAsia="宋体" w:cs="Times New Roman"/>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2017</w:t>
            </w:r>
          </w:p>
        </w:tc>
        <w:tc>
          <w:tcPr>
            <w:tcW w:w="2229" w:type="dxa"/>
            <w:noWrap w:val="0"/>
            <w:vAlign w:val="center"/>
          </w:tcPr>
          <w:p w14:paraId="373B9826">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GB/T 22199.1</w:t>
            </w:r>
            <w:r>
              <w:rPr>
                <w:rFonts w:hint="eastAsia" w:ascii="Times New Roman" w:hAnsi="Times New Roman" w:eastAsia="宋体" w:cs="Times New Roman"/>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2017</w:t>
            </w:r>
          </w:p>
        </w:tc>
        <w:tc>
          <w:tcPr>
            <w:tcW w:w="2001" w:type="dxa"/>
            <w:noWrap w:val="0"/>
            <w:vAlign w:val="center"/>
          </w:tcPr>
          <w:p w14:paraId="556DA245">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r>
      <w:tr w14:paraId="73A76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2" w:type="dxa"/>
            <w:noWrap w:val="0"/>
            <w:vAlign w:val="center"/>
          </w:tcPr>
          <w:p w14:paraId="76497A17">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3</w:t>
            </w:r>
          </w:p>
        </w:tc>
        <w:tc>
          <w:tcPr>
            <w:tcW w:w="1769" w:type="dxa"/>
            <w:noWrap w:val="0"/>
            <w:vAlign w:val="center"/>
          </w:tcPr>
          <w:p w14:paraId="0E3B09E0">
            <w:pPr>
              <w:snapToGrid w:val="0"/>
              <w:ind w:left="-1" w:leftChars="-27" w:hanging="56" w:hangingChars="27"/>
              <w:jc w:val="center"/>
              <w:rPr>
                <w:rFonts w:hint="eastAsia" w:ascii="宋体" w:hAnsi="宋体" w:eastAsia="宋体"/>
                <w:bCs/>
                <w:color w:val="auto"/>
                <w:kern w:val="0"/>
                <w:sz w:val="21"/>
                <w:szCs w:val="21"/>
              </w:rPr>
            </w:pPr>
            <w:r>
              <w:rPr>
                <w:rFonts w:hint="eastAsia" w:ascii="宋体" w:hAnsi="宋体" w:eastAsia="宋体"/>
                <w:bCs/>
                <w:color w:val="auto"/>
                <w:kern w:val="0"/>
                <w:sz w:val="21"/>
                <w:szCs w:val="21"/>
                <w:lang w:val="en-US" w:eastAsia="zh-CN"/>
              </w:rPr>
              <w:t>大电流放电</w:t>
            </w:r>
          </w:p>
        </w:tc>
        <w:tc>
          <w:tcPr>
            <w:tcW w:w="2331" w:type="dxa"/>
            <w:noWrap w:val="0"/>
            <w:vAlign w:val="center"/>
          </w:tcPr>
          <w:p w14:paraId="1A4B98AA">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GB/T 22199.1</w:t>
            </w:r>
            <w:r>
              <w:rPr>
                <w:rFonts w:hint="eastAsia" w:ascii="Times New Roman" w:hAnsi="Times New Roman" w:eastAsia="宋体" w:cs="Times New Roman"/>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2017</w:t>
            </w:r>
          </w:p>
        </w:tc>
        <w:tc>
          <w:tcPr>
            <w:tcW w:w="2229" w:type="dxa"/>
            <w:noWrap w:val="0"/>
            <w:vAlign w:val="center"/>
          </w:tcPr>
          <w:p w14:paraId="66D226EA">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GB/T 22199.1</w:t>
            </w:r>
            <w:r>
              <w:rPr>
                <w:rFonts w:hint="eastAsia" w:ascii="Times New Roman" w:hAnsi="Times New Roman" w:eastAsia="宋体" w:cs="Times New Roman"/>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2017</w:t>
            </w:r>
          </w:p>
        </w:tc>
        <w:tc>
          <w:tcPr>
            <w:tcW w:w="2001" w:type="dxa"/>
            <w:noWrap w:val="0"/>
            <w:vAlign w:val="center"/>
          </w:tcPr>
          <w:p w14:paraId="6F4A6EC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r>
      <w:tr w14:paraId="210ED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2" w:type="dxa"/>
            <w:noWrap w:val="0"/>
            <w:vAlign w:val="center"/>
          </w:tcPr>
          <w:p w14:paraId="1AEB47D5">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4</w:t>
            </w:r>
          </w:p>
        </w:tc>
        <w:tc>
          <w:tcPr>
            <w:tcW w:w="1769" w:type="dxa"/>
            <w:noWrap w:val="0"/>
            <w:vAlign w:val="center"/>
          </w:tcPr>
          <w:p w14:paraId="406D824D">
            <w:pPr>
              <w:snapToGrid w:val="0"/>
              <w:ind w:left="-1" w:leftChars="-27" w:hanging="56" w:hangingChars="27"/>
              <w:jc w:val="center"/>
              <w:rPr>
                <w:rFonts w:hint="eastAsia" w:ascii="宋体" w:hAnsi="宋体" w:eastAsia="宋体"/>
                <w:bCs/>
                <w:color w:val="auto"/>
                <w:kern w:val="0"/>
                <w:sz w:val="21"/>
                <w:szCs w:val="21"/>
              </w:rPr>
            </w:pPr>
            <w:r>
              <w:rPr>
                <w:rFonts w:hint="eastAsia" w:ascii="宋体" w:hAnsi="宋体" w:eastAsia="宋体"/>
                <w:bCs/>
                <w:color w:val="auto"/>
                <w:kern w:val="0"/>
                <w:sz w:val="21"/>
                <w:szCs w:val="21"/>
                <w:lang w:val="en-US" w:eastAsia="zh-CN"/>
              </w:rPr>
              <w:t>能量密度</w:t>
            </w:r>
          </w:p>
        </w:tc>
        <w:tc>
          <w:tcPr>
            <w:tcW w:w="2331" w:type="dxa"/>
            <w:noWrap w:val="0"/>
            <w:vAlign w:val="center"/>
          </w:tcPr>
          <w:p w14:paraId="0FB74982">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GB/T 22199.1</w:t>
            </w:r>
            <w:r>
              <w:rPr>
                <w:rFonts w:hint="eastAsia" w:ascii="Times New Roman" w:hAnsi="Times New Roman" w:eastAsia="宋体" w:cs="Times New Roman"/>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2017</w:t>
            </w:r>
          </w:p>
        </w:tc>
        <w:tc>
          <w:tcPr>
            <w:tcW w:w="2229" w:type="dxa"/>
            <w:noWrap w:val="0"/>
            <w:vAlign w:val="center"/>
          </w:tcPr>
          <w:p w14:paraId="3653CB2B">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GB/T 22199.1</w:t>
            </w:r>
            <w:r>
              <w:rPr>
                <w:rFonts w:hint="eastAsia" w:ascii="Times New Roman" w:hAnsi="Times New Roman" w:eastAsia="宋体" w:cs="Times New Roman"/>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2017</w:t>
            </w:r>
          </w:p>
        </w:tc>
        <w:tc>
          <w:tcPr>
            <w:tcW w:w="2001" w:type="dxa"/>
            <w:noWrap w:val="0"/>
            <w:vAlign w:val="center"/>
          </w:tcPr>
          <w:p w14:paraId="428F94AB">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r>
      <w:tr w14:paraId="44A79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2" w:type="dxa"/>
            <w:noWrap w:val="0"/>
            <w:vAlign w:val="center"/>
          </w:tcPr>
          <w:p w14:paraId="700B1383">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lang w:val="en-US" w:eastAsia="zh-CN"/>
              </w:rPr>
              <w:t>5</w:t>
            </w:r>
          </w:p>
        </w:tc>
        <w:tc>
          <w:tcPr>
            <w:tcW w:w="1769" w:type="dxa"/>
            <w:noWrap w:val="0"/>
            <w:vAlign w:val="center"/>
          </w:tcPr>
          <w:p w14:paraId="2F3F5A38">
            <w:pPr>
              <w:snapToGrid w:val="0"/>
              <w:ind w:left="-1" w:leftChars="-27" w:hanging="56" w:hangingChars="27"/>
              <w:jc w:val="center"/>
              <w:rPr>
                <w:rFonts w:hint="eastAsia" w:ascii="宋体" w:hAnsi="宋体" w:eastAsia="宋体"/>
                <w:bCs/>
                <w:color w:val="auto"/>
                <w:kern w:val="0"/>
                <w:sz w:val="21"/>
                <w:szCs w:val="21"/>
              </w:rPr>
            </w:pPr>
            <w:r>
              <w:rPr>
                <w:rFonts w:hint="eastAsia" w:ascii="宋体" w:hAnsi="宋体" w:eastAsia="宋体"/>
                <w:bCs/>
                <w:color w:val="auto"/>
                <w:kern w:val="0"/>
                <w:sz w:val="21"/>
                <w:szCs w:val="21"/>
                <w:lang w:val="en-US" w:eastAsia="zh-CN"/>
              </w:rPr>
              <w:t>快速充电能力</w:t>
            </w:r>
          </w:p>
        </w:tc>
        <w:tc>
          <w:tcPr>
            <w:tcW w:w="2331" w:type="dxa"/>
            <w:noWrap w:val="0"/>
            <w:vAlign w:val="center"/>
          </w:tcPr>
          <w:p w14:paraId="072BEB01">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GB/T 22199.1</w:t>
            </w:r>
            <w:r>
              <w:rPr>
                <w:rFonts w:hint="eastAsia" w:ascii="Times New Roman" w:hAnsi="Times New Roman" w:eastAsia="宋体" w:cs="Times New Roman"/>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2017</w:t>
            </w:r>
          </w:p>
        </w:tc>
        <w:tc>
          <w:tcPr>
            <w:tcW w:w="2229" w:type="dxa"/>
            <w:noWrap w:val="0"/>
            <w:vAlign w:val="center"/>
          </w:tcPr>
          <w:p w14:paraId="1B61594D">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GB/T 22199.1</w:t>
            </w:r>
            <w:r>
              <w:rPr>
                <w:rFonts w:hint="eastAsia" w:ascii="Times New Roman" w:hAnsi="Times New Roman" w:eastAsia="宋体" w:cs="Times New Roman"/>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2017</w:t>
            </w:r>
          </w:p>
        </w:tc>
        <w:tc>
          <w:tcPr>
            <w:tcW w:w="2001" w:type="dxa"/>
            <w:noWrap w:val="0"/>
            <w:vAlign w:val="center"/>
          </w:tcPr>
          <w:p w14:paraId="1C21BEED">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r>
    </w:tbl>
    <w:tbl>
      <w:tblPr>
        <w:tblStyle w:val="17"/>
        <w:tblpPr w:leftFromText="180" w:rightFromText="180" w:vertAnchor="text" w:tblpX="10214" w:tblpY="-19729"/>
        <w:tblOverlap w:val="never"/>
        <w:tblW w:w="4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9"/>
      </w:tblGrid>
      <w:tr w14:paraId="0434D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459" w:type="dxa"/>
          </w:tcPr>
          <w:p w14:paraId="4C9ACEE8">
            <w:pPr>
              <w:snapToGrid w:val="0"/>
              <w:spacing w:line="440" w:lineRule="exact"/>
              <w:rPr>
                <w:color w:val="000000"/>
                <w:szCs w:val="21"/>
                <w:vertAlign w:val="baseline"/>
              </w:rPr>
            </w:pPr>
          </w:p>
        </w:tc>
      </w:tr>
      <w:tr w14:paraId="5CDAF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459" w:type="dxa"/>
          </w:tcPr>
          <w:p w14:paraId="56154D7A">
            <w:pPr>
              <w:snapToGrid w:val="0"/>
              <w:spacing w:line="440" w:lineRule="exact"/>
              <w:rPr>
                <w:color w:val="000000"/>
                <w:szCs w:val="21"/>
                <w:vertAlign w:val="baseline"/>
              </w:rPr>
            </w:pPr>
          </w:p>
        </w:tc>
      </w:tr>
    </w:tbl>
    <w:tbl>
      <w:tblPr>
        <w:tblStyle w:val="17"/>
        <w:tblpPr w:leftFromText="180" w:rightFromText="180" w:vertAnchor="text" w:tblpX="10214" w:tblpY="-1863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tblGrid>
      <w:tr w14:paraId="52FB6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649" w:type="dxa"/>
          </w:tcPr>
          <w:p w14:paraId="5F8C5FD7">
            <w:pPr>
              <w:snapToGrid w:val="0"/>
              <w:spacing w:line="440" w:lineRule="exact"/>
              <w:rPr>
                <w:color w:val="000000"/>
                <w:szCs w:val="21"/>
                <w:vertAlign w:val="baseline"/>
              </w:rPr>
            </w:pPr>
          </w:p>
        </w:tc>
      </w:tr>
      <w:tr w14:paraId="237D2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649" w:type="dxa"/>
          </w:tcPr>
          <w:p w14:paraId="26DECF84">
            <w:pPr>
              <w:snapToGrid w:val="0"/>
              <w:spacing w:line="440" w:lineRule="exact"/>
              <w:rPr>
                <w:color w:val="000000"/>
                <w:szCs w:val="21"/>
                <w:vertAlign w:val="baseline"/>
              </w:rPr>
            </w:pPr>
          </w:p>
        </w:tc>
      </w:tr>
    </w:tbl>
    <w:p w14:paraId="2969625F">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4AEF9A19">
      <w:pPr>
        <w:snapToGrid w:val="0"/>
        <w:spacing w:line="440" w:lineRule="exact"/>
        <w:ind w:firstLine="420" w:firstLineChars="200"/>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64F784C6">
      <w:pPr>
        <w:spacing w:line="440" w:lineRule="exact"/>
        <w:rPr>
          <w:rFonts w:eastAsia="黑体"/>
          <w:color w:val="000000"/>
          <w:szCs w:val="21"/>
        </w:rPr>
      </w:pPr>
    </w:p>
    <w:p w14:paraId="06AD9C04">
      <w:pPr>
        <w:spacing w:line="440" w:lineRule="exact"/>
        <w:rPr>
          <w:rFonts w:eastAsia="黑体"/>
          <w:color w:val="000000"/>
          <w:szCs w:val="21"/>
        </w:rPr>
      </w:pPr>
      <w:r>
        <w:rPr>
          <w:rFonts w:eastAsia="黑体"/>
          <w:color w:val="000000"/>
          <w:szCs w:val="21"/>
        </w:rPr>
        <w:t>3 判定规则</w:t>
      </w:r>
    </w:p>
    <w:p w14:paraId="4D46F123">
      <w:pPr>
        <w:snapToGrid w:val="0"/>
        <w:spacing w:line="440" w:lineRule="exact"/>
        <w:rPr>
          <w:color w:val="000000"/>
          <w:szCs w:val="21"/>
        </w:rPr>
      </w:pPr>
      <w:r>
        <w:rPr>
          <w:color w:val="000000"/>
          <w:szCs w:val="21"/>
        </w:rPr>
        <w:t>3.1依据标准</w:t>
      </w:r>
    </w:p>
    <w:p w14:paraId="217EDC14">
      <w:pPr>
        <w:snapToGrid w:val="0"/>
        <w:spacing w:line="440" w:lineRule="exact"/>
        <w:ind w:firstLine="420" w:firstLineChars="200"/>
        <w:rPr>
          <w:color w:val="000000"/>
        </w:rPr>
      </w:pPr>
      <w:r>
        <w:rPr>
          <w:rFonts w:ascii="Times New Roman" w:hAnsi="Times New Roman" w:cs="Times New Roman"/>
          <w:color w:val="000000"/>
        </w:rPr>
        <w:t>GB/T 22199.1</w:t>
      </w:r>
      <w:r>
        <w:rPr>
          <w:rFonts w:hint="eastAsia" w:ascii="Times New Roman" w:hAnsi="Times New Roman" w:cs="Times New Roman"/>
          <w:color w:val="000000"/>
          <w:lang w:val="en-US" w:eastAsia="zh-CN"/>
        </w:rPr>
        <w:t>-2017</w:t>
      </w:r>
      <w:r>
        <w:rPr>
          <w:rFonts w:ascii="Times New Roman" w:hAnsi="Times New Roman" w:cs="Times New Roman"/>
          <w:color w:val="000000"/>
        </w:rPr>
        <w:t xml:space="preserve"> 电动助力车用阀控式铅酸蓄电池 第1部分：技术条件</w:t>
      </w:r>
      <w:bookmarkStart w:id="0" w:name="_GoBack"/>
      <w:bookmarkEnd w:id="0"/>
    </w:p>
    <w:p w14:paraId="5D3AA793">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2E3B8AAB">
      <w:pPr>
        <w:snapToGrid w:val="0"/>
        <w:spacing w:line="440" w:lineRule="exact"/>
        <w:rPr>
          <w:color w:val="000000"/>
          <w:szCs w:val="21"/>
        </w:rPr>
      </w:pPr>
      <w:r>
        <w:rPr>
          <w:color w:val="000000"/>
          <w:szCs w:val="21"/>
        </w:rPr>
        <w:t>3.2判定原则</w:t>
      </w:r>
    </w:p>
    <w:p w14:paraId="3D439AE9">
      <w:pPr>
        <w:snapToGrid w:val="0"/>
        <w:spacing w:line="440" w:lineRule="exact"/>
        <w:ind w:firstLine="420" w:firstLineChars="200"/>
        <w:rPr>
          <w:color w:val="000000"/>
          <w:szCs w:val="21"/>
        </w:rPr>
      </w:pPr>
      <w:r>
        <w:rPr>
          <w:rFonts w:hint="eastAsia"/>
          <w:color w:val="000000"/>
          <w:szCs w:val="21"/>
        </w:rPr>
        <w:t>经检验，检验项目全部合格，判定为被抽查产品所检项目未发现不合格；检验项目中任一项或一项以上不合格，判定为被抽查产品不合格。</w:t>
      </w:r>
    </w:p>
    <w:p w14:paraId="659ABFD9">
      <w:pPr>
        <w:snapToGrid w:val="0"/>
        <w:spacing w:line="440" w:lineRule="exact"/>
        <w:ind w:firstLine="420" w:firstLineChars="200"/>
        <w:rPr>
          <w:color w:val="000000"/>
          <w:szCs w:val="21"/>
        </w:rPr>
      </w:pPr>
      <w:r>
        <w:rPr>
          <w:color w:val="000000"/>
          <w:szCs w:val="21"/>
        </w:rPr>
        <w:t>若被检产品明示的质量要求高于本细则中检验项目依据的标准要求时，应按被检产品明示的质量要求判定。</w:t>
      </w:r>
    </w:p>
    <w:p w14:paraId="7CBED48D">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3FED1491">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053AD586">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3D1E16CC">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465D74E3">
      <w:pPr>
        <w:snapToGrid w:val="0"/>
        <w:spacing w:line="440" w:lineRule="exact"/>
        <w:ind w:firstLine="417" w:firstLineChars="199"/>
        <w:rPr>
          <w:color w:val="000000"/>
          <w:szCs w:val="21"/>
        </w:rPr>
      </w:pPr>
    </w:p>
    <w:p w14:paraId="62174028"/>
    <w:sectPr>
      <w:pgSz w:w="11906" w:h="16838"/>
      <w:pgMar w:top="1440" w:right="170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D67"/>
    <w:rsid w:val="00021008"/>
    <w:rsid w:val="00042D67"/>
    <w:rsid w:val="001F0C54"/>
    <w:rsid w:val="002202E2"/>
    <w:rsid w:val="00505596"/>
    <w:rsid w:val="00597A89"/>
    <w:rsid w:val="00632ACB"/>
    <w:rsid w:val="006A6CDD"/>
    <w:rsid w:val="006B7025"/>
    <w:rsid w:val="007D6A82"/>
    <w:rsid w:val="00810113"/>
    <w:rsid w:val="00AB30C2"/>
    <w:rsid w:val="00B61B5C"/>
    <w:rsid w:val="00CF5DD5"/>
    <w:rsid w:val="00D10920"/>
    <w:rsid w:val="00E87AB1"/>
    <w:rsid w:val="0B036EA1"/>
    <w:rsid w:val="14694C0A"/>
    <w:rsid w:val="207B4905"/>
    <w:rsid w:val="20A13715"/>
    <w:rsid w:val="24182DC7"/>
    <w:rsid w:val="24EF75A7"/>
    <w:rsid w:val="2BDD12AC"/>
    <w:rsid w:val="3A1442ED"/>
    <w:rsid w:val="3BB2605B"/>
    <w:rsid w:val="3C4665B9"/>
    <w:rsid w:val="42383FAC"/>
    <w:rsid w:val="4CDE643C"/>
    <w:rsid w:val="5E436DA7"/>
    <w:rsid w:val="5FF42B69"/>
    <w:rsid w:val="60104A77"/>
    <w:rsid w:val="629348A8"/>
    <w:rsid w:val="764534BD"/>
    <w:rsid w:val="78D2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0"/>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1"/>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2"/>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3"/>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4"/>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5"/>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6"/>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7"/>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Plain Text"/>
    <w:basedOn w:val="1"/>
    <w:link w:val="40"/>
    <w:qFormat/>
    <w:uiPriority w:val="99"/>
    <w:rPr>
      <w:rFonts w:ascii="宋体" w:hAnsi="Courier New"/>
      <w:szCs w:val="20"/>
    </w:rPr>
  </w:style>
  <w:style w:type="paragraph" w:styleId="12">
    <w:name w:val="footer"/>
    <w:basedOn w:val="1"/>
    <w:link w:val="38"/>
    <w:unhideWhenUsed/>
    <w:qFormat/>
    <w:uiPriority w:val="99"/>
    <w:pPr>
      <w:tabs>
        <w:tab w:val="center" w:pos="4153"/>
        <w:tab w:val="right" w:pos="8306"/>
      </w:tabs>
      <w:snapToGrid w:val="0"/>
      <w:jc w:val="left"/>
    </w:pPr>
    <w:rPr>
      <w:sz w:val="18"/>
      <w:szCs w:val="18"/>
    </w:rPr>
  </w:style>
  <w:style w:type="paragraph" w:styleId="13">
    <w:name w:val="header"/>
    <w:basedOn w:val="1"/>
    <w:link w:val="37"/>
    <w:unhideWhenUsed/>
    <w:qFormat/>
    <w:uiPriority w:val="99"/>
    <w:pPr>
      <w:tabs>
        <w:tab w:val="center" w:pos="4153"/>
        <w:tab w:val="right" w:pos="8306"/>
      </w:tabs>
      <w:snapToGrid w:val="0"/>
      <w:jc w:val="center"/>
    </w:pPr>
    <w:rPr>
      <w:sz w:val="18"/>
      <w:szCs w:val="18"/>
    </w:rPr>
  </w:style>
  <w:style w:type="paragraph" w:styleId="14">
    <w:name w:val="Subtitle"/>
    <w:basedOn w:val="1"/>
    <w:next w:val="1"/>
    <w:link w:val="29"/>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Title"/>
    <w:basedOn w:val="1"/>
    <w:next w:val="1"/>
    <w:link w:val="28"/>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7">
    <w:name w:val="Table Grid"/>
    <w:basedOn w:val="1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标题 1 Char"/>
    <w:basedOn w:val="18"/>
    <w:link w:val="2"/>
    <w:qFormat/>
    <w:uiPriority w:val="9"/>
    <w:rPr>
      <w:rFonts w:asciiTheme="majorHAnsi" w:hAnsiTheme="majorHAnsi" w:eastAsiaTheme="majorEastAsia" w:cstheme="majorBidi"/>
      <w:color w:val="104862" w:themeColor="accent1" w:themeShade="BF"/>
      <w:sz w:val="48"/>
      <w:szCs w:val="48"/>
    </w:rPr>
  </w:style>
  <w:style w:type="character" w:customStyle="1" w:styleId="20">
    <w:name w:val="标题 2 Char"/>
    <w:basedOn w:val="18"/>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1">
    <w:name w:val="标题 3 Char"/>
    <w:basedOn w:val="18"/>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2">
    <w:name w:val="标题 4 Char"/>
    <w:basedOn w:val="18"/>
    <w:link w:val="5"/>
    <w:semiHidden/>
    <w:qFormat/>
    <w:uiPriority w:val="9"/>
    <w:rPr>
      <w:rFonts w:cstheme="majorBidi"/>
      <w:color w:val="104862" w:themeColor="accent1" w:themeShade="BF"/>
      <w:sz w:val="28"/>
      <w:szCs w:val="28"/>
    </w:rPr>
  </w:style>
  <w:style w:type="character" w:customStyle="1" w:styleId="23">
    <w:name w:val="标题 5 Char"/>
    <w:basedOn w:val="18"/>
    <w:link w:val="6"/>
    <w:semiHidden/>
    <w:qFormat/>
    <w:uiPriority w:val="9"/>
    <w:rPr>
      <w:rFonts w:cstheme="majorBidi"/>
      <w:color w:val="104862" w:themeColor="accent1" w:themeShade="BF"/>
      <w:sz w:val="24"/>
      <w:szCs w:val="24"/>
    </w:rPr>
  </w:style>
  <w:style w:type="character" w:customStyle="1" w:styleId="24">
    <w:name w:val="标题 6 Char"/>
    <w:basedOn w:val="18"/>
    <w:link w:val="7"/>
    <w:semiHidden/>
    <w:qFormat/>
    <w:uiPriority w:val="9"/>
    <w:rPr>
      <w:rFonts w:cstheme="majorBidi"/>
      <w:b/>
      <w:bCs/>
      <w:color w:val="104862" w:themeColor="accent1" w:themeShade="BF"/>
    </w:rPr>
  </w:style>
  <w:style w:type="character" w:customStyle="1" w:styleId="25">
    <w:name w:val="标题 7 Char"/>
    <w:basedOn w:val="18"/>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6">
    <w:name w:val="标题 8 Char"/>
    <w:basedOn w:val="18"/>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7">
    <w:name w:val="标题 9 Char"/>
    <w:basedOn w:val="18"/>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标题 Char"/>
    <w:basedOn w:val="18"/>
    <w:link w:val="15"/>
    <w:qFormat/>
    <w:uiPriority w:val="10"/>
    <w:rPr>
      <w:rFonts w:asciiTheme="majorHAnsi" w:hAnsiTheme="majorHAnsi" w:eastAsiaTheme="majorEastAsia" w:cstheme="majorBidi"/>
      <w:spacing w:val="-10"/>
      <w:kern w:val="28"/>
      <w:sz w:val="56"/>
      <w:szCs w:val="56"/>
    </w:rPr>
  </w:style>
  <w:style w:type="character" w:customStyle="1" w:styleId="29">
    <w:name w:val="副标题 Char"/>
    <w:basedOn w:val="18"/>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1">
    <w:name w:val="引用 Char"/>
    <w:basedOn w:val="18"/>
    <w:link w:val="30"/>
    <w:qFormat/>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qFormat/>
    <w:uiPriority w:val="34"/>
    <w:pPr>
      <w:ind w:left="720"/>
      <w:contextualSpacing/>
    </w:pPr>
  </w:style>
  <w:style w:type="character" w:customStyle="1" w:styleId="33">
    <w:name w:val="Intense Emphasis"/>
    <w:basedOn w:val="18"/>
    <w:qFormat/>
    <w:uiPriority w:val="21"/>
    <w:rPr>
      <w:i/>
      <w:iCs/>
      <w:color w:val="104862" w:themeColor="accent1" w:themeShade="BF"/>
    </w:rPr>
  </w:style>
  <w:style w:type="paragraph" w:styleId="34">
    <w:name w:val="Intense Quote"/>
    <w:basedOn w:val="1"/>
    <w:next w:val="1"/>
    <w:link w:val="35"/>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5">
    <w:name w:val="明显引用 Char"/>
    <w:basedOn w:val="18"/>
    <w:link w:val="34"/>
    <w:qFormat/>
    <w:uiPriority w:val="30"/>
    <w:rPr>
      <w:i/>
      <w:iCs/>
      <w:color w:val="104862" w:themeColor="accent1" w:themeShade="BF"/>
    </w:rPr>
  </w:style>
  <w:style w:type="character" w:customStyle="1" w:styleId="36">
    <w:name w:val="Intense Reference"/>
    <w:basedOn w:val="18"/>
    <w:qFormat/>
    <w:uiPriority w:val="32"/>
    <w:rPr>
      <w:b/>
      <w:bCs/>
      <w:smallCaps/>
      <w:color w:val="104862" w:themeColor="accent1" w:themeShade="BF"/>
      <w:spacing w:val="5"/>
    </w:rPr>
  </w:style>
  <w:style w:type="character" w:customStyle="1" w:styleId="37">
    <w:name w:val="页眉 Char"/>
    <w:basedOn w:val="18"/>
    <w:link w:val="13"/>
    <w:qFormat/>
    <w:uiPriority w:val="99"/>
    <w:rPr>
      <w:sz w:val="18"/>
      <w:szCs w:val="18"/>
    </w:rPr>
  </w:style>
  <w:style w:type="character" w:customStyle="1" w:styleId="38">
    <w:name w:val="页脚 Char"/>
    <w:basedOn w:val="18"/>
    <w:link w:val="12"/>
    <w:qFormat/>
    <w:uiPriority w:val="99"/>
    <w:rPr>
      <w:sz w:val="18"/>
      <w:szCs w:val="18"/>
    </w:rPr>
  </w:style>
  <w:style w:type="character" w:customStyle="1" w:styleId="39">
    <w:name w:val="纯文本 字符"/>
    <w:basedOn w:val="18"/>
    <w:semiHidden/>
    <w:qFormat/>
    <w:uiPriority w:val="99"/>
    <w:rPr>
      <w:rFonts w:hAnsi="Courier New" w:cs="Courier New" w:asciiTheme="minorEastAsia"/>
      <w:szCs w:val="24"/>
    </w:rPr>
  </w:style>
  <w:style w:type="character" w:customStyle="1" w:styleId="40">
    <w:name w:val="纯文本 Char"/>
    <w:link w:val="11"/>
    <w:qFormat/>
    <w:uiPriority w:val="99"/>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996</Words>
  <Characters>1453</Characters>
  <Lines>25</Lines>
  <Paragraphs>7</Paragraphs>
  <TotalTime>2</TotalTime>
  <ScaleCrop>false</ScaleCrop>
  <LinksUpToDate>false</LinksUpToDate>
  <CharactersWithSpaces>1501</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2026-04-07T03:33:00Z</dcterms:created>
  <dc:creator>晶晶 李</dc:creator>
  <cp:lastModifiedBy>张月</cp:lastModifiedBy>
  <cp:lastPrinted>2026-03-26T03:19:00Z</cp:lastPrinted>
  <dcterms:modified xsi:type="dcterms:W3CDTF">2026-05-19T05:30:43Z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eyJoZGlkIjoiMGQ1ZjU5ZDM1M2Q5MTAzOWNhNGUzNmYwMTczZmUzM2IiLCJ1c2VySWQiOiI0NTAzOTU2MzUifQ==</vt:lpwstr>
  </property>
  <property fmtid="{D5CDD505-2E9C-101B-9397-08002B2CF9AE}" pid="3" name="KSOProductBuildVer">
    <vt:lpwstr>2052-12.1.0.22089</vt:lpwstr>
  </property>
  <property fmtid="{D5CDD505-2E9C-101B-9397-08002B2CF9AE}" pid="4" name="ICV">
    <vt:lpwstr>F9F6E3CF844E4CA28431BBB1334107D7_13</vt:lpwstr>
  </property>
</Properties>
</file>