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C2" w:rsidRDefault="00C10AC2">
      <w:pPr>
        <w:ind w:firstLine="420"/>
        <w:rPr>
          <w:rFonts w:ascii="Times New Roman" w:hAnsi="Times New Roman" w:hint="eastAsia"/>
        </w:rPr>
      </w:pPr>
    </w:p>
    <w:p w:rsidR="00C10AC2" w:rsidRDefault="00C10AC2">
      <w:pPr>
        <w:ind w:firstLine="420"/>
        <w:jc w:val="center"/>
        <w:rPr>
          <w:rFonts w:ascii="Times New Roman" w:hAnsi="Times New Roman"/>
        </w:rPr>
      </w:pPr>
    </w:p>
    <w:p w:rsidR="00C10AC2" w:rsidRDefault="00C10AC2">
      <w:pPr>
        <w:ind w:firstLine="420"/>
        <w:rPr>
          <w:rFonts w:ascii="Times New Roman" w:hAnsi="Times New Roman"/>
        </w:rPr>
      </w:pPr>
    </w:p>
    <w:p w:rsidR="00C10AC2" w:rsidRDefault="00C10AC2">
      <w:pPr>
        <w:spacing w:line="360" w:lineRule="auto"/>
        <w:jc w:val="left"/>
        <w:rPr>
          <w:rFonts w:ascii="Times New Roman" w:hAnsi="Times New Roman"/>
          <w:b/>
          <w:sz w:val="36"/>
          <w:szCs w:val="36"/>
        </w:rPr>
      </w:pPr>
    </w:p>
    <w:p w:rsidR="00C10AC2" w:rsidRDefault="00C10AC2">
      <w:pPr>
        <w:spacing w:line="360" w:lineRule="auto"/>
        <w:jc w:val="center"/>
        <w:rPr>
          <w:rFonts w:ascii="Times New Roman" w:hAnsi="Times New Roman"/>
          <w:b/>
          <w:sz w:val="36"/>
          <w:szCs w:val="36"/>
        </w:rPr>
      </w:pPr>
    </w:p>
    <w:p w:rsidR="00C10AC2" w:rsidRDefault="0046362D">
      <w:pPr>
        <w:spacing w:line="360" w:lineRule="auto"/>
        <w:jc w:val="center"/>
        <w:rPr>
          <w:rFonts w:ascii="宋体" w:hAnsi="宋体" w:cs="宋体"/>
          <w:b/>
          <w:sz w:val="36"/>
          <w:szCs w:val="36"/>
        </w:rPr>
      </w:pPr>
      <w:r>
        <w:rPr>
          <w:rFonts w:ascii="宋体" w:hAnsi="宋体" w:cs="宋体" w:hint="eastAsia"/>
          <w:b/>
          <w:sz w:val="36"/>
          <w:szCs w:val="36"/>
        </w:rPr>
        <w:t>北京诚智乾懋混凝土有限公司“</w:t>
      </w:r>
      <w:r>
        <w:rPr>
          <w:rFonts w:ascii="宋体" w:hAnsi="宋体" w:cs="宋体" w:hint="eastAsia"/>
          <w:b/>
          <w:sz w:val="36"/>
          <w:szCs w:val="36"/>
        </w:rPr>
        <w:t>8</w:t>
      </w:r>
      <w:r>
        <w:rPr>
          <w:rFonts w:ascii="宋体" w:hAnsi="宋体" w:cs="宋体" w:hint="eastAsia"/>
          <w:b/>
          <w:sz w:val="36"/>
          <w:szCs w:val="36"/>
        </w:rPr>
        <w:t>•</w:t>
      </w:r>
      <w:r>
        <w:rPr>
          <w:rFonts w:ascii="宋体" w:hAnsi="宋体" w:cs="宋体" w:hint="eastAsia"/>
          <w:b/>
          <w:sz w:val="36"/>
          <w:szCs w:val="36"/>
        </w:rPr>
        <w:t>14</w:t>
      </w:r>
      <w:r>
        <w:rPr>
          <w:rFonts w:ascii="宋体" w:hAnsi="宋体" w:cs="宋体" w:hint="eastAsia"/>
          <w:b/>
          <w:sz w:val="36"/>
          <w:szCs w:val="36"/>
        </w:rPr>
        <w:t>”</w:t>
      </w:r>
    </w:p>
    <w:p w:rsidR="00C10AC2" w:rsidRDefault="0046362D">
      <w:pPr>
        <w:spacing w:line="360" w:lineRule="auto"/>
        <w:jc w:val="center"/>
        <w:rPr>
          <w:rFonts w:ascii="宋体" w:hAnsi="宋体" w:cs="宋体"/>
          <w:b/>
          <w:sz w:val="36"/>
          <w:szCs w:val="36"/>
        </w:rPr>
      </w:pPr>
      <w:r>
        <w:rPr>
          <w:rFonts w:ascii="宋体" w:hAnsi="宋体" w:cs="宋体" w:hint="eastAsia"/>
          <w:b/>
          <w:sz w:val="36"/>
          <w:szCs w:val="36"/>
        </w:rPr>
        <w:t>一般生产安全事故</w:t>
      </w:r>
    </w:p>
    <w:p w:rsidR="00C10AC2" w:rsidRDefault="0046362D">
      <w:pPr>
        <w:spacing w:line="360" w:lineRule="auto"/>
        <w:jc w:val="center"/>
        <w:rPr>
          <w:rFonts w:ascii="黑体" w:eastAsia="黑体" w:hAnsi="黑体" w:cs="黑体"/>
          <w:b/>
          <w:bCs/>
          <w:sz w:val="48"/>
          <w:szCs w:val="48"/>
        </w:rPr>
      </w:pPr>
      <w:r>
        <w:rPr>
          <w:rFonts w:ascii="黑体" w:eastAsia="黑体" w:hAnsi="黑体" w:cs="黑体" w:hint="eastAsia"/>
          <w:b/>
          <w:bCs/>
          <w:sz w:val="48"/>
          <w:szCs w:val="48"/>
        </w:rPr>
        <w:t>责任追究和整改措施落实情况</w:t>
      </w:r>
    </w:p>
    <w:p w:rsidR="00C10AC2" w:rsidRDefault="0046362D">
      <w:pPr>
        <w:spacing w:line="360" w:lineRule="auto"/>
        <w:jc w:val="center"/>
        <w:rPr>
          <w:rFonts w:ascii="Times New Roman" w:eastAsia="黑体" w:hAnsi="Times New Roman"/>
          <w:b/>
          <w:bCs/>
          <w:szCs w:val="48"/>
        </w:rPr>
      </w:pPr>
      <w:r>
        <w:rPr>
          <w:rFonts w:ascii="黑体" w:eastAsia="黑体" w:hAnsi="黑体" w:cs="黑体" w:hint="eastAsia"/>
          <w:b/>
          <w:bCs/>
          <w:sz w:val="48"/>
          <w:szCs w:val="48"/>
        </w:rPr>
        <w:t>评估报告</w:t>
      </w:r>
    </w:p>
    <w:p w:rsidR="00C10AC2" w:rsidRDefault="00C10AC2">
      <w:pPr>
        <w:ind w:firstLine="420"/>
        <w:jc w:val="center"/>
        <w:rPr>
          <w:rFonts w:ascii="Times New Roman" w:hAnsi="Times New Roman"/>
        </w:rPr>
      </w:pPr>
    </w:p>
    <w:p w:rsidR="00C10AC2" w:rsidRDefault="00C10AC2">
      <w:pPr>
        <w:rPr>
          <w:rFonts w:ascii="Times New Roman" w:eastAsia="黑体" w:hAnsi="Times New Roman"/>
          <w:b/>
          <w:bCs/>
          <w:sz w:val="48"/>
          <w:szCs w:val="48"/>
        </w:rPr>
      </w:pPr>
    </w:p>
    <w:p w:rsidR="00C10AC2" w:rsidRDefault="00C10AC2">
      <w:pPr>
        <w:ind w:firstLine="420"/>
        <w:jc w:val="center"/>
        <w:rPr>
          <w:rFonts w:ascii="Times New Roman" w:hAnsi="Times New Roman"/>
          <w:b/>
          <w:sz w:val="30"/>
          <w:szCs w:val="30"/>
        </w:rPr>
      </w:pPr>
    </w:p>
    <w:p w:rsidR="00C10AC2" w:rsidRDefault="00C10AC2">
      <w:pPr>
        <w:ind w:firstLine="420"/>
        <w:jc w:val="center"/>
        <w:rPr>
          <w:rFonts w:ascii="Times New Roman" w:hAnsi="Times New Roman"/>
        </w:rPr>
      </w:pPr>
    </w:p>
    <w:p w:rsidR="00C10AC2" w:rsidRDefault="00C10AC2">
      <w:pPr>
        <w:ind w:firstLine="420"/>
        <w:jc w:val="center"/>
        <w:rPr>
          <w:rFonts w:ascii="Times New Roman" w:hAnsi="Times New Roman"/>
        </w:rPr>
      </w:pPr>
    </w:p>
    <w:p w:rsidR="00C10AC2" w:rsidRDefault="00C10AC2">
      <w:pPr>
        <w:ind w:firstLine="420"/>
        <w:jc w:val="center"/>
        <w:rPr>
          <w:rFonts w:ascii="Times New Roman" w:hAnsi="Times New Roman"/>
        </w:rPr>
      </w:pPr>
    </w:p>
    <w:p w:rsidR="00C10AC2" w:rsidRDefault="00C10AC2">
      <w:pPr>
        <w:ind w:firstLine="420"/>
        <w:jc w:val="center"/>
        <w:rPr>
          <w:rFonts w:ascii="Times New Roman" w:hAnsi="Times New Roman"/>
        </w:rPr>
      </w:pPr>
    </w:p>
    <w:p w:rsidR="00C10AC2" w:rsidRDefault="00C10AC2">
      <w:pPr>
        <w:spacing w:line="360" w:lineRule="auto"/>
        <w:ind w:firstLineChars="300" w:firstLine="964"/>
        <w:rPr>
          <w:rFonts w:ascii="Times New Roman" w:hAnsi="Times New Roman"/>
          <w:b/>
          <w:sz w:val="32"/>
          <w:szCs w:val="32"/>
        </w:rPr>
      </w:pPr>
    </w:p>
    <w:p w:rsidR="00C10AC2" w:rsidRDefault="00C10AC2">
      <w:pPr>
        <w:spacing w:line="360" w:lineRule="auto"/>
        <w:ind w:firstLineChars="300" w:firstLine="964"/>
        <w:rPr>
          <w:rFonts w:ascii="Times New Roman" w:hAnsi="Times New Roman"/>
          <w:b/>
          <w:sz w:val="32"/>
          <w:szCs w:val="32"/>
        </w:rPr>
      </w:pPr>
    </w:p>
    <w:p w:rsidR="00C10AC2" w:rsidRDefault="00C10AC2">
      <w:pPr>
        <w:spacing w:line="360" w:lineRule="auto"/>
        <w:ind w:firstLineChars="300" w:firstLine="964"/>
        <w:rPr>
          <w:rFonts w:ascii="Times New Roman" w:hAnsi="Times New Roman"/>
          <w:b/>
          <w:sz w:val="32"/>
          <w:szCs w:val="32"/>
        </w:rPr>
      </w:pPr>
    </w:p>
    <w:p w:rsidR="00C10AC2" w:rsidRDefault="00C10AC2">
      <w:pPr>
        <w:spacing w:line="360" w:lineRule="auto"/>
        <w:ind w:firstLineChars="300" w:firstLine="964"/>
        <w:rPr>
          <w:rFonts w:ascii="Times New Roman" w:hAnsi="Times New Roman"/>
          <w:b/>
          <w:sz w:val="32"/>
          <w:szCs w:val="32"/>
        </w:rPr>
      </w:pPr>
    </w:p>
    <w:p w:rsidR="00C10AC2" w:rsidRDefault="00C10AC2">
      <w:pPr>
        <w:spacing w:line="360" w:lineRule="auto"/>
        <w:ind w:firstLineChars="300" w:firstLine="964"/>
        <w:rPr>
          <w:rFonts w:ascii="Times New Roman" w:hAnsi="Times New Roman"/>
          <w:b/>
          <w:sz w:val="32"/>
          <w:szCs w:val="32"/>
        </w:rPr>
      </w:pPr>
    </w:p>
    <w:p w:rsidR="00C10AC2" w:rsidRDefault="00C10AC2">
      <w:pPr>
        <w:spacing w:line="360" w:lineRule="auto"/>
        <w:ind w:firstLineChars="300" w:firstLine="964"/>
        <w:rPr>
          <w:rFonts w:ascii="Times New Roman" w:hAnsi="Times New Roman"/>
          <w:b/>
          <w:sz w:val="32"/>
          <w:szCs w:val="32"/>
        </w:rPr>
      </w:pPr>
    </w:p>
    <w:p w:rsidR="00C10AC2" w:rsidRDefault="00C10AC2">
      <w:pPr>
        <w:spacing w:line="360" w:lineRule="auto"/>
        <w:ind w:firstLineChars="300" w:firstLine="964"/>
        <w:rPr>
          <w:rFonts w:ascii="Times New Roman" w:hAnsi="Times New Roman"/>
          <w:b/>
          <w:sz w:val="32"/>
          <w:szCs w:val="32"/>
        </w:rPr>
      </w:pPr>
    </w:p>
    <w:p w:rsidR="00C10AC2" w:rsidRDefault="0046362D">
      <w:pPr>
        <w:spacing w:line="360" w:lineRule="auto"/>
        <w:jc w:val="center"/>
        <w:rPr>
          <w:rFonts w:ascii="Times New Roman" w:hAnsi="Times New Roman"/>
          <w:b/>
          <w:bCs/>
          <w:szCs w:val="44"/>
        </w:rPr>
      </w:pPr>
      <w:r>
        <w:rPr>
          <w:rFonts w:hint="eastAsia"/>
          <w:b/>
          <w:sz w:val="44"/>
          <w:szCs w:val="44"/>
        </w:rPr>
        <w:t>世纪万安科技</w:t>
      </w:r>
      <w:r>
        <w:rPr>
          <w:rFonts w:hint="eastAsia"/>
          <w:b/>
          <w:sz w:val="44"/>
          <w:szCs w:val="44"/>
        </w:rPr>
        <w:t>(</w:t>
      </w:r>
      <w:r>
        <w:rPr>
          <w:rFonts w:hint="eastAsia"/>
          <w:b/>
          <w:sz w:val="44"/>
          <w:szCs w:val="44"/>
        </w:rPr>
        <w:t>北京</w:t>
      </w:r>
      <w:r>
        <w:rPr>
          <w:rFonts w:hint="eastAsia"/>
          <w:b/>
          <w:sz w:val="44"/>
          <w:szCs w:val="44"/>
        </w:rPr>
        <w:t>)</w:t>
      </w:r>
      <w:r>
        <w:rPr>
          <w:rFonts w:hint="eastAsia"/>
          <w:b/>
          <w:sz w:val="44"/>
          <w:szCs w:val="44"/>
        </w:rPr>
        <w:t>有限公司</w:t>
      </w:r>
    </w:p>
    <w:p w:rsidR="00C10AC2" w:rsidRDefault="0046362D">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C10AC2" w:rsidRDefault="00C10AC2">
      <w:pPr>
        <w:spacing w:line="360" w:lineRule="auto"/>
        <w:jc w:val="center"/>
        <w:rPr>
          <w:rFonts w:ascii="Times New Roman" w:hAnsi="Times New Roman"/>
          <w:b/>
          <w:bCs/>
          <w:sz w:val="32"/>
          <w:szCs w:val="32"/>
        </w:rPr>
      </w:pPr>
    </w:p>
    <w:p w:rsidR="00C10AC2" w:rsidRDefault="00C10AC2">
      <w:pPr>
        <w:ind w:firstLine="420"/>
        <w:jc w:val="left"/>
        <w:rPr>
          <w:rFonts w:ascii="Times New Roman" w:hAnsi="Times New Roman"/>
        </w:rPr>
      </w:pPr>
    </w:p>
    <w:p w:rsidR="00C10AC2" w:rsidRDefault="00C10AC2">
      <w:pPr>
        <w:spacing w:beforeLines="100" w:before="240" w:line="480" w:lineRule="auto"/>
        <w:rPr>
          <w:rFonts w:ascii="Times New Roman" w:hAnsi="Times New Roman"/>
          <w:b/>
          <w:bCs/>
          <w:sz w:val="32"/>
          <w:szCs w:val="32"/>
        </w:rPr>
        <w:sectPr w:rsidR="00C10AC2">
          <w:footerReference w:type="default" r:id="rId9"/>
          <w:pgSz w:w="11907" w:h="16840"/>
          <w:pgMar w:top="1588" w:right="1531" w:bottom="1588" w:left="1644" w:header="1191" w:footer="1191" w:gutter="0"/>
          <w:cols w:space="720"/>
          <w:docGrid w:linePitch="312"/>
        </w:sectPr>
      </w:pPr>
    </w:p>
    <w:p w:rsidR="00C10AC2" w:rsidRDefault="0046362D">
      <w:pPr>
        <w:spacing w:line="360" w:lineRule="auto"/>
        <w:jc w:val="center"/>
        <w:rPr>
          <w:b/>
          <w:bCs/>
          <w:sz w:val="32"/>
          <w:szCs w:val="32"/>
        </w:rPr>
      </w:pPr>
      <w:bookmarkStart w:id="0" w:name="_Toc13563"/>
      <w:bookmarkStart w:id="1" w:name="_Toc2247"/>
      <w:r>
        <w:rPr>
          <w:b/>
          <w:bCs/>
          <w:sz w:val="32"/>
          <w:szCs w:val="32"/>
        </w:rPr>
        <w:lastRenderedPageBreak/>
        <w:t>前言</w:t>
      </w:r>
      <w:bookmarkEnd w:id="0"/>
      <w:bookmarkEnd w:id="1"/>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时</w:t>
      </w:r>
      <w:r>
        <w:rPr>
          <w:rFonts w:asciiTheme="minorEastAsia" w:eastAsiaTheme="minorEastAsia" w:hAnsiTheme="minorEastAsia" w:hint="eastAsia"/>
          <w:sz w:val="24"/>
          <w:szCs w:val="24"/>
        </w:rPr>
        <w:t>47</w:t>
      </w:r>
      <w:r>
        <w:rPr>
          <w:rFonts w:asciiTheme="minorEastAsia" w:eastAsiaTheme="minorEastAsia" w:hAnsiTheme="minorEastAsia" w:hint="eastAsia"/>
          <w:sz w:val="24"/>
          <w:szCs w:val="24"/>
        </w:rPr>
        <w:t>分左右，位于</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魏善庄镇北京诚智乾懋混凝土有限公司料仓内，发生一起车辆伤害事故，造成一人死亡。</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事故发生后，根据《生产安全事故报告和调查处理条例》《北京市生产安全事故报告和调查处理办法》《北京市生产安全事故调查处理工作规则》等有关法律法规和文件要求，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人民政府成立了由区应急管理局、区人力资源和社会保障局、区公安分局、区总工会、区住房和城乡建设委员会、魏善庄镇人民政府组成“</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”事故调查组，并依法邀请区纪委区监委列席参加，对此事故展开了全面的调查工作。依据《北京市生产安全事故责任追究和整改措施落实情况评估办法》（京安发﹝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w:t>
      </w:r>
      <w:r>
        <w:rPr>
          <w:rFonts w:asciiTheme="minorEastAsia" w:eastAsiaTheme="minorEastAsia" w:hAnsiTheme="minorEastAsia" w:hint="eastAsia"/>
          <w:sz w:val="24"/>
          <w:szCs w:val="24"/>
        </w:rPr>
        <w:t>况评估工作的通知》，北京市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应急管理局对北京诚智乾懋混凝土有限公司“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”一般生产安全事故成立了事故责任追究和整改措施落实情况评估组，并选定了有关专家及安全评价机构对事故发生单位现场进行实地查看，对事故发生单位整改措施落实情况进行了现场检查和评估。</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受北京市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应急管理局的委托，由</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针对事故企业现场检查评估情况，汇总整理了专家现场意见和</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对事故发生单位安全现状评估意见，最终编制完成了《北京诚智乾懋混凝土有限公司“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w:t>
      </w:r>
      <w:r>
        <w:rPr>
          <w:rFonts w:asciiTheme="minorEastAsia" w:eastAsiaTheme="minorEastAsia" w:hAnsiTheme="minorEastAsia" w:hint="eastAsia"/>
          <w:sz w:val="24"/>
          <w:szCs w:val="24"/>
        </w:rPr>
        <w:t>和整改措施落实情况评估报告》。</w:t>
      </w:r>
    </w:p>
    <w:p w:rsidR="00C10AC2" w:rsidRDefault="0046362D">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本事故整改评估报告在编制过程中，得到了区应急管理局有关领导、相关专家的大力支持和帮助，在此表示衷心的感谢。</w:t>
      </w:r>
    </w:p>
    <w:p w:rsidR="00C10AC2" w:rsidRDefault="00C10AC2">
      <w:pPr>
        <w:tabs>
          <w:tab w:val="left" w:pos="535"/>
        </w:tabs>
        <w:spacing w:line="360" w:lineRule="auto"/>
        <w:ind w:firstLineChars="200" w:firstLine="480"/>
        <w:rPr>
          <w:rFonts w:ascii="Times New Roman" w:hAnsi="Times New Roman"/>
          <w:sz w:val="24"/>
          <w:szCs w:val="24"/>
          <w:highlight w:val="yellow"/>
        </w:rPr>
      </w:pPr>
    </w:p>
    <w:p w:rsidR="00C10AC2" w:rsidRDefault="00C10AC2">
      <w:pPr>
        <w:tabs>
          <w:tab w:val="left" w:pos="535"/>
        </w:tabs>
        <w:spacing w:line="360" w:lineRule="auto"/>
        <w:ind w:firstLineChars="200" w:firstLine="480"/>
        <w:rPr>
          <w:rFonts w:ascii="Times New Roman" w:hAnsi="Times New Roman"/>
          <w:sz w:val="24"/>
          <w:szCs w:val="24"/>
          <w:highlight w:val="yellow"/>
        </w:rPr>
      </w:pPr>
    </w:p>
    <w:p w:rsidR="00C10AC2" w:rsidRDefault="0046362D">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C10AC2" w:rsidRDefault="0046362D">
      <w:pPr>
        <w:tabs>
          <w:tab w:val="left" w:pos="535"/>
        </w:tabs>
        <w:spacing w:line="360" w:lineRule="auto"/>
        <w:ind w:right="560" w:firstLineChars="2300" w:firstLine="5520"/>
        <w:jc w:val="right"/>
        <w:rPr>
          <w:rFonts w:asciiTheme="minorEastAsia" w:eastAsiaTheme="minorEastAsia" w:hAnsiTheme="minorEastAsia"/>
          <w:sz w:val="24"/>
          <w:szCs w:val="24"/>
        </w:rPr>
      </w:pPr>
      <w:r>
        <w:rPr>
          <w:rFonts w:asciiTheme="minorEastAsia" w:eastAsiaTheme="minorEastAsia" w:hAnsiTheme="minorEastAsia"/>
          <w:sz w:val="24"/>
          <w:szCs w:val="24"/>
        </w:rPr>
        <w:t>20</w:t>
      </w:r>
      <w:r>
        <w:rPr>
          <w:rFonts w:asciiTheme="minorEastAsia" w:eastAsiaTheme="minorEastAsia" w:hAnsiTheme="minorEastAsia" w:hint="eastAsia"/>
          <w:sz w:val="24"/>
          <w:szCs w:val="24"/>
        </w:rPr>
        <w:t>24</w:t>
      </w:r>
      <w:r>
        <w:rPr>
          <w:rFonts w:asciiTheme="minorEastAsia" w:eastAsiaTheme="minorEastAsia" w:hAnsiTheme="minorEastAsia"/>
          <w:sz w:val="24"/>
          <w:szCs w:val="24"/>
        </w:rPr>
        <w:t>年</w:t>
      </w:r>
      <w:r>
        <w:rPr>
          <w:rFonts w:asciiTheme="minorEastAsia" w:eastAsiaTheme="minorEastAsia" w:hAnsiTheme="minorEastAsia" w:hint="eastAsia"/>
          <w:sz w:val="24"/>
          <w:szCs w:val="24"/>
        </w:rPr>
        <w:t>9</w:t>
      </w:r>
      <w:r>
        <w:rPr>
          <w:rFonts w:asciiTheme="minorEastAsia" w:eastAsiaTheme="minorEastAsia" w:hAnsiTheme="minorEastAsia"/>
          <w:sz w:val="24"/>
          <w:szCs w:val="24"/>
        </w:rPr>
        <w:t>月</w:t>
      </w:r>
    </w:p>
    <w:p w:rsidR="00C10AC2" w:rsidRDefault="00C10AC2">
      <w:pPr>
        <w:topLinePunct/>
        <w:snapToGrid w:val="0"/>
        <w:spacing w:line="520" w:lineRule="exact"/>
        <w:ind w:firstLine="200"/>
        <w:rPr>
          <w:rFonts w:ascii="Times New Roman" w:hAnsi="Times New Roman"/>
          <w:sz w:val="28"/>
          <w:szCs w:val="28"/>
        </w:rPr>
        <w:sectPr w:rsidR="00C10AC2">
          <w:headerReference w:type="default" r:id="rId10"/>
          <w:footerReference w:type="default" r:id="rId11"/>
          <w:pgSz w:w="11907" w:h="16840"/>
          <w:pgMar w:top="1588" w:right="1474" w:bottom="1588" w:left="1474" w:header="1021" w:footer="1021" w:gutter="0"/>
          <w:pgNumType w:fmt="lowerRoman" w:start="1"/>
          <w:cols w:space="720"/>
          <w:docGrid w:linePitch="312"/>
        </w:sectPr>
      </w:pPr>
    </w:p>
    <w:sdt>
      <w:sdtPr>
        <w:rPr>
          <w:rFonts w:ascii="宋体" w:hAnsi="宋体"/>
        </w:rPr>
        <w:id w:val="147470598"/>
        <w:docPartObj>
          <w:docPartGallery w:val="Table of Contents"/>
          <w:docPartUnique/>
        </w:docPartObj>
      </w:sdtPr>
      <w:sdtEndPr>
        <w:rPr>
          <w:rFonts w:asciiTheme="minorEastAsia" w:eastAsiaTheme="minorEastAsia" w:hAnsiTheme="minorEastAsia"/>
          <w:b/>
          <w:bCs/>
          <w:szCs w:val="32"/>
        </w:rPr>
      </w:sdtEndPr>
      <w:sdtContent>
        <w:p w:rsidR="00C10AC2" w:rsidRDefault="0046362D">
          <w:pPr>
            <w:jc w:val="center"/>
            <w:rPr>
              <w:b/>
              <w:bCs/>
              <w:sz w:val="32"/>
              <w:szCs w:val="36"/>
            </w:rPr>
          </w:pPr>
          <w:r>
            <w:rPr>
              <w:rFonts w:ascii="宋体" w:hAnsi="宋体"/>
              <w:b/>
              <w:bCs/>
              <w:sz w:val="32"/>
              <w:szCs w:val="36"/>
            </w:rPr>
            <w:t>目</w:t>
          </w:r>
          <w:r>
            <w:rPr>
              <w:rFonts w:ascii="宋体" w:hAnsi="宋体" w:hint="eastAsia"/>
              <w:b/>
              <w:bCs/>
              <w:sz w:val="32"/>
              <w:szCs w:val="36"/>
            </w:rPr>
            <w:t xml:space="preserve">  </w:t>
          </w:r>
          <w:r>
            <w:rPr>
              <w:rFonts w:ascii="宋体" w:hAnsi="宋体"/>
              <w:b/>
              <w:bCs/>
              <w:sz w:val="32"/>
              <w:szCs w:val="36"/>
            </w:rPr>
            <w:t>录</w:t>
          </w:r>
        </w:p>
        <w:p w:rsidR="00C10AC2" w:rsidRDefault="0046362D">
          <w:pPr>
            <w:pStyle w:val="20"/>
            <w:tabs>
              <w:tab w:val="right" w:leader="dot" w:pos="8306"/>
            </w:tabs>
            <w:spacing w:line="360" w:lineRule="auto"/>
            <w:rPr>
              <w:rFonts w:ascii="宋体" w:hAnsi="宋体" w:cs="宋体"/>
              <w:sz w:val="24"/>
              <w:szCs w:val="24"/>
            </w:rPr>
          </w:pPr>
          <w:r>
            <w:rPr>
              <w:rFonts w:asciiTheme="minorEastAsia" w:eastAsiaTheme="minorEastAsia" w:hAnsiTheme="minorEastAsia"/>
              <w:b/>
              <w:bCs/>
              <w:sz w:val="32"/>
              <w:szCs w:val="32"/>
            </w:rPr>
            <w:fldChar w:fldCharType="begin"/>
          </w:r>
          <w:r>
            <w:rPr>
              <w:rFonts w:asciiTheme="minorEastAsia" w:eastAsiaTheme="minorEastAsia" w:hAnsiTheme="minorEastAsia"/>
              <w:b/>
              <w:bCs/>
              <w:sz w:val="32"/>
              <w:szCs w:val="32"/>
            </w:rPr>
            <w:instrText xml:space="preserve">TOC \o "1-2" \h \u </w:instrText>
          </w:r>
          <w:r>
            <w:rPr>
              <w:rFonts w:asciiTheme="minorEastAsia" w:eastAsiaTheme="minorEastAsia" w:hAnsiTheme="minorEastAsia"/>
              <w:b/>
              <w:bCs/>
              <w:sz w:val="32"/>
              <w:szCs w:val="32"/>
            </w:rPr>
            <w:fldChar w:fldCharType="separate"/>
          </w:r>
          <w:hyperlink w:anchor="_Toc21521" w:history="1">
            <w:r>
              <w:rPr>
                <w:rFonts w:ascii="宋体" w:hAnsi="宋体" w:cs="宋体" w:hint="eastAsia"/>
                <w:sz w:val="24"/>
                <w:szCs w:val="24"/>
              </w:rPr>
              <w:t xml:space="preserve">1 </w:t>
            </w:r>
            <w:r>
              <w:rPr>
                <w:rFonts w:ascii="宋体" w:hAnsi="宋体" w:cs="宋体" w:hint="eastAsia"/>
                <w:sz w:val="24"/>
                <w:szCs w:val="24"/>
              </w:rPr>
              <w:t>编制说明</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_Toc21521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1902" w:history="1">
            <w:r>
              <w:rPr>
                <w:rFonts w:ascii="宋体" w:hAnsi="宋体" w:cs="宋体" w:hint="eastAsia"/>
                <w:sz w:val="24"/>
                <w:szCs w:val="24"/>
              </w:rPr>
              <w:t xml:space="preserve">1.1 </w:t>
            </w:r>
            <w:r>
              <w:rPr>
                <w:rFonts w:ascii="宋体" w:hAnsi="宋体" w:cs="宋体" w:hint="eastAsia"/>
                <w:sz w:val="24"/>
                <w:szCs w:val="24"/>
              </w:rPr>
              <w:t>评估目的及意义</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_Toc1902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14747" w:history="1">
            <w:r>
              <w:rPr>
                <w:rFonts w:ascii="宋体" w:hAnsi="宋体" w:cs="宋体" w:hint="eastAsia"/>
                <w:sz w:val="24"/>
                <w:szCs w:val="24"/>
              </w:rPr>
              <w:t xml:space="preserve">1.2 </w:t>
            </w:r>
            <w:r>
              <w:rPr>
                <w:rFonts w:ascii="宋体" w:hAnsi="宋体" w:cs="宋体" w:hint="eastAsia"/>
                <w:sz w:val="24"/>
                <w:szCs w:val="24"/>
              </w:rPr>
              <w:t>评估对象及范围</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_Toc14747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14709" w:history="1">
            <w:r>
              <w:rPr>
                <w:rFonts w:ascii="宋体" w:hAnsi="宋体" w:cs="宋体" w:hint="eastAsia"/>
                <w:sz w:val="24"/>
                <w:szCs w:val="24"/>
              </w:rPr>
              <w:t xml:space="preserve">1.3 </w:t>
            </w:r>
            <w:r>
              <w:rPr>
                <w:rFonts w:ascii="宋体" w:hAnsi="宋体" w:cs="宋体" w:hint="eastAsia"/>
                <w:sz w:val="24"/>
                <w:szCs w:val="24"/>
              </w:rPr>
              <w:t>评估程序和评估方法</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_Toc14709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17717" w:history="1">
            <w:r>
              <w:rPr>
                <w:rFonts w:ascii="宋体" w:hAnsi="宋体" w:cs="宋体" w:hint="eastAsia"/>
                <w:sz w:val="24"/>
                <w:szCs w:val="24"/>
              </w:rPr>
              <w:t xml:space="preserve">1.4 </w:t>
            </w:r>
            <w:r>
              <w:rPr>
                <w:rFonts w:ascii="宋体" w:hAnsi="宋体" w:cs="宋体" w:hint="eastAsia"/>
                <w:sz w:val="24"/>
                <w:szCs w:val="24"/>
              </w:rPr>
              <w:t>组织评估和开展评估</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_Toc17717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21692" w:history="1">
            <w:r>
              <w:rPr>
                <w:rFonts w:ascii="宋体" w:hAnsi="宋体" w:cs="宋体" w:hint="eastAsia"/>
                <w:sz w:val="24"/>
                <w:szCs w:val="24"/>
              </w:rPr>
              <w:t xml:space="preserve">1.5 </w:t>
            </w:r>
            <w:r>
              <w:rPr>
                <w:rFonts w:ascii="宋体" w:hAnsi="宋体" w:cs="宋体" w:hint="eastAsia"/>
                <w:sz w:val="24"/>
                <w:szCs w:val="24"/>
              </w:rPr>
              <w:t>评估依据</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_Toc21692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rPr>
              <w:rFonts w:ascii="宋体" w:hAnsi="宋体" w:cs="宋体"/>
              <w:sz w:val="24"/>
              <w:szCs w:val="24"/>
            </w:rPr>
          </w:pPr>
          <w:hyperlink w:anchor="_Toc20416" w:history="1">
            <w:r>
              <w:rPr>
                <w:rFonts w:ascii="宋体" w:hAnsi="宋体" w:cs="宋体" w:hint="eastAsia"/>
                <w:sz w:val="24"/>
                <w:szCs w:val="24"/>
              </w:rPr>
              <w:t xml:space="preserve">2 </w:t>
            </w:r>
            <w:r>
              <w:rPr>
                <w:rFonts w:ascii="宋体" w:hAnsi="宋体" w:cs="宋体" w:hint="eastAsia"/>
                <w:sz w:val="24"/>
                <w:szCs w:val="24"/>
              </w:rPr>
              <w:t>事故责任单位及人员责任追究落实情况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_Toc20416</w:instrText>
            </w:r>
            <w:r>
              <w:rPr>
                <w:rFonts w:ascii="宋体" w:hAnsi="宋体" w:cs="宋体" w:hint="eastAsia"/>
                <w:sz w:val="24"/>
                <w:szCs w:val="24"/>
              </w:rPr>
              <w:instrText xml:space="preserve">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23579" w:history="1">
            <w:r>
              <w:rPr>
                <w:rFonts w:ascii="宋体" w:hAnsi="宋体" w:cs="宋体" w:hint="eastAsia"/>
                <w:sz w:val="24"/>
                <w:szCs w:val="24"/>
              </w:rPr>
              <w:t xml:space="preserve">2.1 </w:t>
            </w:r>
            <w:r>
              <w:rPr>
                <w:rFonts w:ascii="宋体" w:hAnsi="宋体" w:cs="宋体" w:hint="eastAsia"/>
                <w:sz w:val="24"/>
                <w:szCs w:val="24"/>
              </w:rPr>
              <w:t>事故责任单位责任追究落实情况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_Toc23579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4169" w:history="1">
            <w:r>
              <w:rPr>
                <w:rFonts w:ascii="宋体" w:hAnsi="宋体" w:cs="宋体" w:hint="eastAsia"/>
                <w:sz w:val="24"/>
                <w:szCs w:val="24"/>
              </w:rPr>
              <w:t xml:space="preserve">2.2 </w:t>
            </w:r>
            <w:r>
              <w:rPr>
                <w:rFonts w:ascii="宋体" w:hAnsi="宋体" w:cs="宋体" w:hint="eastAsia"/>
                <w:sz w:val="24"/>
                <w:szCs w:val="24"/>
              </w:rPr>
              <w:t>事故责任人员责任追究落实情况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w:instrText>
            </w:r>
            <w:r>
              <w:rPr>
                <w:rFonts w:ascii="宋体" w:hAnsi="宋体" w:cs="宋体" w:hint="eastAsia"/>
                <w:sz w:val="24"/>
                <w:szCs w:val="24"/>
              </w:rPr>
              <w:instrText xml:space="preserve">EREF _Toc4169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rPr>
              <w:rFonts w:ascii="宋体" w:hAnsi="宋体" w:cs="宋体"/>
              <w:sz w:val="24"/>
              <w:szCs w:val="24"/>
            </w:rPr>
          </w:pPr>
          <w:hyperlink w:anchor="_Toc13233" w:history="1">
            <w:r>
              <w:rPr>
                <w:rFonts w:ascii="宋体" w:hAnsi="宋体" w:cs="宋体" w:hint="eastAsia"/>
                <w:sz w:val="24"/>
                <w:szCs w:val="24"/>
              </w:rPr>
              <w:t xml:space="preserve">3 </w:t>
            </w:r>
            <w:r>
              <w:rPr>
                <w:rFonts w:ascii="宋体" w:hAnsi="宋体" w:cs="宋体" w:hint="eastAsia"/>
                <w:sz w:val="24"/>
                <w:szCs w:val="24"/>
              </w:rPr>
              <w:t>事故责任单位整改措施落实情况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_Toc13233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26256" w:history="1">
            <w:r>
              <w:rPr>
                <w:rFonts w:ascii="宋体" w:hAnsi="宋体" w:cs="宋体" w:hint="eastAsia"/>
                <w:sz w:val="24"/>
                <w:szCs w:val="24"/>
              </w:rPr>
              <w:t xml:space="preserve">3.1 </w:t>
            </w:r>
            <w:r>
              <w:rPr>
                <w:rFonts w:ascii="宋体" w:hAnsi="宋体" w:cs="宋体" w:hint="eastAsia"/>
                <w:sz w:val="24"/>
                <w:szCs w:val="24"/>
              </w:rPr>
              <w:t>事故调查报告中建议整改措施情况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_Toc26256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7</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8153" w:history="1">
            <w:r>
              <w:rPr>
                <w:rFonts w:ascii="宋体" w:hAnsi="宋体" w:cs="宋体" w:hint="eastAsia"/>
                <w:sz w:val="24"/>
                <w:szCs w:val="24"/>
              </w:rPr>
              <w:t xml:space="preserve">3.2 </w:t>
            </w:r>
            <w:r>
              <w:rPr>
                <w:rFonts w:ascii="宋体" w:hAnsi="宋体" w:cs="宋体" w:hint="eastAsia"/>
                <w:sz w:val="24"/>
                <w:szCs w:val="24"/>
              </w:rPr>
              <w:t>事故调查报告整改建议落实情况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_Toc8153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7</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rPr>
              <w:rFonts w:ascii="宋体" w:hAnsi="宋体" w:cs="宋体"/>
              <w:sz w:val="24"/>
              <w:szCs w:val="24"/>
            </w:rPr>
          </w:pPr>
          <w:hyperlink w:anchor="_Toc17084" w:history="1">
            <w:r>
              <w:rPr>
                <w:rFonts w:ascii="宋体" w:hAnsi="宋体" w:cs="宋体" w:hint="eastAsia"/>
                <w:sz w:val="24"/>
                <w:szCs w:val="24"/>
              </w:rPr>
              <w:t>4</w:t>
            </w:r>
            <w:r>
              <w:rPr>
                <w:rFonts w:ascii="宋体" w:hAnsi="宋体" w:cs="宋体" w:hint="eastAsia"/>
                <w:sz w:val="24"/>
                <w:szCs w:val="24"/>
              </w:rPr>
              <w:t>评估意见</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_Toc17084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24718" w:history="1">
            <w:r>
              <w:rPr>
                <w:rFonts w:ascii="宋体" w:hAnsi="宋体" w:cs="宋体" w:hint="eastAsia"/>
                <w:sz w:val="24"/>
                <w:szCs w:val="24"/>
              </w:rPr>
              <w:t xml:space="preserve">4.1 </w:t>
            </w:r>
            <w:r>
              <w:rPr>
                <w:rFonts w:ascii="宋体" w:hAnsi="宋体" w:cs="宋体" w:hint="eastAsia"/>
                <w:sz w:val="24"/>
                <w:szCs w:val="24"/>
              </w:rPr>
              <w:t>评估总体意见</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_Toc24718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23452" w:history="1">
            <w:r>
              <w:rPr>
                <w:rFonts w:ascii="宋体" w:hAnsi="宋体" w:cs="宋体" w:hint="eastAsia"/>
                <w:sz w:val="24"/>
                <w:szCs w:val="24"/>
              </w:rPr>
              <w:t xml:space="preserve">4.2 </w:t>
            </w:r>
            <w:r>
              <w:rPr>
                <w:rFonts w:ascii="宋体" w:hAnsi="宋体" w:cs="宋体" w:hint="eastAsia"/>
                <w:sz w:val="24"/>
                <w:szCs w:val="24"/>
              </w:rPr>
              <w:t>专家现场意见</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_Toc23452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9</w:t>
            </w:r>
            <w:r>
              <w:rPr>
                <w:rFonts w:ascii="宋体" w:hAnsi="宋体" w:cs="宋体" w:hint="eastAsia"/>
                <w:sz w:val="24"/>
                <w:szCs w:val="24"/>
              </w:rPr>
              <w:fldChar w:fldCharType="end"/>
            </w:r>
          </w:hyperlink>
        </w:p>
        <w:p w:rsidR="00C10AC2" w:rsidRDefault="0046362D">
          <w:pPr>
            <w:pStyle w:val="20"/>
            <w:tabs>
              <w:tab w:val="right" w:leader="dot" w:pos="8306"/>
            </w:tabs>
            <w:spacing w:line="360" w:lineRule="auto"/>
            <w:ind w:firstLineChars="200" w:firstLine="400"/>
            <w:rPr>
              <w:rFonts w:ascii="宋体" w:hAnsi="宋体" w:cs="宋体"/>
              <w:sz w:val="24"/>
              <w:szCs w:val="24"/>
            </w:rPr>
          </w:pPr>
          <w:hyperlink w:anchor="_Toc29971" w:history="1">
            <w:r>
              <w:rPr>
                <w:rFonts w:ascii="宋体" w:hAnsi="宋体" w:cs="宋体" w:hint="eastAsia"/>
                <w:sz w:val="24"/>
                <w:szCs w:val="24"/>
              </w:rPr>
              <w:t>4.3</w:t>
            </w:r>
            <w:r>
              <w:rPr>
                <w:rFonts w:ascii="宋体" w:hAnsi="宋体" w:cs="宋体" w:hint="eastAsia"/>
                <w:sz w:val="24"/>
                <w:szCs w:val="24"/>
              </w:rPr>
              <w:t>评估结论</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_Toc29971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9</w:t>
            </w:r>
            <w:r>
              <w:rPr>
                <w:rFonts w:ascii="宋体" w:hAnsi="宋体" w:cs="宋体" w:hint="eastAsia"/>
                <w:sz w:val="24"/>
                <w:szCs w:val="24"/>
              </w:rPr>
              <w:fldChar w:fldCharType="end"/>
            </w:r>
          </w:hyperlink>
        </w:p>
        <w:p w:rsidR="00C10AC2" w:rsidRDefault="00C10AC2">
          <w:pPr>
            <w:pStyle w:val="20"/>
            <w:tabs>
              <w:tab w:val="right" w:leader="dot" w:pos="8306"/>
            </w:tabs>
            <w:spacing w:line="360" w:lineRule="auto"/>
          </w:pPr>
        </w:p>
        <w:p w:rsidR="00C10AC2" w:rsidRDefault="0046362D">
          <w:pPr>
            <w:topLinePunct/>
            <w:snapToGrid w:val="0"/>
            <w:spacing w:afterLines="100" w:after="312" w:line="360" w:lineRule="auto"/>
            <w:jc w:val="center"/>
            <w:rPr>
              <w:rFonts w:asciiTheme="minorEastAsia" w:eastAsiaTheme="minorEastAsia" w:hAnsiTheme="minorEastAsia"/>
              <w:b/>
              <w:bCs/>
              <w:sz w:val="32"/>
              <w:szCs w:val="32"/>
            </w:rPr>
          </w:pPr>
          <w:r>
            <w:rPr>
              <w:rFonts w:asciiTheme="minorEastAsia" w:eastAsiaTheme="minorEastAsia" w:hAnsiTheme="minorEastAsia"/>
              <w:bCs/>
              <w:szCs w:val="32"/>
            </w:rPr>
            <w:fldChar w:fldCharType="end"/>
          </w:r>
        </w:p>
      </w:sdtContent>
    </w:sdt>
    <w:p w:rsidR="00C10AC2" w:rsidRDefault="00C10AC2">
      <w:pPr>
        <w:pStyle w:val="2"/>
        <w:rPr>
          <w:rFonts w:ascii="Times New Roman" w:hAnsi="Times New Roman"/>
          <w:szCs w:val="24"/>
          <w:u w:val="single"/>
        </w:rPr>
        <w:sectPr w:rsidR="00C10AC2">
          <w:headerReference w:type="default" r:id="rId12"/>
          <w:footerReference w:type="default" r:id="rId13"/>
          <w:pgSz w:w="11906" w:h="16838"/>
          <w:pgMar w:top="1440" w:right="1800" w:bottom="1440" w:left="1800" w:header="851" w:footer="992" w:gutter="0"/>
          <w:cols w:space="425"/>
          <w:docGrid w:type="lines" w:linePitch="312"/>
        </w:sectPr>
      </w:pPr>
      <w:bookmarkStart w:id="2" w:name="_Toc19645"/>
      <w:bookmarkStart w:id="3" w:name="_Toc146532263"/>
    </w:p>
    <w:p w:rsidR="00C10AC2" w:rsidRDefault="0046362D">
      <w:pPr>
        <w:pStyle w:val="2"/>
      </w:pPr>
      <w:bookmarkStart w:id="4" w:name="_Toc21521"/>
      <w:r>
        <w:rPr>
          <w:rFonts w:hint="eastAsia"/>
        </w:rPr>
        <w:lastRenderedPageBreak/>
        <w:t xml:space="preserve">1 </w:t>
      </w:r>
      <w:r>
        <w:rPr>
          <w:rFonts w:hint="eastAsia"/>
        </w:rPr>
        <w:t>编制说明</w:t>
      </w:r>
      <w:bookmarkEnd w:id="2"/>
      <w:bookmarkEnd w:id="3"/>
      <w:bookmarkEnd w:id="4"/>
    </w:p>
    <w:p w:rsidR="00C10AC2" w:rsidRDefault="0046362D">
      <w:pPr>
        <w:pStyle w:val="3"/>
      </w:pPr>
      <w:bookmarkStart w:id="5" w:name="_Toc1902"/>
      <w:r>
        <w:rPr>
          <w:rFonts w:hint="eastAsia"/>
        </w:rPr>
        <w:t xml:space="preserve">1.1 </w:t>
      </w:r>
      <w:r>
        <w:rPr>
          <w:rFonts w:hint="eastAsia"/>
        </w:rPr>
        <w:t>评估目的及意义</w:t>
      </w:r>
      <w:bookmarkEnd w:id="5"/>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为切实加强安全生产工作，深入贯彻落实《国务院办公厅关于加强安全生产监管执法的通知》（国办发〔</w:t>
      </w: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号）、《北京市生产安全事故责任追究和整改措施落实情况评估办法》（京安发﹝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w:t>
      </w:r>
      <w:r>
        <w:rPr>
          <w:rFonts w:asciiTheme="minorEastAsia" w:eastAsiaTheme="minorEastAsia" w:hAnsiTheme="minorEastAsia" w:hint="eastAsia"/>
          <w:sz w:val="24"/>
          <w:szCs w:val="24"/>
        </w:rPr>
        <w:t>事故整改和防范措施落实情况评估工作的通知》等文件精神，特开展此项工作。</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C10AC2" w:rsidRDefault="0046362D">
      <w:pPr>
        <w:pStyle w:val="3"/>
      </w:pPr>
      <w:bookmarkStart w:id="6" w:name="_Toc14747"/>
      <w:r>
        <w:rPr>
          <w:rFonts w:hint="eastAsia"/>
        </w:rPr>
        <w:t xml:space="preserve">1.2 </w:t>
      </w:r>
      <w:r>
        <w:rPr>
          <w:rFonts w:hint="eastAsia"/>
        </w:rPr>
        <w:t>评估对象及范围</w:t>
      </w:r>
      <w:bookmarkEnd w:id="6"/>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本次事故责任追究和整改措施落实情况评估的对象：北京诚智乾懋混凝土有限公司“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”一般生产安全事故责任单位及相关人员。</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本次评估的范围：政府相关部门针对《北京诚智乾懋混凝土有限公司“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”一般生产安全事故调查报告》中所提出的对事故责任单位及相关人员行政处罚处理落实情况，以及事故责任单位对所提出的整改措施的落实情况等。</w:t>
      </w:r>
    </w:p>
    <w:p w:rsidR="00C10AC2" w:rsidRDefault="0046362D">
      <w:pPr>
        <w:pStyle w:val="3"/>
      </w:pPr>
      <w:bookmarkStart w:id="7" w:name="_Toc14709"/>
      <w:r>
        <w:rPr>
          <w:rFonts w:hint="eastAsia"/>
        </w:rPr>
        <w:t xml:space="preserve">1.3 </w:t>
      </w:r>
      <w:r>
        <w:rPr>
          <w:rFonts w:hint="eastAsia"/>
        </w:rPr>
        <w:t>评估程序和评估方法</w:t>
      </w:r>
      <w:bookmarkEnd w:id="7"/>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1.3.1</w:t>
      </w:r>
      <w:r>
        <w:rPr>
          <w:rFonts w:asciiTheme="minorEastAsia" w:eastAsiaTheme="minorEastAsia" w:hAnsiTheme="minorEastAsia" w:hint="eastAsia"/>
          <w:b/>
          <w:sz w:val="24"/>
          <w:szCs w:val="24"/>
        </w:rPr>
        <w:t>评估程序</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w:t>
      </w:r>
      <w:proofErr w:type="gramStart"/>
      <w:r>
        <w:rPr>
          <w:rFonts w:asciiTheme="minorEastAsia" w:eastAsiaTheme="minorEastAsia" w:hAnsiTheme="minorEastAsia" w:hint="eastAsia"/>
          <w:sz w:val="24"/>
          <w:szCs w:val="24"/>
        </w:rPr>
        <w:t>”</w:t>
      </w:r>
      <w:proofErr w:type="gramEnd"/>
      <w:r>
        <w:rPr>
          <w:rFonts w:asciiTheme="minorEastAsia" w:eastAsiaTheme="minorEastAsia" w:hAnsiTheme="minorEastAsia" w:hint="eastAsia"/>
          <w:sz w:val="24"/>
          <w:szCs w:val="24"/>
        </w:rPr>
        <w:t>责任追究和整改措施落实评估程序主要包括：现场评估调查准备（前期准备）；现场评估</w:t>
      </w:r>
      <w:r>
        <w:rPr>
          <w:rFonts w:asciiTheme="minorEastAsia" w:eastAsiaTheme="minorEastAsia" w:hAnsiTheme="minorEastAsia" w:hint="eastAsia"/>
          <w:sz w:val="24"/>
          <w:szCs w:val="24"/>
        </w:rPr>
        <w:t>调查实施（包括：首次会、调查评估）；评估调查总结论证；编制评估报告。</w:t>
      </w:r>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1.3.2</w:t>
      </w:r>
      <w:r>
        <w:rPr>
          <w:rFonts w:asciiTheme="minorEastAsia" w:eastAsiaTheme="minorEastAsia" w:hAnsiTheme="minorEastAsia" w:hint="eastAsia"/>
          <w:b/>
          <w:sz w:val="24"/>
          <w:szCs w:val="24"/>
        </w:rPr>
        <w:t>评估方法</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本次评估评估组主要通过以下方式方法开展工作</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）通过深入事故发生单位生产现场，采取现场踏勘排查、调阅资料、听取汇报和询问等方式进行；</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）评估组人员通过听取事故发生单位事故发生后安全生产管理工作情况的汇报，并向事故相关人员询问了解、核查事故发生后整改措施落实情况；</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）以现场检查为主，真实反映事故发生单位的安全生产工作情况；</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）评估人员做好全程记录，必要时制作现场检查记录，记录内容包括时间、地点、检查内容、事故隐患或存在的问题等。</w:t>
      </w:r>
    </w:p>
    <w:p w:rsidR="00C10AC2" w:rsidRDefault="0046362D">
      <w:pPr>
        <w:pStyle w:val="3"/>
      </w:pPr>
      <w:bookmarkStart w:id="8" w:name="_Toc17717"/>
      <w:r>
        <w:rPr>
          <w:rFonts w:hint="eastAsia"/>
        </w:rPr>
        <w:t xml:space="preserve">1.4 </w:t>
      </w:r>
      <w:r>
        <w:rPr>
          <w:rFonts w:hint="eastAsia"/>
        </w:rPr>
        <w:t>组织评估和开展评估</w:t>
      </w:r>
      <w:bookmarkEnd w:id="8"/>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1.4.1</w:t>
      </w:r>
      <w:r>
        <w:rPr>
          <w:rFonts w:asciiTheme="minorEastAsia" w:eastAsiaTheme="minorEastAsia" w:hAnsiTheme="minorEastAsia" w:hint="eastAsia"/>
          <w:b/>
          <w:sz w:val="24"/>
          <w:szCs w:val="24"/>
        </w:rPr>
        <w:t>组织评估</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在本次评估过程中，</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（以下简称：</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在北京市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应急管理局主导下，</w:t>
      </w:r>
      <w:r>
        <w:rPr>
          <w:rFonts w:asciiTheme="minorEastAsia" w:eastAsiaTheme="minorEastAsia" w:hAnsiTheme="minorEastAsia" w:hint="eastAsia"/>
          <w:sz w:val="24"/>
          <w:szCs w:val="24"/>
        </w:rPr>
        <w:t>组织技术人员组成综合评估组（以下简称：评估组），对北京诚智乾懋混凝土有限公司“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”一般生产安全事故责任追究和整改措施落实情况进行了全面评估。</w:t>
      </w:r>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1.4.2</w:t>
      </w:r>
      <w:r>
        <w:rPr>
          <w:rFonts w:asciiTheme="minorEastAsia" w:eastAsiaTheme="minorEastAsia" w:hAnsiTheme="minorEastAsia" w:hint="eastAsia"/>
          <w:b/>
          <w:sz w:val="24"/>
          <w:szCs w:val="24"/>
        </w:rPr>
        <w:t>开展评估</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评估组严格执行《关于开展大兴区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w:t>
      </w:r>
      <w:r>
        <w:rPr>
          <w:rFonts w:asciiTheme="minorEastAsia" w:eastAsiaTheme="minorEastAsia" w:hAnsiTheme="minorEastAsia" w:hint="eastAsia"/>
          <w:sz w:val="24"/>
          <w:szCs w:val="24"/>
        </w:rPr>
        <w:t>通知》的有关规定，认真研读了《北京诚智乾懋混凝土有限公司“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月，评估组采取听取汇报、调阅事故原始档案、现场核查及询问等方法，深入事故发生单位现场开展评估工作。听取了事故责任单位的事故整改情况报告，对北京诚智乾懋混凝土有限公司“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”一般生产安全事故责任追究和整改措施落实情况进行了逐一梳理和核实，同时，对事故单位整改措施落实情况开展了现场评估检查，对评估过程中发现的问题，当即与事故相关单位进行了沟通，并向</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进行了反馈，要求企业立即组织整改</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评估组召开全体成员会议，经充分讨论，形成评估意见。最终</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汇总评估组对事故责任单位、事故责任人员责任追究落实情况、事故发生单位整改措施落实情况等编写完成《北京诚智乾懋混凝土有限公司“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”一般生产安全事故责任追究和整改措施落实情况评估报告》。</w:t>
      </w:r>
    </w:p>
    <w:p w:rsidR="00C10AC2" w:rsidRDefault="0046362D">
      <w:pPr>
        <w:pStyle w:val="3"/>
      </w:pPr>
      <w:bookmarkStart w:id="9" w:name="_Toc21692"/>
      <w:r>
        <w:rPr>
          <w:rFonts w:hint="eastAsia"/>
        </w:rPr>
        <w:lastRenderedPageBreak/>
        <w:t xml:space="preserve">1.5 </w:t>
      </w:r>
      <w:r>
        <w:rPr>
          <w:rFonts w:hint="eastAsia"/>
        </w:rPr>
        <w:t>评估依据</w:t>
      </w:r>
      <w:bookmarkEnd w:id="9"/>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”一般生产安全事故责任追究和整改措施落实情况评估工作，主要依据《北京诚智乾懋混凝土有限公司“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”一般生产安全事故调查报告》及相关的国家法律法规及标准。</w:t>
      </w:r>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1.5.1</w:t>
      </w:r>
      <w:r>
        <w:rPr>
          <w:rFonts w:asciiTheme="minorEastAsia" w:eastAsiaTheme="minorEastAsia" w:hAnsiTheme="minorEastAsia" w:hint="eastAsia"/>
          <w:b/>
          <w:sz w:val="24"/>
          <w:szCs w:val="24"/>
        </w:rPr>
        <w:t>法律法规</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）《中华人民共和国安</w:t>
      </w:r>
      <w:r>
        <w:rPr>
          <w:rFonts w:asciiTheme="minorEastAsia" w:eastAsiaTheme="minorEastAsia" w:hAnsiTheme="minorEastAsia" w:hint="eastAsia"/>
          <w:sz w:val="24"/>
          <w:szCs w:val="24"/>
        </w:rPr>
        <w:t>全生产法》</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）《中华人民共和国消防法》</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）《生产安全事故报告和调查处理条例》（中华人民共和国国务院令</w:t>
      </w:r>
      <w:r>
        <w:rPr>
          <w:rFonts w:asciiTheme="minorEastAsia" w:eastAsiaTheme="minorEastAsia" w:hAnsiTheme="minorEastAsia" w:hint="eastAsia"/>
          <w:sz w:val="24"/>
          <w:szCs w:val="24"/>
        </w:rPr>
        <w:t>[2007]</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）《生产经营单位安全培训规定》（原国家安全生产监督管理总局令第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号）</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）《特种作业人员安全技术培训考核管理规定》（原国家安全生产监督管理总局令第</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号）</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）《安全生产培训管理办法》（原国家安全生产监督管理总局令第</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号）</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）《生产安全事故应急预案管理办法》（应急管理部令第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）《建设项目安全设施“三同时”监督管理办法》（原国家安全生产监督管理总局令第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号）</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）《安全生产事故隐患排查治理暂行规定》（原国家安全生产监督管理总局令第</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号）</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）《北京市安全生产条例》</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）《北京市消防条例》</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w:t>
      </w:r>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1.5.2</w:t>
      </w:r>
      <w:r>
        <w:rPr>
          <w:rFonts w:asciiTheme="minorEastAsia" w:eastAsiaTheme="minorEastAsia" w:hAnsiTheme="minorEastAsia" w:hint="eastAsia"/>
          <w:b/>
          <w:sz w:val="24"/>
          <w:szCs w:val="24"/>
        </w:rPr>
        <w:t>标准规范</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）《机械工业职业安全卫生设计规范》（</w:t>
      </w:r>
      <w:r>
        <w:rPr>
          <w:rFonts w:asciiTheme="minorEastAsia" w:eastAsiaTheme="minorEastAsia" w:hAnsiTheme="minorEastAsia" w:hint="eastAsia"/>
          <w:sz w:val="24"/>
          <w:szCs w:val="24"/>
        </w:rPr>
        <w:t>JBJ18-2000</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）《建筑设计防火规范》（</w:t>
      </w:r>
      <w:r>
        <w:rPr>
          <w:rFonts w:asciiTheme="minorEastAsia" w:eastAsiaTheme="minorEastAsia" w:hAnsiTheme="minorEastAsia" w:hint="eastAsia"/>
          <w:sz w:val="24"/>
          <w:szCs w:val="24"/>
        </w:rPr>
        <w:t>GB50016-2014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2018</w:t>
      </w:r>
      <w:r>
        <w:rPr>
          <w:rFonts w:asciiTheme="minorEastAsia" w:eastAsiaTheme="minorEastAsia" w:hAnsiTheme="minorEastAsia" w:hint="eastAsia"/>
          <w:sz w:val="24"/>
          <w:szCs w:val="24"/>
        </w:rPr>
        <w:t>年版）</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）《火灾自动报警系统设计规范》（</w:t>
      </w:r>
      <w:r>
        <w:rPr>
          <w:rFonts w:asciiTheme="minorEastAsia" w:eastAsiaTheme="minorEastAsia" w:hAnsiTheme="minorEastAsia" w:hint="eastAsia"/>
          <w:sz w:val="24"/>
          <w:szCs w:val="24"/>
        </w:rPr>
        <w:t>GB50116-2013</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）《建筑消防设备设施的维护管理》（</w:t>
      </w:r>
      <w:r>
        <w:rPr>
          <w:rFonts w:asciiTheme="minorEastAsia" w:eastAsiaTheme="minorEastAsia" w:hAnsiTheme="minorEastAsia" w:hint="eastAsia"/>
          <w:sz w:val="24"/>
          <w:szCs w:val="24"/>
        </w:rPr>
        <w:t>GB25201-2010</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）《带式输送机安全规范》（</w:t>
      </w:r>
      <w:r>
        <w:rPr>
          <w:rFonts w:asciiTheme="minorEastAsia" w:eastAsiaTheme="minorEastAsia" w:hAnsiTheme="minorEastAsia" w:hint="eastAsia"/>
          <w:sz w:val="24"/>
          <w:szCs w:val="24"/>
        </w:rPr>
        <w:t>GB14784-2013</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）《消火栓箱》（</w:t>
      </w:r>
      <w:r>
        <w:rPr>
          <w:rFonts w:asciiTheme="minorEastAsia" w:eastAsiaTheme="minorEastAsia" w:hAnsiTheme="minorEastAsia" w:hint="eastAsia"/>
          <w:sz w:val="24"/>
          <w:szCs w:val="24"/>
        </w:rPr>
        <w:t>GB/T14561-2019</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）《建筑灭火器配置设计规范》（</w:t>
      </w:r>
      <w:r>
        <w:rPr>
          <w:rFonts w:asciiTheme="minorEastAsia" w:eastAsiaTheme="minorEastAsia" w:hAnsiTheme="minorEastAsia" w:hint="eastAsia"/>
          <w:sz w:val="24"/>
          <w:szCs w:val="24"/>
        </w:rPr>
        <w:t>GB50140-2005</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）《消防应急照明和疏散指示系统》（</w:t>
      </w:r>
      <w:r>
        <w:rPr>
          <w:rFonts w:asciiTheme="minorEastAsia" w:eastAsiaTheme="minorEastAsia" w:hAnsiTheme="minorEastAsia" w:hint="eastAsia"/>
          <w:sz w:val="24"/>
          <w:szCs w:val="24"/>
        </w:rPr>
        <w:t>GB 17945-2018</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）《配电室安全管理规范》（</w:t>
      </w:r>
      <w:r>
        <w:rPr>
          <w:rFonts w:asciiTheme="minorEastAsia" w:eastAsiaTheme="minorEastAsia" w:hAnsiTheme="minorEastAsia" w:hint="eastAsia"/>
          <w:sz w:val="24"/>
          <w:szCs w:val="24"/>
        </w:rPr>
        <w:t>DB11/527-2021</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）《低压配电设计规范》（</w:t>
      </w:r>
      <w:r>
        <w:rPr>
          <w:rFonts w:asciiTheme="minorEastAsia" w:eastAsiaTheme="minorEastAsia" w:hAnsiTheme="minorEastAsia" w:hint="eastAsia"/>
          <w:sz w:val="24"/>
          <w:szCs w:val="24"/>
        </w:rPr>
        <w:t>GB50054-2011</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）《建筑电气工程施工质量验收规范》（</w:t>
      </w:r>
      <w:r>
        <w:rPr>
          <w:rFonts w:asciiTheme="minorEastAsia" w:eastAsiaTheme="minorEastAsia" w:hAnsiTheme="minorEastAsia" w:hint="eastAsia"/>
          <w:sz w:val="24"/>
          <w:szCs w:val="24"/>
        </w:rPr>
        <w:t>GB50303-2015</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）《民用建筑电气设计规范》（</w:t>
      </w:r>
      <w:r>
        <w:rPr>
          <w:rFonts w:asciiTheme="minorEastAsia" w:eastAsiaTheme="minorEastAsia" w:hAnsiTheme="minorEastAsia" w:hint="eastAsia"/>
          <w:sz w:val="24"/>
          <w:szCs w:val="24"/>
        </w:rPr>
        <w:t>JGJ16-2016</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）《剩余电流动作保</w:t>
      </w:r>
      <w:r>
        <w:rPr>
          <w:rFonts w:asciiTheme="minorEastAsia" w:eastAsiaTheme="minorEastAsia" w:hAnsiTheme="minorEastAsia" w:hint="eastAsia"/>
          <w:sz w:val="24"/>
          <w:szCs w:val="24"/>
        </w:rPr>
        <w:t>护装置安装和运行》（</w:t>
      </w:r>
      <w:r>
        <w:rPr>
          <w:rFonts w:asciiTheme="minorEastAsia" w:eastAsiaTheme="minorEastAsia" w:hAnsiTheme="minorEastAsia" w:hint="eastAsia"/>
          <w:sz w:val="24"/>
          <w:szCs w:val="24"/>
        </w:rPr>
        <w:t>GB13955-2017</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）《用电安全导则》（</w:t>
      </w:r>
      <w:r>
        <w:rPr>
          <w:rFonts w:asciiTheme="minorEastAsia" w:eastAsiaTheme="minorEastAsia" w:hAnsiTheme="minorEastAsia" w:hint="eastAsia"/>
          <w:sz w:val="24"/>
          <w:szCs w:val="24"/>
        </w:rPr>
        <w:t>GB/T13869-2017</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）《电气装置安装工程盘、柜二次回路接线施工及验收规范》（</w:t>
      </w:r>
      <w:r>
        <w:rPr>
          <w:rFonts w:asciiTheme="minorEastAsia" w:eastAsiaTheme="minorEastAsia" w:hAnsiTheme="minorEastAsia" w:hint="eastAsia"/>
          <w:sz w:val="24"/>
          <w:szCs w:val="24"/>
        </w:rPr>
        <w:t>GB50171-2012</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）《电气防火检测技术规范》（</w:t>
      </w:r>
      <w:r>
        <w:rPr>
          <w:rFonts w:asciiTheme="minorEastAsia" w:eastAsiaTheme="minorEastAsia" w:hAnsiTheme="minorEastAsia" w:hint="eastAsia"/>
          <w:sz w:val="24"/>
          <w:szCs w:val="24"/>
        </w:rPr>
        <w:t>DB11-065-2010</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17</w:t>
      </w:r>
      <w:r>
        <w:rPr>
          <w:rFonts w:asciiTheme="minorEastAsia" w:eastAsiaTheme="minorEastAsia" w:hAnsiTheme="minorEastAsia" w:hint="eastAsia"/>
          <w:sz w:val="24"/>
          <w:szCs w:val="24"/>
        </w:rPr>
        <w:t>）《城镇燃气设计规范》（</w:t>
      </w:r>
      <w:r>
        <w:rPr>
          <w:rFonts w:asciiTheme="minorEastAsia" w:eastAsiaTheme="minorEastAsia" w:hAnsiTheme="minorEastAsia" w:hint="eastAsia"/>
          <w:sz w:val="24"/>
          <w:szCs w:val="24"/>
        </w:rPr>
        <w:t>GB50028-2006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2020</w:t>
      </w:r>
      <w:r>
        <w:rPr>
          <w:rFonts w:asciiTheme="minorEastAsia" w:eastAsiaTheme="minorEastAsia" w:hAnsiTheme="minorEastAsia" w:hint="eastAsia"/>
          <w:sz w:val="24"/>
          <w:szCs w:val="24"/>
        </w:rPr>
        <w:t>修订版）</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18</w:t>
      </w:r>
      <w:r>
        <w:rPr>
          <w:rFonts w:asciiTheme="minorEastAsia" w:eastAsiaTheme="minorEastAsia" w:hAnsiTheme="minorEastAsia" w:hint="eastAsia"/>
          <w:sz w:val="24"/>
          <w:szCs w:val="24"/>
        </w:rPr>
        <w:t>）《家用和类似用途插头插座</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部分：转换器的特殊要求》（</w:t>
      </w:r>
      <w:r>
        <w:rPr>
          <w:rFonts w:asciiTheme="minorEastAsia" w:eastAsiaTheme="minorEastAsia" w:hAnsiTheme="minorEastAsia" w:hint="eastAsia"/>
          <w:sz w:val="24"/>
          <w:szCs w:val="24"/>
        </w:rPr>
        <w:t>GB2099.3-2015</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）《安全标志及其使用导则》（</w:t>
      </w:r>
      <w:r>
        <w:rPr>
          <w:rFonts w:asciiTheme="minorEastAsia" w:eastAsiaTheme="minorEastAsia" w:hAnsiTheme="minorEastAsia" w:hint="eastAsia"/>
          <w:sz w:val="24"/>
          <w:szCs w:val="24"/>
        </w:rPr>
        <w:t>GB 2894-2008</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）《安全生产等</w:t>
      </w:r>
      <w:r>
        <w:rPr>
          <w:rFonts w:asciiTheme="minorEastAsia" w:eastAsiaTheme="minorEastAsia" w:hAnsiTheme="minorEastAsia" w:hint="eastAsia"/>
          <w:sz w:val="24"/>
          <w:szCs w:val="24"/>
        </w:rPr>
        <w:t>级评定技术规范第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部分：安全生产通用要求》（</w:t>
      </w:r>
      <w:r>
        <w:rPr>
          <w:rFonts w:asciiTheme="minorEastAsia" w:eastAsiaTheme="minorEastAsia" w:hAnsiTheme="minorEastAsia" w:hint="eastAsia"/>
          <w:sz w:val="24"/>
          <w:szCs w:val="24"/>
        </w:rPr>
        <w:t>DB11/T1322.2-2017</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）《有限空间作业安全技术规范》（</w:t>
      </w:r>
      <w:r>
        <w:rPr>
          <w:rFonts w:asciiTheme="minorEastAsia" w:eastAsiaTheme="minorEastAsia" w:hAnsiTheme="minorEastAsia" w:hint="eastAsia"/>
          <w:sz w:val="24"/>
          <w:szCs w:val="24"/>
        </w:rPr>
        <w:t>DB11/T852-2019</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）《建筑给排水设计标准》（</w:t>
      </w:r>
      <w:r>
        <w:rPr>
          <w:rFonts w:asciiTheme="minorEastAsia" w:eastAsiaTheme="minorEastAsia" w:hAnsiTheme="minorEastAsia" w:hint="eastAsia"/>
          <w:sz w:val="24"/>
          <w:szCs w:val="24"/>
        </w:rPr>
        <w:t>GB50015-2019</w:t>
      </w:r>
      <w:r>
        <w:rPr>
          <w:rFonts w:asciiTheme="minorEastAsia" w:eastAsiaTheme="minorEastAsia" w:hAnsiTheme="minorEastAsia" w:hint="eastAsia"/>
          <w:sz w:val="24"/>
          <w:szCs w:val="24"/>
        </w:rPr>
        <w:t>）</w:t>
      </w:r>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1.5.3</w:t>
      </w:r>
      <w:r>
        <w:rPr>
          <w:rFonts w:asciiTheme="minorEastAsia" w:eastAsiaTheme="minorEastAsia" w:hAnsiTheme="minorEastAsia" w:hint="eastAsia"/>
          <w:b/>
          <w:sz w:val="24"/>
          <w:szCs w:val="24"/>
        </w:rPr>
        <w:t>其他资料</w:t>
      </w:r>
    </w:p>
    <w:p w:rsidR="00C10AC2" w:rsidRDefault="0046362D">
      <w:pPr>
        <w:numPr>
          <w:ilvl w:val="0"/>
          <w:numId w:val="1"/>
        </w:num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w:t>
      </w:r>
    </w:p>
    <w:p w:rsidR="00C10AC2" w:rsidRDefault="0046362D">
      <w:pPr>
        <w:numPr>
          <w:ilvl w:val="0"/>
          <w:numId w:val="1"/>
        </w:num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）北京诚智乾懋混凝土有限公司其他相关资料</w:t>
      </w:r>
    </w:p>
    <w:p w:rsidR="00C10AC2" w:rsidRDefault="0046362D">
      <w:pPr>
        <w:pStyle w:val="2"/>
      </w:pPr>
      <w:bookmarkStart w:id="10" w:name="_Toc20416"/>
      <w:bookmarkStart w:id="11" w:name="_Toc23407"/>
      <w:r>
        <w:rPr>
          <w:rFonts w:hint="eastAsia"/>
        </w:rPr>
        <w:t xml:space="preserve">2 </w:t>
      </w:r>
      <w:r>
        <w:rPr>
          <w:rFonts w:hint="eastAsia"/>
        </w:rPr>
        <w:t>事故责任单位及人员责任追究落实情况</w:t>
      </w:r>
      <w:bookmarkEnd w:id="10"/>
      <w:bookmarkEnd w:id="11"/>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”一般生产安全事故发生后，事故联合调查组对事故进行了全面调查，并出具了《北京诚智乾懋混凝土有限公司“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lastRenderedPageBreak/>
        <w:t>一般生产安全事故调查报告》</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各部门按照上述文件的要求，对事故责任单位和责任人员落实了责任追究措施。</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已落实事故调查报告提出的行政处罚处理建议，事故责任单位已落实对事故责任人员的处分。详细评估过程如下。</w:t>
      </w:r>
    </w:p>
    <w:p w:rsidR="00C10AC2" w:rsidRDefault="0046362D">
      <w:pPr>
        <w:pStyle w:val="3"/>
      </w:pPr>
      <w:bookmarkStart w:id="12" w:name="_Toc23579"/>
      <w:r>
        <w:rPr>
          <w:rFonts w:hint="eastAsia"/>
        </w:rPr>
        <w:t xml:space="preserve">2.1 </w:t>
      </w:r>
      <w:r>
        <w:rPr>
          <w:rFonts w:hint="eastAsia"/>
        </w:rPr>
        <w:t>事故责任单位责任追究落实情况</w:t>
      </w:r>
      <w:bookmarkEnd w:id="12"/>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2.1.1 </w:t>
      </w:r>
      <w:r>
        <w:rPr>
          <w:rFonts w:asciiTheme="minorEastAsia" w:eastAsiaTheme="minorEastAsia" w:hAnsiTheme="minorEastAsia" w:hint="eastAsia"/>
          <w:b/>
          <w:sz w:val="24"/>
          <w:szCs w:val="24"/>
        </w:rPr>
        <w:t>事故调查报告中对责任单位追究建议情况</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区应急管理局调查，诚智乾懋公司，未按照法律法规要求配备安全管理人员；未按法律法规要求进行教育培训；未采取管理措施及时发现并消除装载机操作人员违规作业的事故隐患。以上行为违反了《中华人民共和国安全生产法》第二十四条第二款、第二十八条第一款、第四十一条第二款的规定，对事故发生负有管理责任。区应急管理局依据《中华人民共和国安全生产法》第一百一十四条第一款第（一）项的规定，拟对其处以三十万元以上一百万元以下罚款的行政处罚。</w:t>
      </w:r>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2.1.2 </w:t>
      </w:r>
      <w:r>
        <w:rPr>
          <w:rFonts w:asciiTheme="minorEastAsia" w:eastAsiaTheme="minorEastAsia" w:hAnsiTheme="minorEastAsia" w:hint="eastAsia"/>
          <w:b/>
          <w:sz w:val="24"/>
          <w:szCs w:val="24"/>
        </w:rPr>
        <w:t>事故调查报告追究责任单位落实情况</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w:t>
      </w:r>
      <w:proofErr w:type="gramStart"/>
      <w:r>
        <w:rPr>
          <w:rFonts w:asciiTheme="minorEastAsia" w:eastAsiaTheme="minorEastAsia" w:hAnsiTheme="minorEastAsia" w:hint="eastAsia"/>
          <w:bCs/>
          <w:sz w:val="24"/>
          <w:szCs w:val="24"/>
        </w:rPr>
        <w:t>管理局</w:t>
      </w:r>
      <w:r>
        <w:rPr>
          <w:rFonts w:asciiTheme="minorEastAsia" w:eastAsiaTheme="minorEastAsia" w:hAnsiTheme="minorEastAsia" w:hint="eastAsia"/>
          <w:sz w:val="24"/>
          <w:szCs w:val="24"/>
        </w:rPr>
        <w:t>对诚智乾懋</w:t>
      </w:r>
      <w:proofErr w:type="gramEnd"/>
      <w:r>
        <w:rPr>
          <w:rFonts w:asciiTheme="minorEastAsia" w:eastAsiaTheme="minorEastAsia" w:hAnsiTheme="minorEastAsia" w:hint="eastAsia"/>
          <w:sz w:val="24"/>
          <w:szCs w:val="24"/>
        </w:rPr>
        <w:t>公司，依据《</w:t>
      </w:r>
      <w:r>
        <w:rPr>
          <w:rFonts w:asciiTheme="minorEastAsia" w:eastAsiaTheme="minorEastAsia" w:hAnsiTheme="minorEastAsia" w:hint="eastAsia"/>
          <w:sz w:val="24"/>
          <w:szCs w:val="24"/>
        </w:rPr>
        <w:t>中华人民共和国安全生产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eastAsiaTheme="minorEastAsia" w:hAnsiTheme="minorEastAsia" w:hint="eastAsia"/>
          <w:sz w:val="24"/>
          <w:szCs w:val="24"/>
        </w:rPr>
        <w:t>整罚款</w:t>
      </w:r>
      <w:proofErr w:type="gramEnd"/>
      <w:r>
        <w:rPr>
          <w:rFonts w:asciiTheme="minorEastAsia" w:eastAsiaTheme="minorEastAsia" w:hAnsiTheme="minorEastAsia" w:hint="eastAsia"/>
          <w:sz w:val="24"/>
          <w:szCs w:val="24"/>
        </w:rPr>
        <w:t>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2309-1</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C10AC2" w:rsidRDefault="0046362D">
      <w:pPr>
        <w:pStyle w:val="3"/>
      </w:pPr>
      <w:bookmarkStart w:id="13" w:name="_Toc4169"/>
      <w:r>
        <w:rPr>
          <w:rFonts w:hint="eastAsia"/>
        </w:rPr>
        <w:t xml:space="preserve">2.2 </w:t>
      </w:r>
      <w:r>
        <w:rPr>
          <w:rFonts w:hint="eastAsia"/>
        </w:rPr>
        <w:t>事故责任人员责任追究落实情况</w:t>
      </w:r>
      <w:bookmarkEnd w:id="13"/>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2.2.1 </w:t>
      </w:r>
      <w:r>
        <w:rPr>
          <w:rFonts w:asciiTheme="minorEastAsia" w:eastAsiaTheme="minorEastAsia" w:hAnsiTheme="minorEastAsia" w:hint="eastAsia"/>
          <w:b/>
          <w:sz w:val="24"/>
          <w:szCs w:val="24"/>
        </w:rPr>
        <w:t>事故调查报告中对责任人员追究建议情况</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）事发装载机驾驶员刘</w:t>
      </w:r>
      <w:r w:rsidR="004E64C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，未</w:t>
      </w:r>
      <w:proofErr w:type="gramStart"/>
      <w:r>
        <w:rPr>
          <w:rFonts w:asciiTheme="minorEastAsia" w:eastAsiaTheme="minorEastAsia" w:hAnsiTheme="minorEastAsia" w:hint="eastAsia"/>
          <w:sz w:val="24"/>
          <w:szCs w:val="24"/>
        </w:rPr>
        <w:t>按装</w:t>
      </w:r>
      <w:proofErr w:type="gramEnd"/>
      <w:r>
        <w:rPr>
          <w:rFonts w:asciiTheme="minorEastAsia" w:eastAsiaTheme="minorEastAsia" w:hAnsiTheme="minorEastAsia" w:hint="eastAsia"/>
          <w:sz w:val="24"/>
          <w:szCs w:val="24"/>
        </w:rPr>
        <w:t>载机《操作维护说明书》进行作业，对事故发生负有主要责任，由公安机关追究其刑事责任。</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）经</w:t>
      </w:r>
      <w:r>
        <w:rPr>
          <w:rFonts w:asciiTheme="minorEastAsia" w:eastAsiaTheme="minorEastAsia" w:hAnsiTheme="minorEastAsia" w:hint="eastAsia"/>
          <w:sz w:val="24"/>
          <w:szCs w:val="24"/>
        </w:rPr>
        <w:t>区应急管理局调查，杨</w:t>
      </w:r>
      <w:r w:rsidR="00355ED6">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作为诚智乾懋</w:t>
      </w:r>
      <w:proofErr w:type="gramStart"/>
      <w:r>
        <w:rPr>
          <w:rFonts w:asciiTheme="minorEastAsia" w:eastAsiaTheme="minorEastAsia" w:hAnsiTheme="minorEastAsia" w:hint="eastAsia"/>
          <w:sz w:val="24"/>
          <w:szCs w:val="24"/>
        </w:rPr>
        <w:t>公司公司</w:t>
      </w:r>
      <w:proofErr w:type="gramEnd"/>
      <w:r>
        <w:rPr>
          <w:rFonts w:asciiTheme="minorEastAsia" w:eastAsiaTheme="minorEastAsia" w:hAnsiTheme="minorEastAsia" w:hint="eastAsia"/>
          <w:sz w:val="24"/>
          <w:szCs w:val="24"/>
        </w:rPr>
        <w:t>主要负责人，未落实全员安全生产责任制；未认真检查作业现场的安全生产状况，及时排查生产安全事故隐患，其行为违反了《中华人民共和国安全生产法》第二十一条第一款第（一）项、第（五）项的规定。区应急管理局依据《中华人民共和国安全生产法》</w:t>
      </w:r>
      <w:r>
        <w:rPr>
          <w:rFonts w:asciiTheme="minorEastAsia" w:eastAsiaTheme="minorEastAsia" w:hAnsiTheme="minorEastAsia" w:hint="eastAsia"/>
          <w:sz w:val="24"/>
          <w:szCs w:val="24"/>
        </w:rPr>
        <w:lastRenderedPageBreak/>
        <w:t>第九十五条第一款第（一）项的规定，拟对其处上一年年收入百分之四十罚款的行政处罚。</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）经区应急管理局调查，王</w:t>
      </w:r>
      <w:r w:rsidR="00355ED6">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作为诚智乾懋公司</w:t>
      </w:r>
      <w:proofErr w:type="gramStart"/>
      <w:r>
        <w:rPr>
          <w:rFonts w:asciiTheme="minorEastAsia" w:eastAsiaTheme="minorEastAsia" w:hAnsiTheme="minorEastAsia" w:hint="eastAsia"/>
          <w:sz w:val="24"/>
          <w:szCs w:val="24"/>
        </w:rPr>
        <w:t>料仓现场</w:t>
      </w:r>
      <w:proofErr w:type="gramEnd"/>
      <w:r>
        <w:rPr>
          <w:rFonts w:asciiTheme="minorEastAsia" w:eastAsiaTheme="minorEastAsia" w:hAnsiTheme="minorEastAsia" w:hint="eastAsia"/>
          <w:sz w:val="24"/>
          <w:szCs w:val="24"/>
        </w:rPr>
        <w:t>负责人。未认真检查本单位的安全生产状况，及时排查生产安全事故隐患，其行为违反了《中华人民共和国安全生产法</w:t>
      </w:r>
      <w:r>
        <w:rPr>
          <w:rFonts w:asciiTheme="minorEastAsia" w:eastAsiaTheme="minorEastAsia" w:hAnsiTheme="minorEastAsia" w:hint="eastAsia"/>
          <w:sz w:val="24"/>
          <w:szCs w:val="24"/>
        </w:rPr>
        <w:t>》第二十五条第一款第（五）项的规定。区应急管理局依据《中华人民共和国安全生产法》第九十六条的规定，拟对其暂停或吊销与安全生产有关的资格，并处上一年年收入百分之二十以上百分之五十以下罚款的行政处罚。</w:t>
      </w:r>
    </w:p>
    <w:p w:rsidR="00C10AC2" w:rsidRDefault="0046362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2.2.2</w:t>
      </w:r>
      <w:r>
        <w:rPr>
          <w:rFonts w:hint="eastAsia"/>
          <w:b/>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事故调查报告追究责任人员落实情况</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事发装载机驾驶员刘</w:t>
      </w:r>
      <w:r w:rsidR="00355ED6">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，对事故发生负有主要责任，已由公安机关追究其刑事责任。</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依据《中华人民共和国安全生产法》第九十五条第一款第（一）项的规定，参照《北京市安全生产行政处罚自由裁量基准》中“《中华人民共和国安全生产法》相关规定裁量基</w:t>
      </w:r>
      <w:r>
        <w:rPr>
          <w:rFonts w:asciiTheme="minorEastAsia" w:eastAsiaTheme="minorEastAsia" w:hAnsiTheme="minorEastAsia" w:hint="eastAsia"/>
          <w:sz w:val="24"/>
          <w:szCs w:val="24"/>
        </w:rPr>
        <w:t>准”（四）规定，</w:t>
      </w:r>
      <w:proofErr w:type="gramStart"/>
      <w:r>
        <w:rPr>
          <w:rFonts w:asciiTheme="minorEastAsia" w:eastAsiaTheme="minorEastAsia" w:hAnsiTheme="minorEastAsia" w:hint="eastAsia"/>
          <w:sz w:val="24"/>
          <w:szCs w:val="24"/>
        </w:rPr>
        <w:t>决定对诚智乾懋公司公司</w:t>
      </w:r>
      <w:proofErr w:type="gramEnd"/>
      <w:r>
        <w:rPr>
          <w:rFonts w:asciiTheme="minorEastAsia" w:eastAsiaTheme="minorEastAsia" w:hAnsiTheme="minorEastAsia" w:hint="eastAsia"/>
          <w:sz w:val="24"/>
          <w:szCs w:val="24"/>
        </w:rPr>
        <w:t>主要负责人杨</w:t>
      </w:r>
      <w:r w:rsidR="00355ED6">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处以上一年收入（壹拾壹万叁仟壹佰捌拾壹元捌角贰分）百分之四十（</w:t>
      </w:r>
      <w:proofErr w:type="gramStart"/>
      <w:r>
        <w:rPr>
          <w:rFonts w:asciiTheme="minorEastAsia" w:eastAsiaTheme="minorEastAsia" w:hAnsiTheme="minorEastAsia" w:hint="eastAsia"/>
          <w:sz w:val="24"/>
          <w:szCs w:val="24"/>
        </w:rPr>
        <w:t>肆万伍仟贰佰柒拾贰</w:t>
      </w:r>
      <w:proofErr w:type="gramEnd"/>
      <w:r>
        <w:rPr>
          <w:rFonts w:asciiTheme="minorEastAsia" w:eastAsiaTheme="minorEastAsia" w:hAnsiTheme="minorEastAsia" w:hint="eastAsia"/>
          <w:sz w:val="24"/>
          <w:szCs w:val="24"/>
        </w:rPr>
        <w:t>元柒角贰分）罚款的行政处罚，详细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2309-2</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依据《中华人民共和国安全生产法》第九十六条的规定，参照《北京市安全生产行政处罚自由裁量基准》中“《中华人民共和国安全生产法》相关规定裁量基准”（三十八）规定，</w:t>
      </w:r>
      <w:proofErr w:type="gramStart"/>
      <w:r>
        <w:rPr>
          <w:rFonts w:asciiTheme="minorEastAsia" w:eastAsiaTheme="minorEastAsia" w:hAnsiTheme="minorEastAsia" w:hint="eastAsia"/>
          <w:sz w:val="24"/>
          <w:szCs w:val="24"/>
        </w:rPr>
        <w:t>决定对诚智乾懋公司公司料仓现场</w:t>
      </w:r>
      <w:proofErr w:type="gramEnd"/>
      <w:r>
        <w:rPr>
          <w:rFonts w:asciiTheme="minorEastAsia" w:eastAsiaTheme="minorEastAsia" w:hAnsiTheme="minorEastAsia" w:hint="eastAsia"/>
          <w:sz w:val="24"/>
          <w:szCs w:val="24"/>
        </w:rPr>
        <w:t>负责人王</w:t>
      </w:r>
      <w:r w:rsidR="00355ED6">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处以上一年收入（陆万叁仟玖佰元肆角柒分）百分之二</w:t>
      </w:r>
      <w:r>
        <w:rPr>
          <w:rFonts w:asciiTheme="minorEastAsia" w:eastAsiaTheme="minorEastAsia" w:hAnsiTheme="minorEastAsia" w:hint="eastAsia"/>
          <w:sz w:val="24"/>
          <w:szCs w:val="24"/>
        </w:rPr>
        <w:t>十五（壹万伍仟玖佰柒拾伍元壹角壹分）罚款的行政处罚，详细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2309-2</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C10AC2" w:rsidRDefault="0046362D">
      <w:pPr>
        <w:pStyle w:val="2"/>
      </w:pPr>
      <w:bookmarkStart w:id="14" w:name="_Toc13233"/>
      <w:bookmarkStart w:id="15" w:name="_Toc5690"/>
      <w:r>
        <w:rPr>
          <w:rFonts w:hint="eastAsia"/>
        </w:rPr>
        <w:t xml:space="preserve">3 </w:t>
      </w:r>
      <w:r>
        <w:rPr>
          <w:rFonts w:hint="eastAsia"/>
        </w:rPr>
        <w:t>事故责任单位整改措施落实情况</w:t>
      </w:r>
      <w:bookmarkEnd w:id="14"/>
      <w:bookmarkEnd w:id="15"/>
    </w:p>
    <w:p w:rsidR="00C10AC2" w:rsidRDefault="0046362D">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北京诚智乾懋混凝土有限公司针对《北京诚智乾懋混凝土有限公司“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”一般生产安全事故调查报告》中提出的事故防范和整改措施建议，根据现场核实检查，已基本整改落实完成，并出具了《北京诚智乾懋混凝土有限公司</w:t>
      </w:r>
      <w:r>
        <w:rPr>
          <w:rFonts w:asciiTheme="minorEastAsia" w:eastAsiaTheme="minorEastAsia" w:hAnsiTheme="minorEastAsia" w:hint="eastAsia"/>
          <w:sz w:val="24"/>
          <w:szCs w:val="24"/>
        </w:rPr>
        <w:t>8.14</w:t>
      </w:r>
      <w:r>
        <w:rPr>
          <w:rFonts w:asciiTheme="minorEastAsia" w:eastAsiaTheme="minorEastAsia" w:hAnsiTheme="minorEastAsia" w:hint="eastAsia"/>
          <w:sz w:val="24"/>
          <w:szCs w:val="24"/>
        </w:rPr>
        <w:t>事故的整改报告》</w:t>
      </w:r>
      <w:r>
        <w:rPr>
          <w:rFonts w:asciiTheme="minorEastAsia" w:eastAsiaTheme="minorEastAsia" w:hAnsiTheme="minorEastAsia" w:hint="eastAsia"/>
          <w:bCs/>
          <w:sz w:val="24"/>
          <w:szCs w:val="24"/>
        </w:rPr>
        <w:t>。</w:t>
      </w:r>
    </w:p>
    <w:p w:rsidR="00C10AC2" w:rsidRDefault="0046362D">
      <w:pPr>
        <w:pStyle w:val="3"/>
      </w:pPr>
      <w:bookmarkStart w:id="16" w:name="_Toc26256"/>
      <w:r>
        <w:rPr>
          <w:rFonts w:hint="eastAsia"/>
        </w:rPr>
        <w:lastRenderedPageBreak/>
        <w:t xml:space="preserve">3.1 </w:t>
      </w:r>
      <w:r>
        <w:rPr>
          <w:rFonts w:hint="eastAsia"/>
        </w:rPr>
        <w:t>事故调查报告中建议整改措施情况</w:t>
      </w:r>
      <w:bookmarkEnd w:id="16"/>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）事故调查组要求诚智乾懋公司要切实落实安全生产主体责任，深刻汲取</w:t>
      </w:r>
      <w:r>
        <w:rPr>
          <w:rFonts w:asciiTheme="minorEastAsia" w:eastAsiaTheme="minorEastAsia" w:hAnsiTheme="minorEastAsia" w:hint="eastAsia"/>
          <w:sz w:val="24"/>
          <w:szCs w:val="24"/>
        </w:rPr>
        <w:t>事故教训，严格执行本单位的相关规章制度和操作规程；要加强对相关方进场人员及车辆、设备等进行有效管理；要强化从业人员安全教育培训，不断提升从业人员的安全意识和救援技能；要根据本单位生产经营特点开展经常性检查，及时发现并消除事故隐患，有关检查整改情况要如实完整记录。</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建议区住房和城乡建设委员会要依据“三管三必须”的要求，督促企业落实安全生产生产体责任，提高巡查检查效率，坚决制止企业“带病”作业。要保持执法的高压态势，督促各单位及时消除各类安全隐患，对发现违法违规行为依法依规进行处理。</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）建议魏善庄镇人</w:t>
      </w:r>
      <w:r>
        <w:rPr>
          <w:rFonts w:asciiTheme="minorEastAsia" w:eastAsiaTheme="minorEastAsia" w:hAnsiTheme="minorEastAsia" w:hint="eastAsia"/>
          <w:sz w:val="24"/>
          <w:szCs w:val="24"/>
        </w:rPr>
        <w:t>民政府要深刻汲取事故教训，举一反三，有针对性地采取有力措施，加大监管力度，压实监管责任，提升安全风险事故防控能力；要严格督促辖区内各单位落实安全生产主体责任，督促有关企业严格按照有关国家标准和管理制度开展作业，坚决杜绝违章作业现象；要强化安全培训和案例警示教育，不断提升各单位从业人员安全意识和安全操作技能。</w:t>
      </w:r>
    </w:p>
    <w:p w:rsidR="00C10AC2" w:rsidRDefault="0046362D">
      <w:pPr>
        <w:pStyle w:val="3"/>
      </w:pPr>
      <w:bookmarkStart w:id="17" w:name="_Toc8153"/>
      <w:r>
        <w:rPr>
          <w:rFonts w:hint="eastAsia"/>
        </w:rPr>
        <w:t xml:space="preserve">3.2 </w:t>
      </w:r>
      <w:r>
        <w:rPr>
          <w:rFonts w:hint="eastAsia"/>
        </w:rPr>
        <w:t>事故调查报告整改建议落实情况</w:t>
      </w:r>
      <w:bookmarkEnd w:id="17"/>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）根据企业提供相关资料查阅及现场沟通交流，对照评估标准，北京诚智乾懋混凝土有限公司对评估项目落实基本到位，针对这起事故暴露出的问题，深刻吸取事故教训。</w:t>
      </w:r>
      <w:r>
        <w:rPr>
          <w:rFonts w:asciiTheme="minorEastAsia" w:eastAsiaTheme="minorEastAsia" w:hAnsiTheme="minorEastAsia" w:hint="eastAsia"/>
          <w:sz w:val="24"/>
          <w:szCs w:val="24"/>
        </w:rPr>
        <w:t xml:space="preserve"> </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针对</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日事情后，公司进行以下措施；</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）对全体员工依依进行安全生产大会，加强员工的安全意识，广泛开展安全生产宣传，大力宣传安全生产法律法规和方针政策，将安全生产深入人心，筑起安全生产的思想防线。</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）加强安全应急小组，要求各部门做好自查自改，落实安全培训主要责任，强化源头安全风险管控。</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）要求员工在进入生产区一律佩戴好安全帽、穿好反光背心，避免发生安全事故，厂区安全生产标识牌，时刻督促大家要提高安全生产意识。</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w:t>
      </w:r>
      <w:r>
        <w:rPr>
          <w:rFonts w:asciiTheme="minorEastAsia" w:eastAsiaTheme="minorEastAsia" w:hAnsiTheme="minorEastAsia" w:hint="eastAsia"/>
          <w:sz w:val="24"/>
          <w:szCs w:val="24"/>
        </w:rPr>
        <w:t>）每</w:t>
      </w:r>
      <w:proofErr w:type="gramStart"/>
      <w:r>
        <w:rPr>
          <w:rFonts w:asciiTheme="minorEastAsia" w:eastAsiaTheme="minorEastAsia" w:hAnsiTheme="minorEastAsia" w:hint="eastAsia"/>
          <w:sz w:val="24"/>
          <w:szCs w:val="24"/>
        </w:rPr>
        <w:t>周安全</w:t>
      </w:r>
      <w:proofErr w:type="gramEnd"/>
      <w:r>
        <w:rPr>
          <w:rFonts w:asciiTheme="minorEastAsia" w:eastAsiaTheme="minorEastAsia" w:hAnsiTheme="minorEastAsia" w:hint="eastAsia"/>
          <w:sz w:val="24"/>
          <w:szCs w:val="24"/>
        </w:rPr>
        <w:t>小组进行</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次大检查，加强自身的保护意识，</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违规操作，不违法劳动纪律。重视安全生产，做到不违法指挥。</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）现场整改情况</w:t>
      </w:r>
    </w:p>
    <w:p w:rsidR="00355ED6" w:rsidRDefault="0046362D">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经现场核实，机械设备定期检验维保，制定了操作规程，作业人员正确佩戴劳保用品。</w:t>
      </w:r>
    </w:p>
    <w:p w:rsidR="00C10AC2" w:rsidRDefault="0046362D">
      <w:pPr>
        <w:spacing w:line="360" w:lineRule="auto"/>
        <w:ind w:firstLineChars="200" w:firstLine="480"/>
        <w:rPr>
          <w:rFonts w:asciiTheme="minorEastAsia" w:eastAsiaTheme="minorEastAsia" w:hAnsiTheme="minorEastAsia"/>
          <w:sz w:val="24"/>
          <w:szCs w:val="24"/>
        </w:rPr>
      </w:pPr>
      <w:bookmarkStart w:id="18" w:name="_GoBack"/>
      <w:bookmarkEnd w:id="18"/>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）区住房和城乡建设委员会</w:t>
      </w:r>
    </w:p>
    <w:p w:rsidR="00C10AC2" w:rsidRDefault="0046362D">
      <w:pPr>
        <w:spacing w:line="360" w:lineRule="auto"/>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住建委严格落实“管行业必须管安全”工作要求，在积极配合区</w:t>
      </w:r>
      <w:proofErr w:type="gramStart"/>
      <w:r>
        <w:rPr>
          <w:rFonts w:asciiTheme="minorEastAsia" w:eastAsiaTheme="minorEastAsia" w:hAnsiTheme="minorEastAsia" w:hint="eastAsia"/>
          <w:sz w:val="24"/>
          <w:szCs w:val="24"/>
        </w:rPr>
        <w:t>应急局</w:t>
      </w:r>
      <w:proofErr w:type="gramEnd"/>
      <w:r>
        <w:rPr>
          <w:rFonts w:asciiTheme="minorEastAsia" w:eastAsiaTheme="minorEastAsia" w:hAnsiTheme="minorEastAsia" w:hint="eastAsia"/>
          <w:sz w:val="24"/>
          <w:szCs w:val="24"/>
        </w:rPr>
        <w:t>开展事故调查的基础上，约谈该事故搅拌站负责人</w:t>
      </w:r>
      <w:r>
        <w:rPr>
          <w:rFonts w:asciiTheme="minorEastAsia" w:eastAsiaTheme="minorEastAsia" w:hAnsiTheme="minorEastAsia" w:hint="eastAsia"/>
          <w:sz w:val="24"/>
          <w:szCs w:val="24"/>
        </w:rPr>
        <w:t>。同时主动靠前，加强行业指导，建立安全检查机制，自</w:t>
      </w: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月起，每季度对全区内搅拌站进行</w:t>
      </w:r>
      <w:r>
        <w:rPr>
          <w:rFonts w:asciiTheme="minorEastAsia" w:eastAsiaTheme="minorEastAsia" w:hAnsiTheme="minorEastAsia" w:hint="eastAsia"/>
          <w:sz w:val="24"/>
          <w:szCs w:val="24"/>
        </w:rPr>
        <w:t>质量检查时，同步进行安全生产专项检查。</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为确保检查质效，研究制定《大兴区搅拌站安全检查表》</w:t>
      </w:r>
      <w:r>
        <w:rPr>
          <w:rFonts w:asciiTheme="minorEastAsia" w:eastAsiaTheme="minorEastAsia" w:hAnsiTheme="minorEastAsia" w:hint="eastAsia"/>
          <w:sz w:val="24"/>
          <w:szCs w:val="24"/>
        </w:rPr>
        <w:t>。细化检查内容，督促搅拌站生产经营单位夯实安全生产主体责任，对照《大兴区搅拌站安全检查表》定期开展自查自纠，及时消除各类事故隐患，确保生产经营活动安全。</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）魏善庄镇人民政府</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事故发生后，魏善庄镇政府加大对加大监管力度，压实监管责任，定期进行安全生产会议通报。对事故单位加强监管，不定期对其进行安全生产现场检查</w:t>
      </w:r>
      <w:r>
        <w:rPr>
          <w:rFonts w:asciiTheme="minorEastAsia" w:eastAsiaTheme="minorEastAsia" w:hAnsiTheme="minorEastAsia" w:hint="eastAsia"/>
          <w:sz w:val="24"/>
          <w:szCs w:val="24"/>
        </w:rPr>
        <w:t>。</w:t>
      </w:r>
    </w:p>
    <w:p w:rsidR="00C10AC2" w:rsidRDefault="0046362D">
      <w:pPr>
        <w:pStyle w:val="2"/>
      </w:pPr>
      <w:bookmarkStart w:id="19" w:name="_Toc8613"/>
      <w:bookmarkStart w:id="20" w:name="_Toc17084"/>
      <w:r>
        <w:rPr>
          <w:rFonts w:hint="eastAsia"/>
        </w:rPr>
        <w:t xml:space="preserve">4 </w:t>
      </w:r>
      <w:r>
        <w:rPr>
          <w:rFonts w:hint="eastAsia"/>
        </w:rPr>
        <w:t>评估意见</w:t>
      </w:r>
      <w:bookmarkEnd w:id="19"/>
      <w:bookmarkEnd w:id="20"/>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北京诚智乾懋混凝土有限公司对事故调查报告里提出的事故防范和整改</w:t>
      </w:r>
      <w:r>
        <w:rPr>
          <w:rFonts w:asciiTheme="minorEastAsia" w:eastAsiaTheme="minorEastAsia" w:hAnsiTheme="minorEastAsia" w:hint="eastAsia"/>
          <w:sz w:val="24"/>
          <w:szCs w:val="24"/>
        </w:rPr>
        <w:t>措施建议基本落实到位，对其相关责任人员进行了责任追究落实到位。专家组认为北京诚智乾懋混凝土有限公司“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”一般生产安全事故责任追究和整改措施落实情况基本符合《中华人民共和国安全生产法》（国家主席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号）等要求。</w:t>
      </w:r>
    </w:p>
    <w:p w:rsidR="00C10AC2" w:rsidRDefault="0046362D">
      <w:pPr>
        <w:pStyle w:val="3"/>
      </w:pPr>
      <w:bookmarkStart w:id="21" w:name="_Toc24718"/>
      <w:r>
        <w:rPr>
          <w:rFonts w:hint="eastAsia"/>
        </w:rPr>
        <w:t xml:space="preserve">4.1 </w:t>
      </w:r>
      <w:r>
        <w:rPr>
          <w:rFonts w:hint="eastAsia"/>
        </w:rPr>
        <w:t>评估总体意见</w:t>
      </w:r>
      <w:bookmarkEnd w:id="21"/>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结合《北京诚智乾懋混凝土有限公司“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”一般生产安全事故调查报告》，对北京诚智乾懋混凝土有限公司的事故防范和整改建议措施与现场评估情况</w:t>
      </w:r>
      <w:r>
        <w:rPr>
          <w:rFonts w:asciiTheme="minorEastAsia" w:eastAsiaTheme="minorEastAsia" w:hAnsiTheme="minorEastAsia" w:hint="eastAsia"/>
          <w:sz w:val="24"/>
          <w:szCs w:val="24"/>
        </w:rPr>
        <w:t>，经过对现场基础资料的查阅、相关人员的询问调查，对评估表逐条、逐项进行评估，</w:t>
      </w:r>
      <w:r>
        <w:rPr>
          <w:rFonts w:asciiTheme="minorEastAsia" w:eastAsiaTheme="minorEastAsia" w:hAnsiTheme="minorEastAsia" w:hint="eastAsia"/>
          <w:sz w:val="24"/>
          <w:szCs w:val="24"/>
        </w:rPr>
        <w:lastRenderedPageBreak/>
        <w:t>最终确认北京诚智乾懋混凝土有限公司在现场评估过程中，对事故调查报告里要求整改项基本落实到位。对该公司应处理的人员处罚已经基本落实。</w:t>
      </w:r>
    </w:p>
    <w:p w:rsidR="00C10AC2" w:rsidRDefault="0046362D">
      <w:pPr>
        <w:pStyle w:val="3"/>
      </w:pPr>
      <w:bookmarkStart w:id="22" w:name="_Toc23452"/>
      <w:r>
        <w:rPr>
          <w:rFonts w:hint="eastAsia"/>
        </w:rPr>
        <w:t xml:space="preserve">4.2 </w:t>
      </w:r>
      <w:r>
        <w:rPr>
          <w:rFonts w:hint="eastAsia"/>
        </w:rPr>
        <w:t>专家现场意见</w:t>
      </w:r>
      <w:bookmarkEnd w:id="22"/>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对事故报告中提及的现场整改措施落实情况进行评估。经过现场检查评估评估组认为：北京诚智乾懋混凝土有限公司对事故调查报告里要求的现场整改项基本落实到位。</w:t>
      </w:r>
    </w:p>
    <w:p w:rsidR="00C10AC2" w:rsidRDefault="0046362D">
      <w:pPr>
        <w:pStyle w:val="3"/>
      </w:pPr>
      <w:bookmarkStart w:id="23" w:name="_Toc29971"/>
      <w:r>
        <w:rPr>
          <w:rFonts w:hint="eastAsia"/>
        </w:rPr>
        <w:t xml:space="preserve">4.3 </w:t>
      </w:r>
      <w:r>
        <w:rPr>
          <w:rFonts w:hint="eastAsia"/>
        </w:rPr>
        <w:t>评估结论</w:t>
      </w:r>
      <w:bookmarkEnd w:id="23"/>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对事故报告中提及的处理建议和整改措施落实情况进行评估。经过前期评估组调研、现场评估检查及后期经</w:t>
      </w:r>
      <w:r>
        <w:rPr>
          <w:rFonts w:asciiTheme="minorEastAsia" w:eastAsiaTheme="minorEastAsia" w:hAnsiTheme="minorEastAsia" w:hint="eastAsia"/>
          <w:sz w:val="24"/>
          <w:szCs w:val="24"/>
        </w:rPr>
        <w:t>评估组与专家进行研讨，评估组认为：</w:t>
      </w:r>
    </w:p>
    <w:p w:rsidR="00C10AC2" w:rsidRDefault="0046362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事故发生后，北京市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应急管理局等依法对相关责任单位及人员进行了责任追究，北京诚智乾懋混凝土有限公司按照事故调查报告的要求对相关责任人员进行了责任追究基本落实到位。</w:t>
      </w:r>
    </w:p>
    <w:p w:rsidR="00C10AC2" w:rsidRDefault="0046362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北京诚智乾懋混凝土有限公司在现场评估过程中，对事故调查报告里要求整改项基本落实到位，专家组认为北京诚智乾懋混凝土有限公司“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”一般生产安全事故责任追究和整改措施落实基本符合《中华人民共和国安全生产法》（国家主席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w:t>
      </w:r>
      <w:r>
        <w:rPr>
          <w:rFonts w:asciiTheme="minorEastAsia" w:eastAsiaTheme="minorEastAsia" w:hAnsiTheme="minorEastAsia" w:hint="eastAsia"/>
          <w:sz w:val="24"/>
          <w:szCs w:val="24"/>
        </w:rPr>
        <w:t>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号）的要求。</w:t>
      </w:r>
    </w:p>
    <w:sectPr w:rsidR="00C10AC2">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2D" w:rsidRDefault="0046362D">
      <w:r>
        <w:separator/>
      </w:r>
    </w:p>
  </w:endnote>
  <w:endnote w:type="continuationSeparator" w:id="0">
    <w:p w:rsidR="0046362D" w:rsidRDefault="0046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C2" w:rsidRDefault="00C10AC2">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C2" w:rsidRDefault="00C10AC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C2" w:rsidRDefault="00C10AC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C2" w:rsidRDefault="0046362D">
    <w:pPr>
      <w:pStyle w:val="a4"/>
    </w:pPr>
    <w:r>
      <w:rPr>
        <w:noProof/>
      </w:rPr>
      <mc:AlternateContent>
        <mc:Choice Requires="wps">
          <w:drawing>
            <wp:anchor distT="0" distB="0" distL="114300" distR="114300" simplePos="0" relativeHeight="251659264" behindDoc="0" locked="0" layoutInCell="1" allowOverlap="1" wp14:anchorId="61995269" wp14:editId="51FB7F87">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0AC2" w:rsidRDefault="0046362D">
                          <w:pPr>
                            <w:pStyle w:val="a4"/>
                          </w:pPr>
                          <w:r>
                            <w:fldChar w:fldCharType="begin"/>
                          </w:r>
                          <w:r>
                            <w:instrText xml:space="preserve"> PAGE  \* MERGEFORMAT </w:instrText>
                          </w:r>
                          <w:r>
                            <w:fldChar w:fldCharType="separate"/>
                          </w:r>
                          <w:r w:rsidR="00355ED6">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lYgIAAAw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xKEBlYgIAAAwFAAAOAAAAAAAAAAAAAAAAAC4CAABkcnMvZTJvRG9jLnht&#10;bFBLAQItABQABgAIAAAAIQBxqtG51wAAAAUBAAAPAAAAAAAAAAAAAAAAALwEAABkcnMvZG93bnJl&#10;di54bWxQSwUGAAAAAAQABADzAAAAwAUAAAAA&#10;" filled="f" stroked="f" strokeweight=".5pt">
              <v:textbox style="mso-fit-shape-to-text:t" inset="0,0,0,0">
                <w:txbxContent>
                  <w:p w:rsidR="00C10AC2" w:rsidRDefault="0046362D">
                    <w:pPr>
                      <w:pStyle w:val="a4"/>
                    </w:pPr>
                    <w:r>
                      <w:fldChar w:fldCharType="begin"/>
                    </w:r>
                    <w:r>
                      <w:instrText xml:space="preserve"> PAGE  \* MERGEFORMAT </w:instrText>
                    </w:r>
                    <w:r>
                      <w:fldChar w:fldCharType="separate"/>
                    </w:r>
                    <w:r w:rsidR="00355ED6">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2D" w:rsidRDefault="0046362D">
      <w:r>
        <w:separator/>
      </w:r>
    </w:p>
  </w:footnote>
  <w:footnote w:type="continuationSeparator" w:id="0">
    <w:p w:rsidR="0046362D" w:rsidRDefault="00463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C2" w:rsidRDefault="00C10AC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C2" w:rsidRDefault="00C10AC2">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C2" w:rsidRDefault="0046362D">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北京诚智乾懋混凝土有限公司“</w:t>
    </w:r>
    <w:r>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14</w:t>
    </w:r>
    <w:r>
      <w:rPr>
        <w:rFonts w:asciiTheme="minorEastAsia" w:eastAsiaTheme="minorEastAsia" w:hAnsiTheme="minorEastAsia" w:hint="eastAsia"/>
        <w:sz w:val="21"/>
        <w:szCs w:val="21"/>
      </w:rPr>
      <w:t>”一般生产安全事故责任追究和整改措施落实情况评估报告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9CF6E"/>
    <w:multiLevelType w:val="singleLevel"/>
    <w:tmpl w:val="BDC9CF6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187AA9"/>
    <w:rsid w:val="00001E0D"/>
    <w:rsid w:val="00005C76"/>
    <w:rsid w:val="00006CB1"/>
    <w:rsid w:val="00022D01"/>
    <w:rsid w:val="00025619"/>
    <w:rsid w:val="00150341"/>
    <w:rsid w:val="00187AA9"/>
    <w:rsid w:val="001D5CFD"/>
    <w:rsid w:val="002310C8"/>
    <w:rsid w:val="00243221"/>
    <w:rsid w:val="002466F8"/>
    <w:rsid w:val="002834ED"/>
    <w:rsid w:val="00293A39"/>
    <w:rsid w:val="00355ED6"/>
    <w:rsid w:val="003D36FB"/>
    <w:rsid w:val="0046362D"/>
    <w:rsid w:val="0049504D"/>
    <w:rsid w:val="004E64C8"/>
    <w:rsid w:val="0051501E"/>
    <w:rsid w:val="0056799C"/>
    <w:rsid w:val="00600DE0"/>
    <w:rsid w:val="006E0EAC"/>
    <w:rsid w:val="00731EAB"/>
    <w:rsid w:val="00877A79"/>
    <w:rsid w:val="008F0187"/>
    <w:rsid w:val="009654B6"/>
    <w:rsid w:val="00A82F70"/>
    <w:rsid w:val="00BF4F61"/>
    <w:rsid w:val="00C10AC2"/>
    <w:rsid w:val="00C23A73"/>
    <w:rsid w:val="00C34692"/>
    <w:rsid w:val="00C34A00"/>
    <w:rsid w:val="00C67CF0"/>
    <w:rsid w:val="00CE17B3"/>
    <w:rsid w:val="00D72498"/>
    <w:rsid w:val="00D95C08"/>
    <w:rsid w:val="00DF5E61"/>
    <w:rsid w:val="00F32E08"/>
    <w:rsid w:val="00F34AF7"/>
    <w:rsid w:val="00FD1959"/>
    <w:rsid w:val="278C56DE"/>
    <w:rsid w:val="7D64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jc w:val="left"/>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210"/>
      <w:jc w:val="left"/>
    </w:pPr>
    <w:rPr>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Calibri" w:eastAsia="宋体" w:hAnsi="Calibri" w:cs="Times New Roman"/>
      <w:b/>
      <w:bCs/>
      <w:sz w:val="30"/>
      <w:szCs w:val="32"/>
    </w:r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jc w:val="left"/>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210"/>
      <w:jc w:val="left"/>
    </w:pPr>
    <w:rPr>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Calibri" w:eastAsia="宋体" w:hAnsi="Calibri" w:cs="Times New Roman"/>
      <w:b/>
      <w:bCs/>
      <w:sz w:val="30"/>
      <w:szCs w:val="32"/>
    </w:r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cp:lastPrinted>2024-11-01T01:04:00Z</cp:lastPrinted>
  <dcterms:created xsi:type="dcterms:W3CDTF">2024-09-03T08:48:00Z</dcterms:created>
  <dcterms:modified xsi:type="dcterms:W3CDTF">2024-12-18T08:33:00Z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6D23414AF7A749D98464A2AB90263AB2_12</vt:lpwstr>
  </property>
</Properties>
</file>