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20" w:rsidRDefault="00CD5620">
      <w:pPr>
        <w:ind w:firstLine="420"/>
        <w:rPr>
          <w:rFonts w:ascii="Times New Roman" w:hAnsi="Times New Roman" w:hint="eastAsia"/>
        </w:rPr>
      </w:pPr>
    </w:p>
    <w:p w:rsidR="00CD5620" w:rsidRDefault="00CD5620">
      <w:pPr>
        <w:ind w:firstLine="420"/>
        <w:jc w:val="center"/>
        <w:rPr>
          <w:rFonts w:ascii="Times New Roman" w:hAnsi="Times New Roman"/>
        </w:rPr>
      </w:pPr>
    </w:p>
    <w:p w:rsidR="00CD5620" w:rsidRDefault="00CD5620">
      <w:pPr>
        <w:ind w:firstLine="420"/>
        <w:rPr>
          <w:rFonts w:ascii="Times New Roman" w:hAnsi="Times New Roman"/>
        </w:rPr>
      </w:pPr>
    </w:p>
    <w:p w:rsidR="00CD5620" w:rsidRDefault="00CD5620">
      <w:pPr>
        <w:spacing w:line="360" w:lineRule="auto"/>
        <w:jc w:val="left"/>
        <w:rPr>
          <w:rFonts w:ascii="Times New Roman" w:hAnsi="Times New Roman"/>
          <w:b/>
          <w:sz w:val="36"/>
          <w:szCs w:val="36"/>
        </w:rPr>
      </w:pPr>
    </w:p>
    <w:p w:rsidR="00CD5620" w:rsidRDefault="00CD5620">
      <w:pPr>
        <w:spacing w:line="360" w:lineRule="auto"/>
        <w:jc w:val="center"/>
        <w:rPr>
          <w:rFonts w:ascii="Times New Roman" w:hAnsi="Times New Roman"/>
          <w:b/>
          <w:sz w:val="36"/>
          <w:szCs w:val="36"/>
        </w:rPr>
      </w:pPr>
    </w:p>
    <w:p w:rsidR="00CD5620" w:rsidRDefault="00394EED">
      <w:pPr>
        <w:spacing w:line="360" w:lineRule="auto"/>
        <w:jc w:val="center"/>
        <w:rPr>
          <w:rFonts w:ascii="宋体" w:hAnsi="宋体" w:cs="宋体"/>
          <w:b/>
          <w:sz w:val="36"/>
          <w:szCs w:val="36"/>
        </w:rPr>
      </w:pPr>
      <w:r>
        <w:rPr>
          <w:rFonts w:ascii="宋体" w:hAnsi="宋体" w:cs="宋体" w:hint="eastAsia"/>
          <w:b/>
          <w:sz w:val="36"/>
          <w:szCs w:val="36"/>
        </w:rPr>
        <w:t>北京中科中电电力工程管理有限公司“</w:t>
      </w:r>
      <w:r>
        <w:rPr>
          <w:rFonts w:ascii="宋体" w:hAnsi="宋体" w:cs="宋体" w:hint="eastAsia"/>
          <w:b/>
          <w:sz w:val="36"/>
          <w:szCs w:val="36"/>
        </w:rPr>
        <w:t>8</w:t>
      </w:r>
      <w:r>
        <w:rPr>
          <w:rFonts w:ascii="宋体" w:hAnsi="宋体" w:cs="宋体" w:hint="eastAsia"/>
          <w:b/>
          <w:sz w:val="36"/>
          <w:szCs w:val="36"/>
        </w:rPr>
        <w:t>•</w:t>
      </w:r>
      <w:r>
        <w:rPr>
          <w:rFonts w:ascii="宋体" w:hAnsi="宋体" w:cs="宋体" w:hint="eastAsia"/>
          <w:b/>
          <w:sz w:val="36"/>
          <w:szCs w:val="36"/>
        </w:rPr>
        <w:t>7</w:t>
      </w:r>
      <w:r>
        <w:rPr>
          <w:rFonts w:ascii="宋体" w:hAnsi="宋体" w:cs="宋体" w:hint="eastAsia"/>
          <w:b/>
          <w:sz w:val="36"/>
          <w:szCs w:val="36"/>
        </w:rPr>
        <w:t>”</w:t>
      </w:r>
    </w:p>
    <w:p w:rsidR="00CD5620" w:rsidRDefault="00394EED">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CD5620" w:rsidRDefault="00394EED">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CD5620" w:rsidRDefault="00394EED">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CD5620" w:rsidRDefault="00CD5620">
      <w:pPr>
        <w:ind w:firstLine="420"/>
        <w:jc w:val="center"/>
        <w:rPr>
          <w:rFonts w:ascii="Times New Roman" w:hAnsi="Times New Roman"/>
        </w:rPr>
      </w:pPr>
    </w:p>
    <w:p w:rsidR="00CD5620" w:rsidRDefault="00CD5620">
      <w:pPr>
        <w:rPr>
          <w:rFonts w:ascii="Times New Roman" w:eastAsia="黑体" w:hAnsi="Times New Roman"/>
          <w:b/>
          <w:bCs/>
          <w:sz w:val="48"/>
          <w:szCs w:val="48"/>
        </w:rPr>
      </w:pPr>
    </w:p>
    <w:p w:rsidR="00CD5620" w:rsidRDefault="00CD5620">
      <w:pPr>
        <w:ind w:firstLine="420"/>
        <w:jc w:val="center"/>
        <w:rPr>
          <w:rFonts w:ascii="Times New Roman" w:hAnsi="Times New Roman"/>
          <w:b/>
          <w:sz w:val="30"/>
          <w:szCs w:val="30"/>
        </w:rPr>
      </w:pPr>
    </w:p>
    <w:p w:rsidR="00CD5620" w:rsidRDefault="00CD5620">
      <w:pPr>
        <w:ind w:firstLine="420"/>
        <w:jc w:val="center"/>
        <w:rPr>
          <w:rFonts w:ascii="Times New Roman" w:hAnsi="Times New Roman"/>
        </w:rPr>
      </w:pPr>
    </w:p>
    <w:p w:rsidR="00CD5620" w:rsidRDefault="00CD5620">
      <w:pPr>
        <w:ind w:firstLine="420"/>
        <w:jc w:val="center"/>
        <w:rPr>
          <w:rFonts w:ascii="Times New Roman" w:hAnsi="Times New Roman"/>
        </w:rPr>
      </w:pPr>
    </w:p>
    <w:p w:rsidR="00CD5620" w:rsidRDefault="00CD5620">
      <w:pPr>
        <w:ind w:firstLine="420"/>
        <w:jc w:val="center"/>
        <w:rPr>
          <w:rFonts w:ascii="Times New Roman" w:hAnsi="Times New Roman"/>
        </w:rPr>
      </w:pPr>
    </w:p>
    <w:p w:rsidR="00CD5620" w:rsidRDefault="00CD5620">
      <w:pPr>
        <w:ind w:firstLine="420"/>
        <w:jc w:val="center"/>
        <w:rPr>
          <w:rFonts w:ascii="Times New Roman" w:hAnsi="Times New Roman"/>
        </w:rPr>
      </w:pPr>
    </w:p>
    <w:p w:rsidR="00CD5620" w:rsidRDefault="00CD5620">
      <w:pPr>
        <w:spacing w:line="360" w:lineRule="auto"/>
        <w:ind w:firstLineChars="300" w:firstLine="964"/>
        <w:rPr>
          <w:rFonts w:ascii="Times New Roman" w:hAnsi="Times New Roman"/>
          <w:b/>
          <w:sz w:val="32"/>
          <w:szCs w:val="32"/>
        </w:rPr>
      </w:pPr>
    </w:p>
    <w:p w:rsidR="00CD5620" w:rsidRDefault="00CD5620">
      <w:pPr>
        <w:spacing w:line="360" w:lineRule="auto"/>
        <w:ind w:firstLineChars="300" w:firstLine="964"/>
        <w:rPr>
          <w:rFonts w:ascii="Times New Roman" w:hAnsi="Times New Roman"/>
          <w:b/>
          <w:sz w:val="32"/>
          <w:szCs w:val="32"/>
        </w:rPr>
      </w:pPr>
    </w:p>
    <w:p w:rsidR="00CD5620" w:rsidRDefault="00CD5620">
      <w:pPr>
        <w:spacing w:line="360" w:lineRule="auto"/>
        <w:ind w:firstLineChars="300" w:firstLine="964"/>
        <w:rPr>
          <w:rFonts w:ascii="Times New Roman" w:hAnsi="Times New Roman"/>
          <w:b/>
          <w:sz w:val="32"/>
          <w:szCs w:val="32"/>
        </w:rPr>
      </w:pPr>
    </w:p>
    <w:p w:rsidR="00CD5620" w:rsidRDefault="00CD5620">
      <w:pPr>
        <w:spacing w:line="360" w:lineRule="auto"/>
        <w:ind w:firstLineChars="300" w:firstLine="964"/>
        <w:rPr>
          <w:rFonts w:ascii="Times New Roman" w:hAnsi="Times New Roman"/>
          <w:b/>
          <w:sz w:val="32"/>
          <w:szCs w:val="32"/>
        </w:rPr>
      </w:pPr>
    </w:p>
    <w:p w:rsidR="00CD5620" w:rsidRDefault="00CD5620">
      <w:pPr>
        <w:spacing w:line="360" w:lineRule="auto"/>
        <w:ind w:firstLineChars="300" w:firstLine="964"/>
        <w:rPr>
          <w:rFonts w:ascii="Times New Roman" w:hAnsi="Times New Roman"/>
          <w:b/>
          <w:sz w:val="32"/>
          <w:szCs w:val="32"/>
        </w:rPr>
      </w:pPr>
    </w:p>
    <w:p w:rsidR="00CD5620" w:rsidRDefault="00CD5620">
      <w:pPr>
        <w:spacing w:line="360" w:lineRule="auto"/>
        <w:ind w:firstLineChars="300" w:firstLine="964"/>
        <w:rPr>
          <w:rFonts w:ascii="Times New Roman" w:hAnsi="Times New Roman"/>
          <w:b/>
          <w:sz w:val="32"/>
          <w:szCs w:val="32"/>
        </w:rPr>
      </w:pPr>
    </w:p>
    <w:p w:rsidR="00CD5620" w:rsidRDefault="00CD5620">
      <w:pPr>
        <w:spacing w:line="360" w:lineRule="auto"/>
        <w:ind w:firstLineChars="300" w:firstLine="964"/>
        <w:rPr>
          <w:rFonts w:ascii="Times New Roman" w:hAnsi="Times New Roman"/>
          <w:b/>
          <w:sz w:val="32"/>
          <w:szCs w:val="32"/>
        </w:rPr>
      </w:pPr>
    </w:p>
    <w:p w:rsidR="00CD5620" w:rsidRDefault="00394EED">
      <w:pPr>
        <w:spacing w:line="360" w:lineRule="auto"/>
        <w:jc w:val="center"/>
        <w:rPr>
          <w:rFonts w:ascii="Times New Roman" w:hAnsi="Times New Roman"/>
          <w:b/>
          <w:bCs/>
          <w:szCs w:val="44"/>
        </w:rPr>
      </w:pPr>
      <w:r>
        <w:rPr>
          <w:rFonts w:hint="eastAsia"/>
          <w:b/>
          <w:sz w:val="44"/>
          <w:szCs w:val="44"/>
        </w:rPr>
        <w:t>世纪万安科技</w:t>
      </w:r>
      <w:r>
        <w:rPr>
          <w:rFonts w:hint="eastAsia"/>
          <w:b/>
          <w:sz w:val="44"/>
          <w:szCs w:val="44"/>
        </w:rPr>
        <w:t>(</w:t>
      </w:r>
      <w:r>
        <w:rPr>
          <w:rFonts w:hint="eastAsia"/>
          <w:b/>
          <w:sz w:val="44"/>
          <w:szCs w:val="44"/>
        </w:rPr>
        <w:t>北京</w:t>
      </w:r>
      <w:r>
        <w:rPr>
          <w:rFonts w:hint="eastAsia"/>
          <w:b/>
          <w:sz w:val="44"/>
          <w:szCs w:val="44"/>
        </w:rPr>
        <w:t>)</w:t>
      </w:r>
      <w:r>
        <w:rPr>
          <w:rFonts w:hint="eastAsia"/>
          <w:b/>
          <w:sz w:val="44"/>
          <w:szCs w:val="44"/>
        </w:rPr>
        <w:t>有限公司</w:t>
      </w:r>
    </w:p>
    <w:p w:rsidR="00CD5620" w:rsidRDefault="00394EED">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w:t>
      </w:r>
      <w:r>
        <w:rPr>
          <w:rFonts w:ascii="Times New Roman" w:hAnsi="Times New Roman" w:hint="eastAsia"/>
          <w:b/>
          <w:bCs/>
          <w:sz w:val="32"/>
          <w:szCs w:val="32"/>
        </w:rPr>
        <w:t>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CD5620" w:rsidRDefault="00CD5620">
      <w:pPr>
        <w:spacing w:line="360" w:lineRule="auto"/>
        <w:jc w:val="center"/>
        <w:rPr>
          <w:rFonts w:ascii="Times New Roman" w:hAnsi="Times New Roman"/>
          <w:b/>
          <w:bCs/>
          <w:sz w:val="32"/>
          <w:szCs w:val="32"/>
        </w:rPr>
      </w:pPr>
    </w:p>
    <w:p w:rsidR="00CD5620" w:rsidRDefault="00CD5620">
      <w:pPr>
        <w:ind w:firstLine="420"/>
        <w:jc w:val="left"/>
        <w:rPr>
          <w:rFonts w:ascii="Times New Roman" w:hAnsi="Times New Roman"/>
        </w:rPr>
      </w:pPr>
    </w:p>
    <w:p w:rsidR="00CD5620" w:rsidRDefault="00CD5620">
      <w:pPr>
        <w:spacing w:beforeLines="100" w:before="240" w:line="480" w:lineRule="auto"/>
        <w:rPr>
          <w:rFonts w:ascii="Times New Roman" w:hAnsi="Times New Roman"/>
          <w:b/>
          <w:bCs/>
          <w:sz w:val="32"/>
          <w:szCs w:val="32"/>
        </w:rPr>
        <w:sectPr w:rsidR="00CD5620">
          <w:footerReference w:type="default" r:id="rId8"/>
          <w:pgSz w:w="11907" w:h="16840"/>
          <w:pgMar w:top="1588" w:right="1531" w:bottom="1588" w:left="1644" w:header="1191" w:footer="1191" w:gutter="0"/>
          <w:cols w:space="720"/>
          <w:docGrid w:linePitch="312"/>
        </w:sectPr>
      </w:pPr>
    </w:p>
    <w:p w:rsidR="00CD5620" w:rsidRDefault="00394EED">
      <w:pPr>
        <w:spacing w:line="360" w:lineRule="auto"/>
        <w:jc w:val="center"/>
        <w:rPr>
          <w:b/>
          <w:bCs/>
          <w:sz w:val="32"/>
          <w:szCs w:val="32"/>
        </w:rPr>
      </w:pPr>
      <w:bookmarkStart w:id="0" w:name="_Toc13563"/>
      <w:bookmarkStart w:id="1" w:name="_Toc2247"/>
      <w:r>
        <w:rPr>
          <w:b/>
          <w:bCs/>
          <w:sz w:val="32"/>
          <w:szCs w:val="32"/>
        </w:rPr>
        <w:lastRenderedPageBreak/>
        <w:t>前言</w:t>
      </w:r>
      <w:bookmarkEnd w:id="0"/>
      <w:bookmarkEnd w:id="1"/>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50</w:t>
      </w:r>
      <w:r>
        <w:rPr>
          <w:rFonts w:asciiTheme="minorEastAsia" w:eastAsiaTheme="minorEastAsia" w:hAnsiTheme="minorEastAsia" w:hint="eastAsia"/>
          <w:sz w:val="24"/>
          <w:szCs w:val="24"/>
        </w:rPr>
        <w:t>分左右，位于</w:t>
      </w:r>
      <w:proofErr w:type="gramStart"/>
      <w:r>
        <w:rPr>
          <w:rFonts w:asciiTheme="minorEastAsia" w:eastAsiaTheme="minorEastAsia" w:hAnsiTheme="minorEastAsia" w:hint="eastAsia"/>
          <w:sz w:val="24"/>
          <w:szCs w:val="24"/>
        </w:rPr>
        <w:t>大兴区礼</w:t>
      </w:r>
      <w:proofErr w:type="gramEnd"/>
      <w:r>
        <w:rPr>
          <w:rFonts w:asciiTheme="minorEastAsia" w:eastAsiaTheme="minorEastAsia" w:hAnsiTheme="minorEastAsia" w:hint="eastAsia"/>
          <w:sz w:val="24"/>
          <w:szCs w:val="24"/>
        </w:rPr>
        <w:t>贤镇兴贤路北侧绿化带</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号电力管井内发生一起中毒和窒息事故，造成</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名工人死亡。</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人民政府成立了由区应急管理局、区人力资源和社会保障局、区公安分局、区总工会、区住房和城乡建设委员会、临空经济区管理委员会、礼贤镇人民政府组成的“</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”事故调查组，并依法邀请区纪委区监委列席参加。对此事故展开了全面的调查工作。</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依据《北京市生产安全事故责任追究和整改措施落实情况评估办法》（京安发﹝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w:t>
      </w:r>
      <w:r>
        <w:rPr>
          <w:rFonts w:asciiTheme="minorEastAsia" w:eastAsiaTheme="minorEastAsia" w:hAnsiTheme="minorEastAsia" w:hint="eastAsia"/>
          <w:sz w:val="24"/>
          <w:szCs w:val="24"/>
        </w:rPr>
        <w:t>措施落实情况评估工作的通知》，北京市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针对事故企业现场检查评估情况，汇总整理了专家现场意见和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对事故发生单位安全现状评估意见，最终编制完成了《北京中科中电电力工程管理有限公司“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w:t>
      </w:r>
      <w:r>
        <w:rPr>
          <w:rFonts w:asciiTheme="minorEastAsia" w:eastAsiaTheme="minorEastAsia" w:hAnsiTheme="minorEastAsia" w:hint="eastAsia"/>
          <w:sz w:val="24"/>
          <w:szCs w:val="24"/>
        </w:rPr>
        <w:t>产安全事故责任追究和整改措施落实情况评估报告》。</w:t>
      </w:r>
    </w:p>
    <w:p w:rsidR="00CD5620" w:rsidRDefault="00394EED">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CD5620" w:rsidRDefault="00CD5620">
      <w:pPr>
        <w:tabs>
          <w:tab w:val="left" w:pos="535"/>
        </w:tabs>
        <w:spacing w:line="360" w:lineRule="auto"/>
        <w:ind w:firstLineChars="200" w:firstLine="480"/>
        <w:rPr>
          <w:rFonts w:ascii="Times New Roman" w:hAnsi="Times New Roman"/>
          <w:sz w:val="24"/>
          <w:szCs w:val="24"/>
          <w:highlight w:val="yellow"/>
        </w:rPr>
      </w:pPr>
    </w:p>
    <w:p w:rsidR="00CD5620" w:rsidRDefault="00CD5620">
      <w:pPr>
        <w:tabs>
          <w:tab w:val="left" w:pos="535"/>
        </w:tabs>
        <w:spacing w:line="360" w:lineRule="auto"/>
        <w:ind w:firstLineChars="200" w:firstLine="480"/>
        <w:rPr>
          <w:rFonts w:ascii="Times New Roman" w:hAnsi="Times New Roman"/>
          <w:sz w:val="24"/>
          <w:szCs w:val="24"/>
          <w:highlight w:val="yellow"/>
        </w:rPr>
      </w:pPr>
    </w:p>
    <w:p w:rsidR="00CD5620" w:rsidRDefault="00394EED">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CD5620" w:rsidRDefault="00394EED">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CD5620" w:rsidRDefault="00CD5620">
      <w:pPr>
        <w:topLinePunct/>
        <w:snapToGrid w:val="0"/>
        <w:spacing w:line="520" w:lineRule="exact"/>
        <w:ind w:firstLine="200"/>
        <w:rPr>
          <w:rFonts w:ascii="Times New Roman" w:hAnsi="Times New Roman"/>
          <w:sz w:val="28"/>
          <w:szCs w:val="28"/>
        </w:rPr>
        <w:sectPr w:rsidR="00CD5620">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eastAsiaTheme="minorEastAsia" w:hAnsiTheme="minorEastAsia"/>
          <w:b/>
          <w:bCs/>
          <w:szCs w:val="32"/>
        </w:rPr>
      </w:sdtEndPr>
      <w:sdtContent>
        <w:p w:rsidR="00CD5620" w:rsidRDefault="00394EED">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CD5620" w:rsidRDefault="00394EED">
          <w:pPr>
            <w:pStyle w:val="20"/>
            <w:tabs>
              <w:tab w:val="right" w:leader="dot" w:pos="8306"/>
            </w:tabs>
            <w:spacing w:line="360" w:lineRule="auto"/>
            <w:rPr>
              <w:rFonts w:ascii="宋体" w:hAnsi="宋体" w:cs="宋体"/>
              <w:sz w:val="24"/>
              <w:szCs w:val="24"/>
            </w:rPr>
          </w:pPr>
          <w:r>
            <w:rPr>
              <w:rFonts w:asciiTheme="minorEastAsia" w:eastAsiaTheme="minorEastAsia" w:hAnsiTheme="minorEastAsia"/>
              <w:b/>
              <w:bCs/>
              <w:sz w:val="32"/>
              <w:szCs w:val="32"/>
            </w:rPr>
            <w:fldChar w:fldCharType="begin"/>
          </w:r>
          <w:r>
            <w:rPr>
              <w:rFonts w:asciiTheme="minorEastAsia" w:eastAsiaTheme="minorEastAsia" w:hAnsiTheme="minorEastAsia"/>
              <w:b/>
              <w:bCs/>
              <w:sz w:val="32"/>
              <w:szCs w:val="32"/>
            </w:rPr>
            <w:instrText xml:space="preserve">TOC \o "1-2" \h \u </w:instrText>
          </w:r>
          <w:r>
            <w:rPr>
              <w:rFonts w:asciiTheme="minorEastAsia" w:eastAsiaTheme="minorEastAsia" w:hAnsiTheme="minorEastAsia"/>
              <w:b/>
              <w:bCs/>
              <w:sz w:val="32"/>
              <w:szCs w:val="32"/>
            </w:rPr>
            <w:fldChar w:fldCharType="separate"/>
          </w:r>
          <w:hyperlink w:anchor="_Toc21521" w:history="1">
            <w:r>
              <w:rPr>
                <w:rFonts w:ascii="宋体" w:hAnsi="宋体" w:cs="宋体" w:hint="eastAsia"/>
                <w:sz w:val="24"/>
                <w:szCs w:val="24"/>
              </w:rPr>
              <w:t xml:space="preserve">1 </w:t>
            </w:r>
            <w:r>
              <w:rPr>
                <w:rFonts w:ascii="宋体" w:hAnsi="宋体" w:cs="宋体" w:hint="eastAsia"/>
                <w:sz w:val="24"/>
                <w:szCs w:val="24"/>
              </w:rPr>
              <w:t>编制说明</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_Toc21521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1902" w:history="1">
            <w:r>
              <w:rPr>
                <w:rFonts w:ascii="宋体" w:hAnsi="宋体" w:cs="宋体" w:hint="eastAsia"/>
                <w:sz w:val="24"/>
                <w:szCs w:val="24"/>
              </w:rPr>
              <w:t xml:space="preserve">1.1 </w:t>
            </w:r>
            <w:r>
              <w:rPr>
                <w:rFonts w:ascii="宋体" w:hAnsi="宋体" w:cs="宋体" w:hint="eastAsia"/>
                <w:sz w:val="24"/>
                <w:szCs w:val="24"/>
              </w:rPr>
              <w:t>评估目的及意义</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_Toc1902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14747" w:history="1">
            <w:r>
              <w:rPr>
                <w:rFonts w:ascii="宋体" w:hAnsi="宋体" w:cs="宋体" w:hint="eastAsia"/>
                <w:sz w:val="24"/>
                <w:szCs w:val="24"/>
              </w:rPr>
              <w:t xml:space="preserve">1.2 </w:t>
            </w:r>
            <w:r>
              <w:rPr>
                <w:rFonts w:ascii="宋体" w:hAnsi="宋体" w:cs="宋体" w:hint="eastAsia"/>
                <w:sz w:val="24"/>
                <w:szCs w:val="24"/>
              </w:rPr>
              <w:t>评估对象及范围</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_Toc14747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14709" w:history="1">
            <w:r>
              <w:rPr>
                <w:rFonts w:ascii="宋体" w:hAnsi="宋体" w:cs="宋体" w:hint="eastAsia"/>
                <w:sz w:val="24"/>
                <w:szCs w:val="24"/>
              </w:rPr>
              <w:t xml:space="preserve">1.3 </w:t>
            </w:r>
            <w:r>
              <w:rPr>
                <w:rFonts w:ascii="宋体" w:hAnsi="宋体" w:cs="宋体" w:hint="eastAsia"/>
                <w:sz w:val="24"/>
                <w:szCs w:val="24"/>
              </w:rPr>
              <w:t>评估程序和评估方法</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_Toc14709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17717" w:history="1">
            <w:r>
              <w:rPr>
                <w:rFonts w:ascii="宋体" w:hAnsi="宋体" w:cs="宋体" w:hint="eastAsia"/>
                <w:sz w:val="24"/>
                <w:szCs w:val="24"/>
              </w:rPr>
              <w:t xml:space="preserve">1.4 </w:t>
            </w:r>
            <w:r>
              <w:rPr>
                <w:rFonts w:ascii="宋体" w:hAnsi="宋体" w:cs="宋体" w:hint="eastAsia"/>
                <w:sz w:val="24"/>
                <w:szCs w:val="24"/>
              </w:rPr>
              <w:t>组织评估和开展评估</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_Toc17717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21692" w:history="1">
            <w:r>
              <w:rPr>
                <w:rFonts w:ascii="宋体" w:hAnsi="宋体" w:cs="宋体" w:hint="eastAsia"/>
                <w:sz w:val="24"/>
                <w:szCs w:val="24"/>
              </w:rPr>
              <w:t xml:space="preserve">1.5 </w:t>
            </w:r>
            <w:r>
              <w:rPr>
                <w:rFonts w:ascii="宋体" w:hAnsi="宋体" w:cs="宋体" w:hint="eastAsia"/>
                <w:sz w:val="24"/>
                <w:szCs w:val="24"/>
              </w:rPr>
              <w:t>评估依据</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_Toc21692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rPr>
              <w:rFonts w:ascii="宋体" w:hAnsi="宋体" w:cs="宋体"/>
              <w:sz w:val="24"/>
              <w:szCs w:val="24"/>
            </w:rPr>
          </w:pPr>
          <w:hyperlink w:anchor="_Toc20416" w:history="1">
            <w:r>
              <w:rPr>
                <w:rFonts w:ascii="宋体" w:hAnsi="宋体" w:cs="宋体" w:hint="eastAsia"/>
                <w:sz w:val="24"/>
                <w:szCs w:val="24"/>
              </w:rPr>
              <w:t xml:space="preserve">2 </w:t>
            </w:r>
            <w:r>
              <w:rPr>
                <w:rFonts w:ascii="宋体" w:hAnsi="宋体" w:cs="宋体" w:hint="eastAsia"/>
                <w:sz w:val="24"/>
                <w:szCs w:val="24"/>
              </w:rPr>
              <w:t>事故责任单位及人员责任追究落实情况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_Toc20416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23579" w:history="1">
            <w:r>
              <w:rPr>
                <w:rFonts w:ascii="宋体" w:hAnsi="宋体" w:cs="宋体" w:hint="eastAsia"/>
                <w:sz w:val="24"/>
                <w:szCs w:val="24"/>
              </w:rPr>
              <w:t xml:space="preserve">2.1 </w:t>
            </w:r>
            <w:r>
              <w:rPr>
                <w:rFonts w:ascii="宋体" w:hAnsi="宋体" w:cs="宋体" w:hint="eastAsia"/>
                <w:sz w:val="24"/>
                <w:szCs w:val="24"/>
              </w:rPr>
              <w:t>事故责任单位责任追究落实情况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w:instrText>
            </w:r>
            <w:r>
              <w:rPr>
                <w:rFonts w:ascii="宋体" w:hAnsi="宋体" w:cs="宋体" w:hint="eastAsia"/>
                <w:sz w:val="24"/>
                <w:szCs w:val="24"/>
              </w:rPr>
              <w:instrText xml:space="preserve">oc23579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4169" w:history="1">
            <w:r>
              <w:rPr>
                <w:rFonts w:ascii="宋体" w:hAnsi="宋体" w:cs="宋体" w:hint="eastAsia"/>
                <w:sz w:val="24"/>
                <w:szCs w:val="24"/>
              </w:rPr>
              <w:t xml:space="preserve">2.2 </w:t>
            </w:r>
            <w:r>
              <w:rPr>
                <w:rFonts w:ascii="宋体" w:hAnsi="宋体" w:cs="宋体" w:hint="eastAsia"/>
                <w:sz w:val="24"/>
                <w:szCs w:val="24"/>
              </w:rPr>
              <w:t>事故责任人员责任追究落实情况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_Toc4169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rPr>
              <w:rFonts w:ascii="宋体" w:hAnsi="宋体" w:cs="宋体"/>
              <w:sz w:val="24"/>
              <w:szCs w:val="24"/>
            </w:rPr>
          </w:pPr>
          <w:hyperlink w:anchor="_Toc13233" w:history="1">
            <w:r>
              <w:rPr>
                <w:rFonts w:ascii="宋体" w:hAnsi="宋体" w:cs="宋体" w:hint="eastAsia"/>
                <w:sz w:val="24"/>
                <w:szCs w:val="24"/>
              </w:rPr>
              <w:t xml:space="preserve">3 </w:t>
            </w:r>
            <w:r>
              <w:rPr>
                <w:rFonts w:ascii="宋体" w:hAnsi="宋体" w:cs="宋体" w:hint="eastAsia"/>
                <w:sz w:val="24"/>
                <w:szCs w:val="24"/>
              </w:rPr>
              <w:t>事故责任单位整改措施落实情况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_Toc13233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26256" w:history="1">
            <w:r>
              <w:rPr>
                <w:rFonts w:ascii="宋体" w:hAnsi="宋体" w:cs="宋体" w:hint="eastAsia"/>
                <w:sz w:val="24"/>
                <w:szCs w:val="24"/>
              </w:rPr>
              <w:t xml:space="preserve">3.1 </w:t>
            </w:r>
            <w:r>
              <w:rPr>
                <w:rFonts w:ascii="宋体" w:hAnsi="宋体" w:cs="宋体" w:hint="eastAsia"/>
                <w:sz w:val="24"/>
                <w:szCs w:val="24"/>
              </w:rPr>
              <w:t>事故调查报告中建议整改措施情况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_Toc26256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8153" w:history="1">
            <w:r>
              <w:rPr>
                <w:rFonts w:ascii="宋体" w:hAnsi="宋体" w:cs="宋体" w:hint="eastAsia"/>
                <w:sz w:val="24"/>
                <w:szCs w:val="24"/>
              </w:rPr>
              <w:t xml:space="preserve">3.2 </w:t>
            </w:r>
            <w:r>
              <w:rPr>
                <w:rFonts w:ascii="宋体" w:hAnsi="宋体" w:cs="宋体" w:hint="eastAsia"/>
                <w:sz w:val="24"/>
                <w:szCs w:val="24"/>
              </w:rPr>
              <w:t>事故调查报告整改建议落实情况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_Toc8153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rPr>
              <w:rFonts w:ascii="宋体" w:hAnsi="宋体" w:cs="宋体"/>
              <w:sz w:val="24"/>
              <w:szCs w:val="24"/>
            </w:rPr>
          </w:pPr>
          <w:hyperlink w:anchor="_Toc17084" w:history="1">
            <w:r>
              <w:rPr>
                <w:rFonts w:ascii="宋体" w:hAnsi="宋体" w:cs="宋体" w:hint="eastAsia"/>
                <w:sz w:val="24"/>
                <w:szCs w:val="24"/>
              </w:rPr>
              <w:t>4</w:t>
            </w:r>
            <w:r>
              <w:rPr>
                <w:rFonts w:ascii="宋体" w:hAnsi="宋体" w:cs="宋体" w:hint="eastAsia"/>
                <w:sz w:val="24"/>
                <w:szCs w:val="24"/>
              </w:rPr>
              <w:t>评估意见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_Toc17084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24718" w:history="1">
            <w:r>
              <w:rPr>
                <w:rFonts w:ascii="宋体" w:hAnsi="宋体" w:cs="宋体" w:hint="eastAsia"/>
                <w:sz w:val="24"/>
                <w:szCs w:val="24"/>
              </w:rPr>
              <w:t xml:space="preserve">4.1 </w:t>
            </w:r>
            <w:r>
              <w:rPr>
                <w:rFonts w:ascii="宋体" w:hAnsi="宋体" w:cs="宋体" w:hint="eastAsia"/>
                <w:sz w:val="24"/>
                <w:szCs w:val="24"/>
              </w:rPr>
              <w:t>评估总体意见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_Toc24718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10</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23452" w:history="1">
            <w:r>
              <w:rPr>
                <w:rFonts w:ascii="宋体" w:hAnsi="宋体" w:cs="宋体" w:hint="eastAsia"/>
                <w:sz w:val="24"/>
                <w:szCs w:val="24"/>
              </w:rPr>
              <w:t xml:space="preserve">4.2 </w:t>
            </w:r>
            <w:r>
              <w:rPr>
                <w:rFonts w:ascii="宋体" w:hAnsi="宋体" w:cs="宋体" w:hint="eastAsia"/>
                <w:sz w:val="24"/>
                <w:szCs w:val="24"/>
              </w:rPr>
              <w:t>专家现场意见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_Toc23452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10</w:t>
            </w:r>
            <w:r>
              <w:rPr>
                <w:rFonts w:ascii="宋体" w:hAnsi="宋体" w:cs="宋体" w:hint="eastAsia"/>
                <w:sz w:val="24"/>
                <w:szCs w:val="24"/>
              </w:rPr>
              <w:fldChar w:fldCharType="end"/>
            </w:r>
          </w:hyperlink>
        </w:p>
        <w:p w:rsidR="00CD5620" w:rsidRDefault="00394EED">
          <w:pPr>
            <w:pStyle w:val="20"/>
            <w:tabs>
              <w:tab w:val="right" w:leader="dot" w:pos="8306"/>
            </w:tabs>
            <w:spacing w:line="360" w:lineRule="auto"/>
            <w:ind w:firstLineChars="200" w:firstLine="400"/>
            <w:rPr>
              <w:rFonts w:ascii="宋体" w:hAnsi="宋体" w:cs="宋体"/>
              <w:sz w:val="24"/>
              <w:szCs w:val="24"/>
            </w:rPr>
          </w:pPr>
          <w:hyperlink w:anchor="_Toc29971" w:history="1">
            <w:r>
              <w:rPr>
                <w:rFonts w:ascii="宋体" w:hAnsi="宋体" w:cs="宋体" w:hint="eastAsia"/>
                <w:sz w:val="24"/>
                <w:szCs w:val="24"/>
              </w:rPr>
              <w:t>4.3</w:t>
            </w:r>
            <w:r>
              <w:rPr>
                <w:rFonts w:ascii="宋体" w:hAnsi="宋体" w:cs="宋体" w:hint="eastAsia"/>
                <w:sz w:val="24"/>
                <w:szCs w:val="24"/>
              </w:rPr>
              <w:t>评估结论</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_Toc29971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10</w:t>
            </w:r>
            <w:r>
              <w:rPr>
                <w:rFonts w:ascii="宋体" w:hAnsi="宋体" w:cs="宋体" w:hint="eastAsia"/>
                <w:sz w:val="24"/>
                <w:szCs w:val="24"/>
              </w:rPr>
              <w:fldChar w:fldCharType="end"/>
            </w:r>
          </w:hyperlink>
        </w:p>
        <w:p w:rsidR="00CD5620" w:rsidRDefault="00394EED">
          <w:pPr>
            <w:topLinePunct/>
            <w:snapToGrid w:val="0"/>
            <w:spacing w:afterLines="100" w:after="312" w:line="360" w:lineRule="auto"/>
            <w:jc w:val="center"/>
            <w:rPr>
              <w:rFonts w:asciiTheme="minorEastAsia" w:eastAsiaTheme="minorEastAsia" w:hAnsiTheme="minorEastAsia"/>
              <w:b/>
              <w:bCs/>
              <w:sz w:val="32"/>
              <w:szCs w:val="32"/>
            </w:rPr>
          </w:pPr>
          <w:r>
            <w:rPr>
              <w:rFonts w:asciiTheme="minorEastAsia" w:eastAsiaTheme="minorEastAsia" w:hAnsiTheme="minorEastAsia"/>
              <w:bCs/>
              <w:szCs w:val="32"/>
            </w:rPr>
            <w:fldChar w:fldCharType="end"/>
          </w:r>
        </w:p>
      </w:sdtContent>
    </w:sdt>
    <w:p w:rsidR="00CD5620" w:rsidRDefault="00CD5620">
      <w:pPr>
        <w:pStyle w:val="2"/>
        <w:rPr>
          <w:rFonts w:ascii="Times New Roman" w:hAnsi="Times New Roman"/>
          <w:szCs w:val="24"/>
          <w:u w:val="single"/>
        </w:rPr>
        <w:sectPr w:rsidR="00CD5620">
          <w:footerReference w:type="default" r:id="rId11"/>
          <w:pgSz w:w="11906" w:h="16838"/>
          <w:pgMar w:top="1440" w:right="1800" w:bottom="1440" w:left="1800" w:header="851" w:footer="992" w:gutter="0"/>
          <w:pgNumType w:start="1"/>
          <w:cols w:space="425"/>
          <w:docGrid w:type="lines" w:linePitch="312"/>
        </w:sectPr>
      </w:pPr>
      <w:bookmarkStart w:id="2" w:name="_Toc19645"/>
      <w:bookmarkStart w:id="3" w:name="_Toc146532263"/>
    </w:p>
    <w:p w:rsidR="00CD5620" w:rsidRDefault="00394EED">
      <w:pPr>
        <w:pStyle w:val="2"/>
      </w:pPr>
      <w:bookmarkStart w:id="4" w:name="_Toc21521"/>
      <w:r>
        <w:rPr>
          <w:rFonts w:hint="eastAsia"/>
        </w:rPr>
        <w:lastRenderedPageBreak/>
        <w:t xml:space="preserve">1 </w:t>
      </w:r>
      <w:r>
        <w:rPr>
          <w:rFonts w:hint="eastAsia"/>
        </w:rPr>
        <w:t>编制说明</w:t>
      </w:r>
      <w:bookmarkEnd w:id="2"/>
      <w:bookmarkEnd w:id="3"/>
      <w:bookmarkEnd w:id="4"/>
    </w:p>
    <w:p w:rsidR="00CD5620" w:rsidRDefault="00394EED">
      <w:pPr>
        <w:pStyle w:val="3"/>
      </w:pPr>
      <w:bookmarkStart w:id="5" w:name="_Toc1902"/>
      <w:r>
        <w:rPr>
          <w:rFonts w:hint="eastAsia"/>
        </w:rPr>
        <w:t xml:space="preserve">1.1 </w:t>
      </w:r>
      <w:r>
        <w:rPr>
          <w:rFonts w:hint="eastAsia"/>
        </w:rPr>
        <w:t>评估目的及意义</w:t>
      </w:r>
      <w:bookmarkEnd w:id="5"/>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w:t>
      </w:r>
      <w:r>
        <w:rPr>
          <w:rFonts w:asciiTheme="minorEastAsia" w:eastAsiaTheme="minorEastAsia" w:hAnsiTheme="minorEastAsia" w:hint="eastAsia"/>
          <w:sz w:val="24"/>
          <w:szCs w:val="24"/>
        </w:rPr>
        <w:t>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CD5620" w:rsidRDefault="00394EED">
      <w:pPr>
        <w:pStyle w:val="3"/>
      </w:pPr>
      <w:bookmarkStart w:id="6" w:name="_Toc14747"/>
      <w:r>
        <w:rPr>
          <w:rFonts w:hint="eastAsia"/>
        </w:rPr>
        <w:t xml:space="preserve">1.2 </w:t>
      </w:r>
      <w:r>
        <w:rPr>
          <w:rFonts w:hint="eastAsia"/>
        </w:rPr>
        <w:t>评估对象及范围</w:t>
      </w:r>
      <w:bookmarkEnd w:id="6"/>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”一般生产安全事故责任单位及相关人员。</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”一般生产安全事故调查报告</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中所提出的对事故责任单位及相关人员行政处罚处理落实情况，以</w:t>
      </w:r>
      <w:r>
        <w:rPr>
          <w:rFonts w:asciiTheme="minorEastAsia" w:eastAsiaTheme="minorEastAsia" w:hAnsiTheme="minorEastAsia" w:hint="eastAsia"/>
          <w:sz w:val="24"/>
          <w:szCs w:val="24"/>
        </w:rPr>
        <w:t>及事故责任单位对所提出的整改措施的落实情况等。</w:t>
      </w:r>
    </w:p>
    <w:p w:rsidR="00CD5620" w:rsidRDefault="00394EED">
      <w:pPr>
        <w:pStyle w:val="3"/>
      </w:pPr>
      <w:bookmarkStart w:id="7" w:name="_Toc14709"/>
      <w:r>
        <w:rPr>
          <w:rFonts w:hint="eastAsia"/>
        </w:rPr>
        <w:t xml:space="preserve">1.3 </w:t>
      </w:r>
      <w:r>
        <w:rPr>
          <w:rFonts w:hint="eastAsia"/>
        </w:rPr>
        <w:t>评估程序和评估方法</w:t>
      </w:r>
      <w:bookmarkEnd w:id="7"/>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）评估组人员通过听取事故发生单位事故发生后安全生产管理工作情况的汇报，并向事故相关人员询问了解、核查事故发生后整改措施落实情况；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CD5620" w:rsidRDefault="00394EED">
      <w:pPr>
        <w:pStyle w:val="3"/>
      </w:pPr>
      <w:bookmarkStart w:id="8" w:name="_Toc17717"/>
      <w:r>
        <w:rPr>
          <w:rFonts w:hint="eastAsia"/>
        </w:rPr>
        <w:t xml:space="preserve">1.4 </w:t>
      </w:r>
      <w:r>
        <w:rPr>
          <w:rFonts w:hint="eastAsia"/>
        </w:rPr>
        <w:t>组织评估和开展评估</w:t>
      </w:r>
      <w:bookmarkEnd w:id="8"/>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）在北京市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应急管理局主导下，组织技术人员组成综合评估组（以下简称：评估组），对北京</w:t>
      </w:r>
      <w:r>
        <w:rPr>
          <w:rFonts w:asciiTheme="minorEastAsia" w:eastAsiaTheme="minorEastAsia" w:hAnsiTheme="minorEastAsia" w:hint="eastAsia"/>
          <w:sz w:val="24"/>
          <w:szCs w:val="24"/>
        </w:rPr>
        <w:t>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”一般生产安全事故责任追究和整改措施落实情况进行了全面评估。</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调查报告》，评估组采取听取汇报、调阅事故原始档案、现场核查及询问等方法，深入事故发生单位现场开展评估工作。听取了事故责任单位的事故整改情况报告，对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”一般生产安全事故责任追究和整改措施</w:t>
      </w:r>
      <w:r>
        <w:rPr>
          <w:rFonts w:asciiTheme="minorEastAsia" w:eastAsiaTheme="minorEastAsia" w:hAnsiTheme="minorEastAsia" w:hint="eastAsia"/>
          <w:sz w:val="24"/>
          <w:szCs w:val="24"/>
        </w:rPr>
        <w:t>落实情况进行了逐一梳理和核实，同时，对事故单位整改措施落实情况开展了现场评估检查，对评估过程中发现的问题，当即与事故相关单位进行了沟通，并向北京市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应急管理局进行了反馈，要求企业立即组织整改。</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”一般生产安全事故责任追究和整改措施落实情况评估报告》。</w:t>
      </w:r>
    </w:p>
    <w:p w:rsidR="00CD5620" w:rsidRDefault="00394EED">
      <w:pPr>
        <w:pStyle w:val="3"/>
      </w:pPr>
      <w:bookmarkStart w:id="9" w:name="_Toc21692"/>
      <w:r>
        <w:rPr>
          <w:rFonts w:hint="eastAsia"/>
        </w:rPr>
        <w:lastRenderedPageBreak/>
        <w:t xml:space="preserve">1.5 </w:t>
      </w:r>
      <w:r>
        <w:rPr>
          <w:rFonts w:hint="eastAsia"/>
        </w:rPr>
        <w:t>评估依据</w:t>
      </w:r>
      <w:bookmarkEnd w:id="9"/>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”一般生产安全事故责任追究和整改措施落实情况评估工作，主要依据《北京中科中电电力工程管理有限公司“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”一般生产安全事故调查报告》及相关的国家法律法规及标准。</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w:t>
      </w:r>
      <w:r>
        <w:rPr>
          <w:rFonts w:asciiTheme="minorEastAsia" w:eastAsiaTheme="minorEastAsia" w:hAnsiTheme="minorEastAsia" w:hint="eastAsia"/>
          <w:sz w:val="24"/>
          <w:szCs w:val="24"/>
        </w:rPr>
        <w:t>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）《建筑工程施工现场安全资料管理规程》（</w:t>
      </w:r>
      <w:r>
        <w:rPr>
          <w:rFonts w:asciiTheme="minorEastAsia" w:eastAsiaTheme="minorEastAsia" w:hAnsiTheme="minorEastAsia" w:hint="eastAsia"/>
          <w:sz w:val="24"/>
          <w:szCs w:val="24"/>
        </w:rPr>
        <w:t>DB11/383</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）《建设工程施工现场供用电安全规范》（</w:t>
      </w:r>
      <w:r>
        <w:rPr>
          <w:rFonts w:asciiTheme="minorEastAsia" w:eastAsiaTheme="minorEastAsia" w:hAnsiTheme="minorEastAsia" w:hint="eastAsia"/>
          <w:sz w:val="24"/>
          <w:szCs w:val="24"/>
        </w:rPr>
        <w:t>GB50194</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）《施工现场临时用电安全技术规范》（</w:t>
      </w:r>
      <w:r>
        <w:rPr>
          <w:rFonts w:asciiTheme="minorEastAsia" w:eastAsiaTheme="minorEastAsia" w:hAnsiTheme="minorEastAsia" w:hint="eastAsia"/>
          <w:sz w:val="24"/>
          <w:szCs w:val="24"/>
        </w:rPr>
        <w:t>JGJ46</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）《施工现场安全防护、场容卫生及消防保卫标准》（</w:t>
      </w:r>
      <w:r>
        <w:rPr>
          <w:rFonts w:asciiTheme="minorEastAsia" w:eastAsiaTheme="minorEastAsia" w:hAnsiTheme="minorEastAsia" w:hint="eastAsia"/>
          <w:sz w:val="24"/>
          <w:szCs w:val="24"/>
        </w:rPr>
        <w:t>DB11/945</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）《建筑施工高处作业安全技术规范》（</w:t>
      </w:r>
      <w:r>
        <w:rPr>
          <w:rFonts w:asciiTheme="minorEastAsia" w:eastAsiaTheme="minorEastAsia" w:hAnsiTheme="minorEastAsia" w:hint="eastAsia"/>
          <w:sz w:val="24"/>
          <w:szCs w:val="24"/>
        </w:rPr>
        <w:t>JGJ80</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）《建筑施工扣件式钢管脚手架安全技术规范》（</w:t>
      </w:r>
      <w:r>
        <w:rPr>
          <w:rFonts w:asciiTheme="minorEastAsia" w:eastAsiaTheme="minorEastAsia" w:hAnsiTheme="minorEastAsia" w:hint="eastAsia"/>
          <w:sz w:val="24"/>
          <w:szCs w:val="24"/>
        </w:rPr>
        <w:t>JGJ130</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）《建筑施工碗扣式脚手架安全技术规范》（</w:t>
      </w:r>
      <w:r>
        <w:rPr>
          <w:rFonts w:asciiTheme="minorEastAsia" w:eastAsiaTheme="minorEastAsia" w:hAnsiTheme="minorEastAsia" w:hint="eastAsia"/>
          <w:sz w:val="24"/>
          <w:szCs w:val="24"/>
        </w:rPr>
        <w:t>JGJ166</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）《建筑施工工具式脚手架安全技术规范》（</w:t>
      </w:r>
      <w:r>
        <w:rPr>
          <w:rFonts w:asciiTheme="minorEastAsia" w:eastAsiaTheme="minorEastAsia" w:hAnsiTheme="minorEastAsia" w:hint="eastAsia"/>
          <w:sz w:val="24"/>
          <w:szCs w:val="24"/>
        </w:rPr>
        <w:t>JGJ202</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）《建设工程施工现场环境与卫生标准》（</w:t>
      </w:r>
      <w:r>
        <w:rPr>
          <w:rFonts w:asciiTheme="minorEastAsia" w:eastAsiaTheme="minorEastAsia" w:hAnsiTheme="minorEastAsia" w:hint="eastAsia"/>
          <w:sz w:val="24"/>
          <w:szCs w:val="24"/>
        </w:rPr>
        <w:t>JGJ146</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）《建筑施工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门式钢管脚手架安全技术规范》（</w:t>
      </w:r>
      <w:r>
        <w:rPr>
          <w:rFonts w:asciiTheme="minorEastAsia" w:eastAsiaTheme="minorEastAsia" w:hAnsiTheme="minorEastAsia" w:hint="eastAsia"/>
          <w:sz w:val="24"/>
          <w:szCs w:val="24"/>
        </w:rPr>
        <w:t>JGJ128</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）《建筑施工承插型盘扣件钢管支架安全技术规程》（</w:t>
      </w:r>
      <w:r>
        <w:rPr>
          <w:rFonts w:asciiTheme="minorEastAsia" w:eastAsiaTheme="minorEastAsia" w:hAnsiTheme="minorEastAsia" w:hint="eastAsia"/>
          <w:sz w:val="24"/>
          <w:szCs w:val="24"/>
        </w:rPr>
        <w:t>JGJ231</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）《绿色施工管理规程》（</w:t>
      </w:r>
      <w:r>
        <w:rPr>
          <w:rFonts w:asciiTheme="minorEastAsia" w:eastAsiaTheme="minorEastAsia" w:hAnsiTheme="minorEastAsia" w:hint="eastAsia"/>
          <w:sz w:val="24"/>
          <w:szCs w:val="24"/>
        </w:rPr>
        <w:t>DB11/513</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）《建设工程施工现场生活区设置和管理规范》（</w:t>
      </w:r>
      <w:r>
        <w:rPr>
          <w:rFonts w:asciiTheme="minorEastAsia" w:eastAsiaTheme="minorEastAsia" w:hAnsiTheme="minorEastAsia" w:hint="eastAsia"/>
          <w:sz w:val="24"/>
          <w:szCs w:val="24"/>
        </w:rPr>
        <w:t>DB11/T1132</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w:t>
      </w:r>
      <w:r>
        <w:rPr>
          <w:rFonts w:ascii="Times New Roman" w:hAnsi="Times New Roman" w:hint="eastAsia"/>
          <w:sz w:val="24"/>
          <w:szCs w:val="28"/>
        </w:rPr>
        <w:t>《有限空间作业安全技术规范》（</w:t>
      </w:r>
      <w:r>
        <w:rPr>
          <w:rFonts w:ascii="Times New Roman" w:hAnsi="Times New Roman" w:hint="eastAsia"/>
          <w:sz w:val="24"/>
          <w:szCs w:val="28"/>
        </w:rPr>
        <w:t>DB11/T 852-2019</w:t>
      </w:r>
      <w:r>
        <w:rPr>
          <w:rFonts w:ascii="Times New Roman" w:hAnsi="Times New Roman" w:hint="eastAsia"/>
          <w:sz w:val="24"/>
          <w:szCs w:val="28"/>
        </w:rPr>
        <w:t>）</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”一般生产安全事故调查报告》</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024</w:t>
      </w:r>
      <w:r>
        <w:rPr>
          <w:rFonts w:asciiTheme="minorEastAsia" w:eastAsiaTheme="minorEastAsia" w:hAnsiTheme="minorEastAsia" w:hint="eastAsia"/>
          <w:sz w:val="24"/>
          <w:szCs w:val="24"/>
        </w:rPr>
        <w:t>年生产安全事故整改和防范措施落实情况评估工作的通知》</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）北京中科中电电力工程管理有限公司其他相关资料</w:t>
      </w:r>
    </w:p>
    <w:p w:rsidR="00CD5620" w:rsidRDefault="00394EED">
      <w:pPr>
        <w:pStyle w:val="2"/>
      </w:pPr>
      <w:bookmarkStart w:id="10" w:name="_Toc23407"/>
      <w:bookmarkStart w:id="11" w:name="_Toc20416"/>
      <w:r>
        <w:rPr>
          <w:rFonts w:hint="eastAsia"/>
        </w:rPr>
        <w:t xml:space="preserve">2 </w:t>
      </w:r>
      <w:r>
        <w:rPr>
          <w:rFonts w:hint="eastAsia"/>
        </w:rPr>
        <w:t>事故责任单位及人员责任追究落实情况</w:t>
      </w:r>
      <w:bookmarkEnd w:id="10"/>
      <w:bookmarkEnd w:id="11"/>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”一般生产安全事故发生后，事故联合调查组对事故进行了全面调查，并出具了《北京中科中电电力工程管理有限公司“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sidR="00157435">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各部门按照上述文件的要求，对事</w:t>
      </w:r>
      <w:bookmarkStart w:id="12" w:name="_GoBack"/>
      <w:bookmarkEnd w:id="12"/>
      <w:r>
        <w:rPr>
          <w:rFonts w:asciiTheme="minorEastAsia" w:eastAsiaTheme="minorEastAsia" w:hAnsiTheme="minorEastAsia" w:hint="eastAsia"/>
          <w:sz w:val="24"/>
          <w:szCs w:val="24"/>
        </w:rPr>
        <w:t>故责任单位和责任人员落实了责任追究措施。北京市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应急管理局已落实事故调查报告提出的行政处罚处理建议，事故责任单位已落实对事故责任人</w:t>
      </w:r>
      <w:r>
        <w:rPr>
          <w:rFonts w:asciiTheme="minorEastAsia" w:eastAsiaTheme="minorEastAsia" w:hAnsiTheme="minorEastAsia" w:hint="eastAsia"/>
          <w:sz w:val="24"/>
          <w:szCs w:val="24"/>
        </w:rPr>
        <w:t>员的处分。详细评估过程如下。</w:t>
      </w:r>
    </w:p>
    <w:p w:rsidR="00CD5620" w:rsidRDefault="00394EED">
      <w:pPr>
        <w:pStyle w:val="3"/>
      </w:pPr>
      <w:bookmarkStart w:id="13" w:name="_Toc23579"/>
      <w:r>
        <w:rPr>
          <w:rFonts w:hint="eastAsia"/>
        </w:rPr>
        <w:t xml:space="preserve">2.1 </w:t>
      </w:r>
      <w:r>
        <w:rPr>
          <w:rFonts w:hint="eastAsia"/>
        </w:rPr>
        <w:t>事故责任单位责任追究落实情况</w:t>
      </w:r>
      <w:bookmarkEnd w:id="13"/>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2.1.1 </w:t>
      </w:r>
      <w:r>
        <w:rPr>
          <w:rFonts w:asciiTheme="minorEastAsia" w:eastAsiaTheme="minorEastAsia" w:hAnsiTheme="minorEastAsia" w:hint="eastAsia"/>
          <w:b/>
          <w:sz w:val="24"/>
          <w:szCs w:val="24"/>
        </w:rPr>
        <w:t>事故调查报告中对责任单位追究建议情况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经区应急管理局调查，中科中电公司，未按照法律法规要求对从业人员进行安全生产教育培训；未及时发现并消除作业现场相关设备、劳动防护用品缺失的事故隐患；未监督、教育从业人员正确佩戴、使用劳动防护用品。以上行</w:t>
      </w:r>
      <w:r>
        <w:rPr>
          <w:rFonts w:asciiTheme="minorEastAsia" w:eastAsiaTheme="minorEastAsia" w:hAnsiTheme="minorEastAsia" w:hint="eastAsia"/>
          <w:sz w:val="24"/>
          <w:szCs w:val="24"/>
        </w:rPr>
        <w:lastRenderedPageBreak/>
        <w:t>为违反了《中华人民共和国安全生产法》第二十八条第二款、第四十一条第二款、第四十五条的规定，对事故发生负有责任。区应急管理局依据《中华人民共和国安全生产法》第一百一十四条第一款第（一）项的规</w:t>
      </w:r>
      <w:r>
        <w:rPr>
          <w:rFonts w:asciiTheme="minorEastAsia" w:eastAsiaTheme="minorEastAsia" w:hAnsiTheme="minorEastAsia" w:hint="eastAsia"/>
          <w:sz w:val="24"/>
          <w:szCs w:val="24"/>
        </w:rPr>
        <w:t>定，拟对其处以三十万元以上一百万元以下罚款的行政处罚。</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）经区应急管理局调查，</w:t>
      </w:r>
      <w:proofErr w:type="gramStart"/>
      <w:r>
        <w:rPr>
          <w:rFonts w:asciiTheme="minorEastAsia" w:eastAsiaTheme="minorEastAsia" w:hAnsiTheme="minorEastAsia" w:hint="eastAsia"/>
          <w:sz w:val="24"/>
          <w:szCs w:val="24"/>
        </w:rPr>
        <w:t>昕广建筑</w:t>
      </w:r>
      <w:proofErr w:type="gramEnd"/>
      <w:r>
        <w:rPr>
          <w:rFonts w:asciiTheme="minorEastAsia" w:eastAsiaTheme="minorEastAsia" w:hAnsiTheme="minorEastAsia" w:hint="eastAsia"/>
          <w:sz w:val="24"/>
          <w:szCs w:val="24"/>
        </w:rPr>
        <w:t>公司，未及时发现并消除作业现场相关设备、劳动防护用品缺失的事故隐患；未监督、教育从业人员正确佩戴、使用劳动防护用品。以上行为违反了《中华人民共和国安全生产法》第四十一条第二款、第四十五条的规定，对事故发生负有责任。区应急管理局依据《中华人民共和国安全生产法》第一百一十四条第一款第（一）项的规定，拟对其处以三十万元以上一百万元以下罚款的行政处罚。</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2.1.2 </w:t>
      </w:r>
      <w:r>
        <w:rPr>
          <w:rFonts w:asciiTheme="minorEastAsia" w:eastAsiaTheme="minorEastAsia" w:hAnsiTheme="minorEastAsia" w:hint="eastAsia"/>
          <w:b/>
          <w:sz w:val="24"/>
          <w:szCs w:val="24"/>
        </w:rPr>
        <w:t>事故调查报告追究责任单位落实情况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对中科中电公司，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2402-1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对</w:t>
      </w:r>
      <w:proofErr w:type="gramStart"/>
      <w:r>
        <w:rPr>
          <w:rFonts w:asciiTheme="minorEastAsia" w:eastAsiaTheme="minorEastAsia" w:hAnsiTheme="minorEastAsia" w:hint="eastAsia"/>
          <w:sz w:val="24"/>
          <w:szCs w:val="24"/>
        </w:rPr>
        <w:t>昕广建筑</w:t>
      </w:r>
      <w:proofErr w:type="gramEnd"/>
      <w:r>
        <w:rPr>
          <w:rFonts w:asciiTheme="minorEastAsia" w:eastAsiaTheme="minorEastAsia" w:hAnsiTheme="minorEastAsia" w:hint="eastAsia"/>
          <w:sz w:val="24"/>
          <w:szCs w:val="24"/>
        </w:rPr>
        <w:t>公司，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2402-2</w:t>
      </w:r>
      <w:r w:rsidR="00310BF3">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D5620" w:rsidRDefault="00394EED">
      <w:pPr>
        <w:pStyle w:val="3"/>
      </w:pPr>
      <w:bookmarkStart w:id="14" w:name="_Toc4169"/>
      <w:r>
        <w:rPr>
          <w:rFonts w:hint="eastAsia"/>
        </w:rPr>
        <w:t xml:space="preserve">2.2 </w:t>
      </w:r>
      <w:r>
        <w:rPr>
          <w:rFonts w:hint="eastAsia"/>
        </w:rPr>
        <w:t>事故责任人员责任追究落实情况</w:t>
      </w:r>
      <w:bookmarkEnd w:id="14"/>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2.2.1 </w:t>
      </w:r>
      <w:r>
        <w:rPr>
          <w:rFonts w:asciiTheme="minorEastAsia" w:eastAsiaTheme="minorEastAsia" w:hAnsiTheme="minorEastAsia" w:hint="eastAsia"/>
          <w:b/>
          <w:sz w:val="24"/>
          <w:szCs w:val="24"/>
        </w:rPr>
        <w:t>事故调查报告中对责任人员追究建议情况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）张</w:t>
      </w:r>
      <w:r w:rsidR="00310BF3">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，作为抽水作业班组长及具体实施者，其未经通风、检测，未使用劳动防护用品，</w:t>
      </w:r>
      <w:proofErr w:type="gramStart"/>
      <w:r>
        <w:rPr>
          <w:rFonts w:asciiTheme="minorEastAsia" w:eastAsiaTheme="minorEastAsia" w:hAnsiTheme="minorEastAsia" w:hint="eastAsia"/>
          <w:sz w:val="24"/>
          <w:szCs w:val="24"/>
        </w:rPr>
        <w:t>冒然</w:t>
      </w:r>
      <w:proofErr w:type="gramEnd"/>
      <w:r>
        <w:rPr>
          <w:rFonts w:asciiTheme="minorEastAsia" w:eastAsiaTheme="minorEastAsia" w:hAnsiTheme="minorEastAsia" w:hint="eastAsia"/>
          <w:sz w:val="24"/>
          <w:szCs w:val="24"/>
        </w:rPr>
        <w:t>进入井内，对事故发生负有主要责任，</w:t>
      </w:r>
      <w:r>
        <w:rPr>
          <w:rFonts w:ascii="Times New Roman" w:hAnsi="Times New Roman" w:hint="eastAsia"/>
          <w:sz w:val="24"/>
          <w:szCs w:val="24"/>
          <w:lang w:val="zh-CN"/>
        </w:rPr>
        <w:t>予以追求刑事责任。</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）经区应急管理局调查，聂</w:t>
      </w:r>
      <w:r w:rsidR="00310BF3">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作为中科中电公司主要负责人，未落实全员安全生产责任制；未认真检查作业现场的安全生产状况，及时排查生产安全事故隐患，其行为违反了《中华人民共和国安全生产法》第二十一条第一款第（一）</w:t>
      </w:r>
      <w:r>
        <w:rPr>
          <w:rFonts w:asciiTheme="minorEastAsia" w:eastAsiaTheme="minorEastAsia" w:hAnsiTheme="minorEastAsia" w:hint="eastAsia"/>
          <w:sz w:val="24"/>
          <w:szCs w:val="24"/>
        </w:rPr>
        <w:lastRenderedPageBreak/>
        <w:t>项、第（五）项的规定。区应急管理局依据《中华人民共和国安全生产法》第九十五条第一款第（一）项的规定，拟对其处上一年年收入百分之四十罚款的行政处罚。</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）经区应急</w:t>
      </w:r>
      <w:r>
        <w:rPr>
          <w:rFonts w:asciiTheme="minorEastAsia" w:eastAsiaTheme="minorEastAsia" w:hAnsiTheme="minorEastAsia" w:hint="eastAsia"/>
          <w:sz w:val="24"/>
          <w:szCs w:val="24"/>
        </w:rPr>
        <w:t>管理局调查，杜</w:t>
      </w:r>
      <w:r w:rsidR="00310BF3">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该施工项目的安全管理人员，未认真检查作业现场的安全生产状况，及时排查生产安全事故隐患，其行为违反了《中华人民共和国安全生产法》第二十五条第一款第（五）项的规定。区应急管理局依据《中华人民共和国安全生产法》第九十六条的规定，拟对其暂停或吊销与安全生产有关的资格，并处上一年年收入百分之二十以上百分之五十以下罚款的行政处罚。</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）经区应急管理局调查，许</w:t>
      </w:r>
      <w:r w:rsidR="00310BF3">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w:t>
      </w:r>
      <w:proofErr w:type="gramStart"/>
      <w:r>
        <w:rPr>
          <w:rFonts w:asciiTheme="minorEastAsia" w:eastAsiaTheme="minorEastAsia" w:hAnsiTheme="minorEastAsia" w:hint="eastAsia"/>
          <w:sz w:val="24"/>
          <w:szCs w:val="24"/>
        </w:rPr>
        <w:t>昕</w:t>
      </w:r>
      <w:proofErr w:type="gramEnd"/>
      <w:r>
        <w:rPr>
          <w:rFonts w:asciiTheme="minorEastAsia" w:eastAsiaTheme="minorEastAsia" w:hAnsiTheme="minorEastAsia" w:hint="eastAsia"/>
          <w:sz w:val="24"/>
          <w:szCs w:val="24"/>
        </w:rPr>
        <w:t>广建筑</w:t>
      </w:r>
      <w:proofErr w:type="gramStart"/>
      <w:r>
        <w:rPr>
          <w:rFonts w:asciiTheme="minorEastAsia" w:eastAsiaTheme="minorEastAsia" w:hAnsiTheme="minorEastAsia" w:hint="eastAsia"/>
          <w:sz w:val="24"/>
          <w:szCs w:val="24"/>
        </w:rPr>
        <w:t>公司公司</w:t>
      </w:r>
      <w:proofErr w:type="gramEnd"/>
      <w:r>
        <w:rPr>
          <w:rFonts w:asciiTheme="minorEastAsia" w:eastAsiaTheme="minorEastAsia" w:hAnsiTheme="minorEastAsia" w:hint="eastAsia"/>
          <w:sz w:val="24"/>
          <w:szCs w:val="24"/>
        </w:rPr>
        <w:t>主要负责人，未落实全员安全生产责任制；未组织制定并实施本单位的安全生产规章制度和操作规程，其行为违反了《中华人民共</w:t>
      </w:r>
      <w:r>
        <w:rPr>
          <w:rFonts w:asciiTheme="minorEastAsia" w:eastAsiaTheme="minorEastAsia" w:hAnsiTheme="minorEastAsia" w:hint="eastAsia"/>
          <w:sz w:val="24"/>
          <w:szCs w:val="24"/>
        </w:rPr>
        <w:t>和国安全生产法》第二十一条第一款第（一）项、第（二）项的规定。区应急管理局依据《中华人民共和国安全生产法》第九十五条第一款第（一）项的规定，拟对其处上一年年收入百分之四十罚款的行政处罚。</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）经区应急管理局调查，何</w:t>
      </w:r>
      <w:r w:rsidR="00310BF3">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该项目的安全管理人员，未认真检查本单位的安全生产状况，及时排查生产安全事故隐患，其行为违反了《中华人民共和国安全生产法》第二十五条第一款第（五）项的规定。区应急管理局依据《中华人民共和国安全生产法》第九十六条的规定，拟对其暂停或吊销与安全生产有关的资格，并处上一年年收入百分之二十以上百分之</w:t>
      </w:r>
      <w:r>
        <w:rPr>
          <w:rFonts w:asciiTheme="minorEastAsia" w:eastAsiaTheme="minorEastAsia" w:hAnsiTheme="minorEastAsia" w:hint="eastAsia"/>
          <w:sz w:val="24"/>
          <w:szCs w:val="24"/>
        </w:rPr>
        <w:t>五十以下罚款的行政处罚。</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）新航城公司，作为兴贤路工程建设单位，对已竣工未移交阶段的项目安全状况掌控不力，该公司责令工程管理部负责人崔</w:t>
      </w:r>
      <w:r w:rsidR="00E653EF">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、安全质量部负责人王</w:t>
      </w:r>
      <w:r w:rsidR="00E653EF">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、现场负责人</w:t>
      </w:r>
      <w:proofErr w:type="gramStart"/>
      <w:r>
        <w:rPr>
          <w:rFonts w:asciiTheme="minorEastAsia" w:eastAsiaTheme="minorEastAsia" w:hAnsiTheme="minorEastAsia" w:hint="eastAsia"/>
          <w:sz w:val="24"/>
          <w:szCs w:val="24"/>
        </w:rPr>
        <w:t>郅</w:t>
      </w:r>
      <w:proofErr w:type="gramEnd"/>
      <w:r w:rsidR="00E653EF">
        <w:rPr>
          <w:rFonts w:asciiTheme="minorEastAsia" w:eastAsiaTheme="minorEastAsia" w:hAnsiTheme="minorEastAsia" w:hint="eastAsia"/>
          <w:sz w:val="24"/>
          <w:szCs w:val="24"/>
        </w:rPr>
        <w:t>某</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深刻检讨，并处一万元罚款，取消工程管理部和安全质量部年度评先评优资格，取消</w:t>
      </w:r>
      <w:proofErr w:type="gramStart"/>
      <w:r>
        <w:rPr>
          <w:rFonts w:asciiTheme="minorEastAsia" w:eastAsiaTheme="minorEastAsia" w:hAnsiTheme="minorEastAsia" w:hint="eastAsia"/>
          <w:sz w:val="24"/>
          <w:szCs w:val="24"/>
        </w:rPr>
        <w:t>郅</w:t>
      </w:r>
      <w:proofErr w:type="gramEnd"/>
      <w:r w:rsidR="00E653EF">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年度评优评先资格。</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）礼贤镇安全生产检查队，作为属地监管部门，督促企业落实安全生产主体责任不到位，推动企业落实安全管理、教育培训和健全安全生产规章制度方面有待加强。</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纪委监委对礼贤镇安全生产检查队队长周</w:t>
      </w:r>
      <w:r w:rsidR="00E653EF">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约谈提醒。</w:t>
      </w:r>
    </w:p>
    <w:p w:rsidR="00CD5620" w:rsidRDefault="00394EE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事故调查</w:t>
      </w:r>
      <w:r>
        <w:rPr>
          <w:rFonts w:asciiTheme="minorEastAsia" w:eastAsiaTheme="minorEastAsia" w:hAnsiTheme="minorEastAsia" w:hint="eastAsia"/>
          <w:b/>
          <w:sz w:val="24"/>
          <w:szCs w:val="24"/>
        </w:rPr>
        <w:t>报告追究责任人员落实情况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）张</w:t>
      </w:r>
      <w:r w:rsidR="00E653EF">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，作为抽水作业班组长及具体实施者，对事故发生负有主要责任，</w:t>
      </w:r>
      <w:r>
        <w:rPr>
          <w:rFonts w:ascii="Times New Roman" w:hAnsi="Times New Roman" w:hint="eastAsia"/>
          <w:sz w:val="24"/>
          <w:szCs w:val="24"/>
        </w:rPr>
        <w:lastRenderedPageBreak/>
        <w:t>鉴于事故主要责任人</w:t>
      </w:r>
      <w:r>
        <w:rPr>
          <w:rFonts w:asciiTheme="minorEastAsia" w:eastAsiaTheme="minorEastAsia" w:hAnsiTheme="minorEastAsia" w:hint="eastAsia"/>
          <w:sz w:val="24"/>
          <w:szCs w:val="24"/>
        </w:rPr>
        <w:t>张</w:t>
      </w:r>
      <w:r w:rsidR="00E653EF">
        <w:rPr>
          <w:rFonts w:asciiTheme="minorEastAsia" w:eastAsiaTheme="minorEastAsia" w:hAnsiTheme="minorEastAsia" w:hint="eastAsia"/>
          <w:sz w:val="24"/>
          <w:szCs w:val="24"/>
        </w:rPr>
        <w:t>某</w:t>
      </w:r>
      <w:r>
        <w:rPr>
          <w:rFonts w:ascii="Times New Roman" w:hAnsi="Times New Roman" w:hint="eastAsia"/>
          <w:sz w:val="24"/>
          <w:szCs w:val="24"/>
        </w:rPr>
        <w:t>已死亡，公安机关不予追究其刑事责任。</w:t>
      </w:r>
      <w:r>
        <w:rPr>
          <w:rFonts w:ascii="Times New Roman" w:hAnsi="Times New Roman" w:hint="eastAsia"/>
          <w:sz w:val="24"/>
          <w:szCs w:val="24"/>
          <w:lang w:val="zh-CN"/>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五条第一款第（一）项的规定，参照《北京市安全生产行政处罚自由裁量基准》中“《中华人民共和国安全生产法》相关规定裁量基准”（四）规定，决定对中科中电公司主要负责人聂</w:t>
      </w:r>
      <w:r w:rsidR="00E653EF">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处给予处上一年收入（贰拾万柒仟叁佰元贰拾元伍角贰分）百分之四十（捌万陆仟玖佰贰拾捌元贰角壹分）罚款的行政处罚，详细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w:t>
      </w:r>
      <w:r>
        <w:rPr>
          <w:rFonts w:asciiTheme="minorEastAsia" w:eastAsiaTheme="minorEastAsia" w:hAnsiTheme="minorEastAsia" w:hint="eastAsia"/>
          <w:bCs/>
          <w:sz w:val="24"/>
          <w:szCs w:val="24"/>
        </w:rPr>
        <w:t>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2402-3</w:t>
      </w:r>
      <w:r w:rsidR="00E653EF">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规定，决定对中科中电公司项目的安全管理人员杜</w:t>
      </w:r>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给予处上一年收入（</w:t>
      </w:r>
      <w:proofErr w:type="gramStart"/>
      <w:r>
        <w:rPr>
          <w:rFonts w:asciiTheme="minorEastAsia" w:eastAsiaTheme="minorEastAsia" w:hAnsiTheme="minorEastAsia" w:hint="eastAsia"/>
          <w:sz w:val="24"/>
          <w:szCs w:val="24"/>
        </w:rPr>
        <w:t>拾陆万伍仟贰佰叁拾肆</w:t>
      </w:r>
      <w:proofErr w:type="gramEnd"/>
      <w:r>
        <w:rPr>
          <w:rFonts w:asciiTheme="minorEastAsia" w:eastAsiaTheme="minorEastAsia" w:hAnsiTheme="minorEastAsia" w:hint="eastAsia"/>
          <w:sz w:val="24"/>
          <w:szCs w:val="24"/>
        </w:rPr>
        <w:t>元）百分之二十五（</w:t>
      </w:r>
      <w:proofErr w:type="gramStart"/>
      <w:r>
        <w:rPr>
          <w:rFonts w:asciiTheme="minorEastAsia" w:eastAsiaTheme="minorEastAsia" w:hAnsiTheme="minorEastAsia" w:hint="eastAsia"/>
          <w:sz w:val="24"/>
          <w:szCs w:val="24"/>
        </w:rPr>
        <w:t>肆万壹仟叁佰零捌</w:t>
      </w:r>
      <w:proofErr w:type="gramEnd"/>
      <w:r>
        <w:rPr>
          <w:rFonts w:asciiTheme="minorEastAsia" w:eastAsiaTheme="minorEastAsia" w:hAnsiTheme="minorEastAsia" w:hint="eastAsia"/>
          <w:sz w:val="24"/>
          <w:szCs w:val="24"/>
        </w:rPr>
        <w:t>元伍角）罚款的行政处罚，详细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2402-4</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w:t>
      </w:r>
      <w:r>
        <w:rPr>
          <w:rFonts w:asciiTheme="minorEastAsia" w:eastAsiaTheme="minorEastAsia" w:hAnsiTheme="minorEastAsia" w:hint="eastAsia"/>
          <w:sz w:val="24"/>
          <w:szCs w:val="24"/>
        </w:rPr>
        <w:t>全生产法》第九十五条第一款第（一）项的规定，参照《北京市安全生产行政处罚自由裁量基准》中“《中华人民共和国安全生产法》相关规定裁量基准”（四）规定，决定对</w:t>
      </w:r>
      <w:proofErr w:type="gramStart"/>
      <w:r>
        <w:rPr>
          <w:rFonts w:asciiTheme="minorEastAsia" w:eastAsiaTheme="minorEastAsia" w:hAnsiTheme="minorEastAsia" w:hint="eastAsia"/>
          <w:sz w:val="24"/>
          <w:szCs w:val="24"/>
        </w:rPr>
        <w:t>昕</w:t>
      </w:r>
      <w:proofErr w:type="gramEnd"/>
      <w:r>
        <w:rPr>
          <w:rFonts w:asciiTheme="minorEastAsia" w:eastAsiaTheme="minorEastAsia" w:hAnsiTheme="minorEastAsia" w:hint="eastAsia"/>
          <w:sz w:val="24"/>
          <w:szCs w:val="24"/>
        </w:rPr>
        <w:t>广建筑</w:t>
      </w:r>
      <w:proofErr w:type="gramStart"/>
      <w:r>
        <w:rPr>
          <w:rFonts w:asciiTheme="minorEastAsia" w:eastAsiaTheme="minorEastAsia" w:hAnsiTheme="minorEastAsia" w:hint="eastAsia"/>
          <w:sz w:val="24"/>
          <w:szCs w:val="24"/>
        </w:rPr>
        <w:t>公司公司</w:t>
      </w:r>
      <w:proofErr w:type="gramEnd"/>
      <w:r>
        <w:rPr>
          <w:rFonts w:asciiTheme="minorEastAsia" w:eastAsiaTheme="minorEastAsia" w:hAnsiTheme="minorEastAsia" w:hint="eastAsia"/>
          <w:sz w:val="24"/>
          <w:szCs w:val="24"/>
        </w:rPr>
        <w:t>主要负责人许</w:t>
      </w:r>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处以上一年收入（叁万陆仟元）百分之四十（</w:t>
      </w:r>
      <w:proofErr w:type="gramStart"/>
      <w:r>
        <w:rPr>
          <w:rFonts w:asciiTheme="minorEastAsia" w:eastAsiaTheme="minorEastAsia" w:hAnsiTheme="minorEastAsia" w:hint="eastAsia"/>
          <w:sz w:val="24"/>
          <w:szCs w:val="24"/>
        </w:rPr>
        <w:t>壹万肆仟肆佰</w:t>
      </w:r>
      <w:proofErr w:type="gramEnd"/>
      <w:r>
        <w:rPr>
          <w:rFonts w:asciiTheme="minorEastAsia" w:eastAsiaTheme="minorEastAsia" w:hAnsiTheme="minorEastAsia" w:hint="eastAsia"/>
          <w:sz w:val="24"/>
          <w:szCs w:val="24"/>
        </w:rPr>
        <w:t>元）罚款的行政处罚，详细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2402-5</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依据《中华人民共和国安全生产法》第九十六条的规定，参照《北京市安全生产行政处罚自由裁量基准》中“《中华人民共和国安全生产法》相关规定裁量基准”（三十八</w:t>
      </w:r>
      <w:r>
        <w:rPr>
          <w:rFonts w:asciiTheme="minorEastAsia" w:eastAsiaTheme="minorEastAsia" w:hAnsiTheme="minorEastAsia" w:hint="eastAsia"/>
          <w:sz w:val="24"/>
          <w:szCs w:val="24"/>
        </w:rPr>
        <w:t>）规定，决定对该项目的安全管理人员何</w:t>
      </w:r>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以上一年收入（叁万陆仟元）百分之二十五（玖仟元）罚款的行政处罚，详细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2024</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2402-6</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）兴贤路工程建设单位新航城公司，已责令工程管理部负责人崔</w:t>
      </w:r>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、安全质量部负责人王</w:t>
      </w:r>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、现场负责人</w:t>
      </w:r>
      <w:proofErr w:type="gramStart"/>
      <w:r>
        <w:rPr>
          <w:rFonts w:asciiTheme="minorEastAsia" w:eastAsiaTheme="minorEastAsia" w:hAnsiTheme="minorEastAsia" w:hint="eastAsia"/>
          <w:sz w:val="24"/>
          <w:szCs w:val="24"/>
        </w:rPr>
        <w:t>郅</w:t>
      </w:r>
      <w:proofErr w:type="gramEnd"/>
      <w:r w:rsidR="002D2DB5">
        <w:rPr>
          <w:rFonts w:asciiTheme="minorEastAsia" w:eastAsiaTheme="minorEastAsia" w:hAnsiTheme="minorEastAsia" w:hint="eastAsia"/>
          <w:sz w:val="24"/>
          <w:szCs w:val="24"/>
        </w:rPr>
        <w:t>某</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深刻检讨，并处一万元罚款，取消工程管理部和安全质量部年度评先评优资格，取消</w:t>
      </w:r>
      <w:proofErr w:type="gramStart"/>
      <w:r>
        <w:rPr>
          <w:rFonts w:asciiTheme="minorEastAsia" w:eastAsiaTheme="minorEastAsia" w:hAnsiTheme="minorEastAsia" w:hint="eastAsia"/>
          <w:sz w:val="24"/>
          <w:szCs w:val="24"/>
        </w:rPr>
        <w:t>郅</w:t>
      </w:r>
      <w:proofErr w:type="gramEnd"/>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年度评优评先资格。</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纪委监委已对礼贤镇安全生产检查队队长周</w:t>
      </w:r>
      <w:r w:rsidR="002D2DB5">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约谈提醒。</w:t>
      </w:r>
    </w:p>
    <w:p w:rsidR="00CD5620" w:rsidRDefault="00394EED">
      <w:pPr>
        <w:pStyle w:val="2"/>
      </w:pPr>
      <w:bookmarkStart w:id="15" w:name="_Toc13233"/>
      <w:bookmarkStart w:id="16" w:name="_Toc5690"/>
      <w:r>
        <w:rPr>
          <w:rFonts w:hint="eastAsia"/>
        </w:rPr>
        <w:lastRenderedPageBreak/>
        <w:t xml:space="preserve">3 </w:t>
      </w:r>
      <w:r>
        <w:rPr>
          <w:rFonts w:hint="eastAsia"/>
        </w:rPr>
        <w:t>事故责任单位整改措施落实情况</w:t>
      </w:r>
      <w:bookmarkEnd w:id="15"/>
      <w:bookmarkEnd w:id="16"/>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北京中科中电电力工程管理有限公司针对《北京中科中电电力工程管理有限公司“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”一般生产安全事故调查报告》中提出的事故防范和整改措施建议，根据现场核实检查，已基本整改落实完成。</w:t>
      </w:r>
    </w:p>
    <w:p w:rsidR="00CD5620" w:rsidRDefault="00394EED">
      <w:pPr>
        <w:pStyle w:val="3"/>
      </w:pPr>
      <w:bookmarkStart w:id="17" w:name="_Toc26256"/>
      <w:r>
        <w:rPr>
          <w:rFonts w:hint="eastAsia"/>
        </w:rPr>
        <w:t xml:space="preserve">3.1 </w:t>
      </w:r>
      <w:r>
        <w:rPr>
          <w:rFonts w:hint="eastAsia"/>
        </w:rPr>
        <w:t>事故调查报告中建议整改措施情况</w:t>
      </w:r>
      <w:bookmarkEnd w:id="17"/>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要求中科中电公司要切实落实安全生产主体责任，加强对劳务单位的安全生产管理工作，深刻汲取事故教训。要督促、教育相关作业人员正确佩戴和使用劳动防护用品；要强化从业人员安全教育培训，不断提升从业人员的安全意识和救援技能；要根据本单位生产经营特点开展经常性检查，及时发现并消除事故隐患，</w:t>
      </w:r>
      <w:r>
        <w:rPr>
          <w:rFonts w:asciiTheme="minorEastAsia" w:eastAsiaTheme="minorEastAsia" w:hAnsiTheme="minorEastAsia" w:hint="eastAsia"/>
          <w:sz w:val="24"/>
          <w:szCs w:val="24"/>
        </w:rPr>
        <w:t>有关检查整改情况要如实完整记录。</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）事故调查组要求</w:t>
      </w:r>
      <w:proofErr w:type="gramStart"/>
      <w:r>
        <w:rPr>
          <w:rFonts w:asciiTheme="minorEastAsia" w:eastAsiaTheme="minorEastAsia" w:hAnsiTheme="minorEastAsia" w:hint="eastAsia"/>
          <w:sz w:val="24"/>
          <w:szCs w:val="24"/>
        </w:rPr>
        <w:t>昕广建筑</w:t>
      </w:r>
      <w:proofErr w:type="gramEnd"/>
      <w:r>
        <w:rPr>
          <w:rFonts w:asciiTheme="minorEastAsia" w:eastAsiaTheme="minorEastAsia" w:hAnsiTheme="minorEastAsia" w:hint="eastAsia"/>
          <w:sz w:val="24"/>
          <w:szCs w:val="24"/>
        </w:rPr>
        <w:t>公司要建立健全本单位的安全生产规章制度和操作规程，落实全员安全生产责任制；要督促、教育相关作业人员正确佩戴和使用劳动防护用品；要根据本单位生产经营特点开展经常性检查，及时发现并消除事故隐患，有关检查整改情况要如实完整记录。</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事故调查组建议新航城公司要紧绷安全生产这根弦，杜绝松懈、麻痹心理。要在生产活动全过程中经常查找安全生产中的不安全因素和各类事故隐患苗头，对发现的事故隐患要“抓住不放、小题大做”，及时采取针对性整改措施，防患于未然。</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事故调查组建议礼贤镇政府要督促辖区内各作业单位落实安全生产主体责任，加强巡视巡查；督促有关企业严格按照有关国家标准和管理制度开展有限空间作业行为，坚决杜绝违章作业现象；强化有限空间作业安全培训和案例警示教育，不断提升从业人员有限空间作业安全意识和安全操作技能。</w:t>
      </w:r>
    </w:p>
    <w:p w:rsidR="00CD5620" w:rsidRDefault="00394EED">
      <w:pPr>
        <w:pStyle w:val="3"/>
      </w:pPr>
      <w:bookmarkStart w:id="18" w:name="_Toc8153"/>
      <w:r>
        <w:rPr>
          <w:rFonts w:hint="eastAsia"/>
        </w:rPr>
        <w:t xml:space="preserve">3.2 </w:t>
      </w:r>
      <w:r>
        <w:rPr>
          <w:rFonts w:hint="eastAsia"/>
        </w:rPr>
        <w:t>事故调查报告整改建议落实情况</w:t>
      </w:r>
      <w:bookmarkEnd w:id="18"/>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）根据企业提供相关资料查阅及现场沟通交流，对照评估标准，北京中科中电电力工程管理有限公司对评估项目落实基本到位，针对这起事故暴露出的问题，深刻吸取事故教训。</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其整改措施的完成情况如下：</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）完善公司安全生产责任制、安全生产管理制度、操作规程等，按管理人员职责进行分工，</w:t>
      </w:r>
      <w:proofErr w:type="gramStart"/>
      <w:r>
        <w:rPr>
          <w:rFonts w:asciiTheme="minorEastAsia" w:eastAsiaTheme="minorEastAsia" w:hAnsiTheme="minorEastAsia" w:hint="eastAsia"/>
          <w:sz w:val="24"/>
          <w:szCs w:val="24"/>
        </w:rPr>
        <w:t>并责任</w:t>
      </w:r>
      <w:proofErr w:type="gramEnd"/>
      <w:r>
        <w:rPr>
          <w:rFonts w:asciiTheme="minorEastAsia" w:eastAsiaTheme="minorEastAsia" w:hAnsiTheme="minorEastAsia" w:hint="eastAsia"/>
          <w:sz w:val="24"/>
          <w:szCs w:val="24"/>
        </w:rPr>
        <w:t>到人。</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）现场作业配备安全管理人员，加强现场安全巡检，制止违章指挥、违章操作、违反劳动纪律的行为。</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）有限空间作业执行审批制度，现场作业人员持证上岗，作业前进行安全技术交底，并为作业人员配备符合要求的现场相关设备、劳动防护用品。</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）加强安全教育培训，做到全员全部参与。</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）现场整改情况</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事故场地施工已结束，事故施工单位未再发生生产安全事故。</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）礼贤镇镇政府深刻吸取“</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”事故教训，继续严格按照区委区政府和区应</w:t>
      </w:r>
      <w:r>
        <w:rPr>
          <w:rFonts w:asciiTheme="minorEastAsia" w:eastAsiaTheme="minorEastAsia" w:hAnsiTheme="minorEastAsia" w:hint="eastAsia"/>
          <w:sz w:val="24"/>
          <w:szCs w:val="24"/>
        </w:rPr>
        <w:t>急管理局的工作要求，坚决落实安全生产各项工作部署，举一反三，加大监督检查力度，及时发现和排查各类安全隐患，坚决遏制各类安全事故发生。</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一是强化有限空间安全检查，确保安全监管到位。以有限空间“双防</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推进”为引领，以有限空间作业“五个严禁”为标准，全面筛查镇域企业，聚焦下水道、雨水井、电力井、化粪池等重点场所，严厉打击各类违规行为。</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二是加大安全宣传教育力度，增强企业员工安全生产意识。加强有限空间宣传教育培训，充分利用微信、广播、折页等手段，以有限空间事故案例和模范引领企业为重点，以点带面，多渠道拓宽和提升有限</w:t>
      </w:r>
      <w:r>
        <w:rPr>
          <w:rFonts w:asciiTheme="minorEastAsia" w:eastAsiaTheme="minorEastAsia" w:hAnsiTheme="minorEastAsia" w:hint="eastAsia"/>
          <w:sz w:val="24"/>
          <w:szCs w:val="24"/>
        </w:rPr>
        <w:t>空间作业安全宣教水平和质量，提升施工单位及从业人员安全责任意识和事故防范能力。</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三是强化队伍建设，促进监管检查提质增效。邀请专家开展检查队伍业务培训工作，重点讲解建筑施工、有限空间等理论知识，持续提升检查能力水平。</w:t>
      </w:r>
    </w:p>
    <w:p w:rsidR="00CD5620" w:rsidRDefault="00394EED">
      <w:pPr>
        <w:pStyle w:val="2"/>
      </w:pPr>
      <w:bookmarkStart w:id="19" w:name="_Toc17084"/>
      <w:bookmarkStart w:id="20" w:name="_Toc8613"/>
      <w:r>
        <w:rPr>
          <w:rFonts w:hint="eastAsia"/>
        </w:rPr>
        <w:t xml:space="preserve">4 </w:t>
      </w:r>
      <w:r>
        <w:rPr>
          <w:rFonts w:hint="eastAsia"/>
        </w:rPr>
        <w:t>评估意见</w:t>
      </w:r>
      <w:bookmarkEnd w:id="19"/>
      <w:bookmarkEnd w:id="20"/>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北京中科中电电力工程管理有限公司对事故调查报告里提出的事故防范和整改措施建议基本落实到位，对其相关责任人员进行了责任追究落实到位。专家组认为北京中科中电电力工程管理有限公司“</w:t>
      </w:r>
      <w:r>
        <w:rPr>
          <w:rFonts w:asciiTheme="minorEastAsia" w:eastAsiaTheme="minorEastAsia" w:hAnsiTheme="minorEastAsia" w:hint="eastAsia"/>
          <w:sz w:val="24"/>
          <w:szCs w:val="24"/>
        </w:rPr>
        <w:t>8.7</w:t>
      </w:r>
      <w:r>
        <w:rPr>
          <w:rFonts w:asciiTheme="minorEastAsia" w:eastAsiaTheme="minorEastAsia" w:hAnsiTheme="minorEastAsia" w:hint="eastAsia"/>
          <w:sz w:val="24"/>
          <w:szCs w:val="24"/>
        </w:rPr>
        <w:t>”一般生产安全事故责任追究和整改措施落实情况基本符合《中华人民共和国</w:t>
      </w:r>
      <w:r>
        <w:rPr>
          <w:rFonts w:asciiTheme="minorEastAsia" w:eastAsiaTheme="minorEastAsia" w:hAnsiTheme="minorEastAsia" w:hint="eastAsia"/>
          <w:sz w:val="24"/>
          <w:szCs w:val="24"/>
        </w:rPr>
        <w:t>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w:t>
      </w:r>
      <w:r>
        <w:rPr>
          <w:rFonts w:asciiTheme="minorEastAsia" w:eastAsiaTheme="minorEastAsia" w:hAnsiTheme="minorEastAsia" w:hint="eastAsia"/>
          <w:sz w:val="24"/>
          <w:szCs w:val="24"/>
        </w:rPr>
        <w:lastRenderedPageBreak/>
        <w:t>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号）等要求。</w:t>
      </w:r>
    </w:p>
    <w:p w:rsidR="00CD5620" w:rsidRDefault="00394EED">
      <w:pPr>
        <w:pStyle w:val="3"/>
      </w:pPr>
      <w:bookmarkStart w:id="21" w:name="_Toc24718"/>
      <w:r>
        <w:rPr>
          <w:rFonts w:hint="eastAsia"/>
        </w:rPr>
        <w:t xml:space="preserve">4.1 </w:t>
      </w:r>
      <w:r>
        <w:rPr>
          <w:rFonts w:hint="eastAsia"/>
        </w:rPr>
        <w:t>评估总体意见</w:t>
      </w:r>
      <w:bookmarkEnd w:id="21"/>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调查报告》，对北京中科中电电力工程管理有限公司的事故防范和整改建议措施与现场评估情况，经过对现场基础资料的查阅、相关人员的询问调查，对评估表逐条、逐项进行评估，最终确认北京中科中电电力工程管理有限公司在现场评估过程中，对事故调查报告里要求整改项基本落</w:t>
      </w:r>
      <w:r>
        <w:rPr>
          <w:rFonts w:asciiTheme="minorEastAsia" w:eastAsiaTheme="minorEastAsia" w:hAnsiTheme="minorEastAsia" w:hint="eastAsia"/>
          <w:sz w:val="24"/>
          <w:szCs w:val="24"/>
        </w:rPr>
        <w:t>实到位。对该公司应处理的人员处罚已经基本落实。</w:t>
      </w:r>
    </w:p>
    <w:p w:rsidR="00CD5620" w:rsidRDefault="00394EED">
      <w:pPr>
        <w:pStyle w:val="3"/>
      </w:pPr>
      <w:bookmarkStart w:id="22" w:name="_Toc23452"/>
      <w:r>
        <w:rPr>
          <w:rFonts w:hint="eastAsia"/>
        </w:rPr>
        <w:t xml:space="preserve">4.2 </w:t>
      </w:r>
      <w:r>
        <w:rPr>
          <w:rFonts w:hint="eastAsia"/>
        </w:rPr>
        <w:t>专家现场意见</w:t>
      </w:r>
      <w:bookmarkEnd w:id="22"/>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对事故报告中提及的现场整改措施落实情况进行评估。经过现场检查评估评估组认为：北京中科中电电力工程管理有限公司对事故调查报告里要求的现场整改项基本落实到位。</w:t>
      </w:r>
    </w:p>
    <w:p w:rsidR="00CD5620" w:rsidRDefault="00394EED">
      <w:pPr>
        <w:pStyle w:val="3"/>
      </w:pPr>
      <w:bookmarkStart w:id="23" w:name="_Toc29971"/>
      <w:r>
        <w:rPr>
          <w:rFonts w:hint="eastAsia"/>
        </w:rPr>
        <w:t xml:space="preserve">4.3 </w:t>
      </w:r>
      <w:r>
        <w:rPr>
          <w:rFonts w:hint="eastAsia"/>
        </w:rPr>
        <w:t>评估结论</w:t>
      </w:r>
      <w:bookmarkEnd w:id="23"/>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CD5620" w:rsidRDefault="00394EE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应急管理局等依法对相关责任单位及人员进行了责任追究，北京中科中电电力工程管理有限公司按照事故调</w:t>
      </w:r>
      <w:r>
        <w:rPr>
          <w:rFonts w:asciiTheme="minorEastAsia" w:eastAsiaTheme="minorEastAsia" w:hAnsiTheme="minorEastAsia" w:hint="eastAsia"/>
          <w:sz w:val="24"/>
          <w:szCs w:val="24"/>
        </w:rPr>
        <w:t>查报告的要求对相关责任人员进行了责任追究基本落实到位。</w:t>
      </w:r>
    </w:p>
    <w:p w:rsidR="00CD5620" w:rsidRDefault="00394EE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北京中科中电电力工程管理有限公司在现场评估过程中，对事故调查报告里要求整改项基本落实到位，专家组认为北京中科中电电力工程管理有限公司“</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”一般生产安全事故责任追究和整改措施落实基本符合《中华人民共和国安全生产法》（国家主席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sectPr w:rsidR="00CD5620">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ED" w:rsidRDefault="00394EED">
      <w:r>
        <w:separator/>
      </w:r>
    </w:p>
  </w:endnote>
  <w:endnote w:type="continuationSeparator" w:id="0">
    <w:p w:rsidR="00394EED" w:rsidRDefault="0039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20" w:rsidRDefault="00CD5620">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20" w:rsidRDefault="00CD56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20" w:rsidRDefault="00CD562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20" w:rsidRDefault="00394EED">
    <w:pPr>
      <w:pStyle w:val="a4"/>
    </w:pPr>
    <w:r>
      <w:rPr>
        <w:noProof/>
      </w:rPr>
      <mc:AlternateContent>
        <mc:Choice Requires="wps">
          <w:drawing>
            <wp:anchor distT="0" distB="0" distL="114300" distR="114300" simplePos="0" relativeHeight="251660288" behindDoc="0" locked="0" layoutInCell="1" allowOverlap="1" wp14:anchorId="3D333682" wp14:editId="70BEEE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D5620" w:rsidRDefault="00394EED">
                          <w:pPr>
                            <w:pStyle w:val="a4"/>
                          </w:pPr>
                          <w:r>
                            <w:fldChar w:fldCharType="begin"/>
                          </w:r>
                          <w:r>
                            <w:instrText xml:space="preserve"> PAGE  \* MERGEFORMAT </w:instrText>
                          </w:r>
                          <w:r>
                            <w:fldChar w:fldCharType="separate"/>
                          </w:r>
                          <w:r w:rsidR="00157435">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CD5620" w:rsidRDefault="00394EED">
                    <w:pPr>
                      <w:pStyle w:val="a4"/>
                    </w:pPr>
                    <w:r>
                      <w:fldChar w:fldCharType="begin"/>
                    </w:r>
                    <w:r>
                      <w:instrText xml:space="preserve"> PAGE  \* MERGEFORMAT </w:instrText>
                    </w:r>
                    <w:r>
                      <w:fldChar w:fldCharType="separate"/>
                    </w:r>
                    <w:r w:rsidR="0015743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ED" w:rsidRDefault="00394EED">
      <w:r>
        <w:separator/>
      </w:r>
    </w:p>
  </w:footnote>
  <w:footnote w:type="continuationSeparator" w:id="0">
    <w:p w:rsidR="00394EED" w:rsidRDefault="00394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20" w:rsidRDefault="00CD562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20" w:rsidRDefault="00394EED">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北京中科中电电力工程管理有限公司“</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2D7264"/>
    <w:rsid w:val="0001376D"/>
    <w:rsid w:val="000A1DAC"/>
    <w:rsid w:val="000B55D2"/>
    <w:rsid w:val="0011278C"/>
    <w:rsid w:val="00157297"/>
    <w:rsid w:val="00157435"/>
    <w:rsid w:val="00182851"/>
    <w:rsid w:val="001879B8"/>
    <w:rsid w:val="001C1477"/>
    <w:rsid w:val="00233E64"/>
    <w:rsid w:val="002834ED"/>
    <w:rsid w:val="002C2F9C"/>
    <w:rsid w:val="002D2DB5"/>
    <w:rsid w:val="002D7264"/>
    <w:rsid w:val="00301CA2"/>
    <w:rsid w:val="00310BF3"/>
    <w:rsid w:val="00371045"/>
    <w:rsid w:val="003754E3"/>
    <w:rsid w:val="00387926"/>
    <w:rsid w:val="00394EED"/>
    <w:rsid w:val="003E3E96"/>
    <w:rsid w:val="0041450F"/>
    <w:rsid w:val="0042309B"/>
    <w:rsid w:val="00477D1A"/>
    <w:rsid w:val="004A6E11"/>
    <w:rsid w:val="004A7B96"/>
    <w:rsid w:val="004E229A"/>
    <w:rsid w:val="00504C89"/>
    <w:rsid w:val="00542B92"/>
    <w:rsid w:val="005B72D4"/>
    <w:rsid w:val="005C30A7"/>
    <w:rsid w:val="005D2BDC"/>
    <w:rsid w:val="00636C0F"/>
    <w:rsid w:val="0063757C"/>
    <w:rsid w:val="006465A7"/>
    <w:rsid w:val="00654375"/>
    <w:rsid w:val="006650E1"/>
    <w:rsid w:val="006B7C18"/>
    <w:rsid w:val="006D2D29"/>
    <w:rsid w:val="006E05E7"/>
    <w:rsid w:val="006E51FD"/>
    <w:rsid w:val="00730751"/>
    <w:rsid w:val="00732A29"/>
    <w:rsid w:val="007742D2"/>
    <w:rsid w:val="007D725E"/>
    <w:rsid w:val="008A5245"/>
    <w:rsid w:val="008A6B98"/>
    <w:rsid w:val="00996E49"/>
    <w:rsid w:val="00A2123F"/>
    <w:rsid w:val="00AA1772"/>
    <w:rsid w:val="00B04BFC"/>
    <w:rsid w:val="00B36138"/>
    <w:rsid w:val="00B56016"/>
    <w:rsid w:val="00BB5CED"/>
    <w:rsid w:val="00CB5AE8"/>
    <w:rsid w:val="00CB63AE"/>
    <w:rsid w:val="00CD5620"/>
    <w:rsid w:val="00CE1F59"/>
    <w:rsid w:val="00D11FF3"/>
    <w:rsid w:val="00D93DAB"/>
    <w:rsid w:val="00E653EF"/>
    <w:rsid w:val="00E74583"/>
    <w:rsid w:val="00E75E54"/>
    <w:rsid w:val="00EB0901"/>
    <w:rsid w:val="00ED5F40"/>
    <w:rsid w:val="00F35EEF"/>
    <w:rsid w:val="00F400C4"/>
    <w:rsid w:val="00F55E82"/>
    <w:rsid w:val="00F7540E"/>
    <w:rsid w:val="43132FF3"/>
    <w:rsid w:val="627A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0"/>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eastAsia="宋体" w:hAnsi="Calibri" w:cs="Times New Roman"/>
      <w:b/>
      <w:bCs/>
      <w:sz w:val="30"/>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44</cp:revision>
  <cp:lastPrinted>2024-11-01T01:14:00Z</cp:lastPrinted>
  <dcterms:created xsi:type="dcterms:W3CDTF">2024-09-03T00:53:00Z</dcterms:created>
  <dcterms:modified xsi:type="dcterms:W3CDTF">2024-12-18T08:21:00Z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2A3DD6F800E14CE5849BCD41C0A4DF09_12</vt:lpwstr>
  </property>
</Properties>
</file>