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FCF1D">
      <w:pPr>
        <w:ind w:firstLine="420"/>
        <w:rPr>
          <w:rFonts w:ascii="Times New Roman" w:hAnsi="Times New Roman"/>
        </w:rPr>
      </w:pPr>
    </w:p>
    <w:p w14:paraId="653686E9">
      <w:pPr>
        <w:ind w:firstLine="420"/>
        <w:jc w:val="center"/>
        <w:rPr>
          <w:rFonts w:ascii="Times New Roman" w:hAnsi="Times New Roman"/>
        </w:rPr>
      </w:pPr>
    </w:p>
    <w:p w14:paraId="6F7F2DC4">
      <w:pPr>
        <w:ind w:firstLine="420"/>
        <w:rPr>
          <w:rFonts w:ascii="Times New Roman" w:hAnsi="Times New Roman"/>
        </w:rPr>
      </w:pPr>
    </w:p>
    <w:p w14:paraId="7C49BC76">
      <w:pPr>
        <w:spacing w:line="360" w:lineRule="auto"/>
        <w:jc w:val="left"/>
        <w:rPr>
          <w:rFonts w:ascii="Times New Roman" w:hAnsi="Times New Roman"/>
          <w:b/>
          <w:sz w:val="36"/>
          <w:szCs w:val="36"/>
        </w:rPr>
      </w:pPr>
    </w:p>
    <w:p w14:paraId="75FFEE69">
      <w:pPr>
        <w:spacing w:line="360" w:lineRule="auto"/>
        <w:jc w:val="center"/>
        <w:rPr>
          <w:rFonts w:ascii="Times New Roman" w:hAnsi="Times New Roman"/>
          <w:b/>
          <w:sz w:val="36"/>
          <w:szCs w:val="36"/>
        </w:rPr>
      </w:pPr>
    </w:p>
    <w:p w14:paraId="30171CD9">
      <w:pPr>
        <w:spacing w:line="360" w:lineRule="auto"/>
        <w:jc w:val="center"/>
        <w:rPr>
          <w:rFonts w:ascii="宋体" w:hAnsi="宋体" w:cs="宋体"/>
          <w:b/>
          <w:sz w:val="36"/>
          <w:szCs w:val="36"/>
        </w:rPr>
      </w:pPr>
      <w:r>
        <w:rPr>
          <w:rFonts w:hint="eastAsia" w:ascii="宋体" w:hAnsi="宋体" w:cs="宋体"/>
          <w:b/>
          <w:sz w:val="36"/>
          <w:szCs w:val="36"/>
        </w:rPr>
        <w:t>北京大兴瀛坤路道路工程“11•20”</w:t>
      </w:r>
    </w:p>
    <w:p w14:paraId="51723658">
      <w:pPr>
        <w:spacing w:line="360" w:lineRule="auto"/>
        <w:jc w:val="center"/>
        <w:rPr>
          <w:rFonts w:ascii="宋体" w:hAnsi="宋体" w:cs="宋体"/>
          <w:b/>
          <w:sz w:val="36"/>
          <w:szCs w:val="36"/>
        </w:rPr>
      </w:pPr>
      <w:r>
        <w:rPr>
          <w:rFonts w:hint="eastAsia" w:ascii="宋体" w:hAnsi="宋体" w:cs="宋体"/>
          <w:b/>
          <w:sz w:val="36"/>
          <w:szCs w:val="36"/>
        </w:rPr>
        <w:t>一般生产安全事故</w:t>
      </w:r>
    </w:p>
    <w:p w14:paraId="7B0536C2">
      <w:pPr>
        <w:spacing w:line="360" w:lineRule="auto"/>
        <w:jc w:val="center"/>
        <w:rPr>
          <w:rFonts w:ascii="黑体" w:hAnsi="黑体" w:eastAsia="黑体" w:cs="黑体"/>
          <w:sz w:val="48"/>
          <w:szCs w:val="48"/>
        </w:rPr>
      </w:pPr>
      <w:r>
        <w:rPr>
          <w:rFonts w:hint="eastAsia" w:ascii="黑体" w:hAnsi="黑体" w:eastAsia="黑体" w:cs="黑体"/>
          <w:sz w:val="48"/>
          <w:szCs w:val="48"/>
        </w:rPr>
        <w:t>责任追究和整改措施落实情况</w:t>
      </w:r>
    </w:p>
    <w:p w14:paraId="2D4198DA">
      <w:pPr>
        <w:spacing w:line="360" w:lineRule="auto"/>
        <w:jc w:val="center"/>
        <w:rPr>
          <w:rFonts w:ascii="Times New Roman" w:hAnsi="Times New Roman" w:eastAsia="黑体"/>
          <w:b/>
          <w:bCs/>
          <w:szCs w:val="48"/>
        </w:rPr>
      </w:pPr>
      <w:r>
        <w:rPr>
          <w:rFonts w:hint="eastAsia" w:ascii="黑体" w:hAnsi="黑体" w:eastAsia="黑体" w:cs="黑体"/>
          <w:sz w:val="48"/>
          <w:szCs w:val="48"/>
        </w:rPr>
        <w:t>评估报告</w:t>
      </w:r>
    </w:p>
    <w:p w14:paraId="5365BDA3">
      <w:pPr>
        <w:ind w:firstLine="420"/>
        <w:jc w:val="center"/>
        <w:rPr>
          <w:rFonts w:ascii="Times New Roman" w:hAnsi="Times New Roman"/>
        </w:rPr>
      </w:pPr>
    </w:p>
    <w:p w14:paraId="267C0269">
      <w:pPr>
        <w:rPr>
          <w:rFonts w:ascii="Times New Roman" w:hAnsi="Times New Roman" w:eastAsia="黑体"/>
          <w:b/>
          <w:bCs/>
          <w:sz w:val="48"/>
          <w:szCs w:val="48"/>
        </w:rPr>
      </w:pPr>
    </w:p>
    <w:p w14:paraId="74323CA5">
      <w:pPr>
        <w:ind w:firstLine="420"/>
        <w:jc w:val="center"/>
        <w:rPr>
          <w:rFonts w:ascii="Times New Roman" w:hAnsi="Times New Roman"/>
          <w:b/>
          <w:sz w:val="30"/>
          <w:szCs w:val="30"/>
        </w:rPr>
      </w:pPr>
    </w:p>
    <w:p w14:paraId="4729FD00">
      <w:pPr>
        <w:ind w:firstLine="420"/>
        <w:jc w:val="center"/>
        <w:rPr>
          <w:rFonts w:ascii="Times New Roman" w:hAnsi="Times New Roman"/>
        </w:rPr>
      </w:pPr>
    </w:p>
    <w:p w14:paraId="5225E1B5">
      <w:pPr>
        <w:ind w:firstLine="420"/>
        <w:jc w:val="center"/>
        <w:rPr>
          <w:rFonts w:ascii="Times New Roman" w:hAnsi="Times New Roman"/>
        </w:rPr>
      </w:pPr>
    </w:p>
    <w:p w14:paraId="5EFB9776">
      <w:pPr>
        <w:ind w:firstLine="420"/>
        <w:jc w:val="center"/>
        <w:rPr>
          <w:rFonts w:ascii="Times New Roman" w:hAnsi="Times New Roman"/>
        </w:rPr>
      </w:pPr>
    </w:p>
    <w:p w14:paraId="413035D7">
      <w:pPr>
        <w:ind w:firstLine="420"/>
        <w:jc w:val="center"/>
        <w:rPr>
          <w:rFonts w:ascii="Times New Roman" w:hAnsi="Times New Roman"/>
        </w:rPr>
      </w:pPr>
    </w:p>
    <w:p w14:paraId="172A6B6F">
      <w:pPr>
        <w:spacing w:line="360" w:lineRule="auto"/>
        <w:ind w:firstLine="964" w:firstLineChars="300"/>
        <w:rPr>
          <w:rFonts w:ascii="Times New Roman" w:hAnsi="Times New Roman"/>
          <w:b/>
          <w:sz w:val="32"/>
          <w:szCs w:val="32"/>
        </w:rPr>
      </w:pPr>
    </w:p>
    <w:p w14:paraId="3A1BE3BF">
      <w:pPr>
        <w:spacing w:line="360" w:lineRule="auto"/>
        <w:ind w:firstLine="964" w:firstLineChars="300"/>
        <w:rPr>
          <w:rFonts w:ascii="Times New Roman" w:hAnsi="Times New Roman"/>
          <w:b/>
          <w:sz w:val="32"/>
          <w:szCs w:val="32"/>
        </w:rPr>
      </w:pPr>
    </w:p>
    <w:p w14:paraId="7ECD412A">
      <w:pPr>
        <w:spacing w:line="360" w:lineRule="auto"/>
        <w:ind w:firstLine="964" w:firstLineChars="300"/>
        <w:rPr>
          <w:rFonts w:ascii="Times New Roman" w:hAnsi="Times New Roman"/>
          <w:b/>
          <w:sz w:val="32"/>
          <w:szCs w:val="32"/>
        </w:rPr>
      </w:pPr>
    </w:p>
    <w:p w14:paraId="15258230">
      <w:pPr>
        <w:spacing w:line="360" w:lineRule="auto"/>
        <w:ind w:firstLine="964" w:firstLineChars="300"/>
        <w:rPr>
          <w:rFonts w:ascii="Times New Roman" w:hAnsi="Times New Roman"/>
          <w:b/>
          <w:sz w:val="32"/>
          <w:szCs w:val="32"/>
        </w:rPr>
      </w:pPr>
    </w:p>
    <w:p w14:paraId="74D7B3EF">
      <w:pPr>
        <w:spacing w:line="360" w:lineRule="auto"/>
        <w:ind w:firstLine="964" w:firstLineChars="300"/>
        <w:rPr>
          <w:rFonts w:ascii="Times New Roman" w:hAnsi="Times New Roman"/>
          <w:b/>
          <w:sz w:val="32"/>
          <w:szCs w:val="32"/>
        </w:rPr>
      </w:pPr>
    </w:p>
    <w:p w14:paraId="32512394">
      <w:pPr>
        <w:spacing w:line="360" w:lineRule="auto"/>
        <w:ind w:firstLine="964" w:firstLineChars="300"/>
        <w:rPr>
          <w:rFonts w:ascii="Times New Roman" w:hAnsi="Times New Roman"/>
          <w:b/>
          <w:sz w:val="32"/>
          <w:szCs w:val="32"/>
        </w:rPr>
      </w:pPr>
    </w:p>
    <w:p w14:paraId="58F23D8A">
      <w:pPr>
        <w:spacing w:line="360" w:lineRule="auto"/>
        <w:ind w:firstLine="964" w:firstLineChars="300"/>
        <w:rPr>
          <w:rFonts w:ascii="Times New Roman" w:hAnsi="Times New Roman"/>
          <w:b/>
          <w:sz w:val="32"/>
          <w:szCs w:val="32"/>
        </w:rPr>
      </w:pPr>
    </w:p>
    <w:p w14:paraId="5A4137F3">
      <w:pPr>
        <w:spacing w:line="360" w:lineRule="auto"/>
        <w:jc w:val="center"/>
        <w:rPr>
          <w:rFonts w:ascii="Times New Roman" w:hAnsi="Times New Roman"/>
          <w:b/>
          <w:bCs/>
          <w:szCs w:val="44"/>
        </w:rPr>
      </w:pPr>
      <w:r>
        <w:rPr>
          <w:rFonts w:hint="eastAsia"/>
          <w:b/>
          <w:sz w:val="44"/>
          <w:szCs w:val="44"/>
        </w:rPr>
        <w:t>北京天恒安科集团有限公司</w:t>
      </w:r>
    </w:p>
    <w:p w14:paraId="1378CB82">
      <w:pPr>
        <w:adjustRightInd w:val="0"/>
        <w:snapToGrid w:val="0"/>
        <w:spacing w:line="360" w:lineRule="auto"/>
        <w:jc w:val="center"/>
        <w:rPr>
          <w:rFonts w:ascii="Times New Roman" w:hAnsi="Times New Roman"/>
          <w:b/>
          <w:bCs/>
          <w:sz w:val="32"/>
          <w:szCs w:val="32"/>
        </w:rPr>
      </w:pPr>
      <w:r>
        <w:rPr>
          <w:rFonts w:ascii="Times New Roman" w:hAnsi="Times New Roman"/>
          <w:b/>
          <w:bCs/>
          <w:sz w:val="32"/>
          <w:szCs w:val="32"/>
        </w:rPr>
        <w:t>二零</w:t>
      </w:r>
      <w:r>
        <w:rPr>
          <w:rFonts w:hint="eastAsia" w:ascii="Times New Roman" w:hAnsi="Times New Roman"/>
          <w:b/>
          <w:bCs/>
          <w:sz w:val="32"/>
          <w:szCs w:val="32"/>
        </w:rPr>
        <w:t>二五</w:t>
      </w:r>
      <w:r>
        <w:rPr>
          <w:rFonts w:ascii="Times New Roman" w:hAnsi="Times New Roman"/>
          <w:b/>
          <w:bCs/>
          <w:sz w:val="32"/>
          <w:szCs w:val="32"/>
        </w:rPr>
        <w:t>年</w:t>
      </w:r>
      <w:r>
        <w:rPr>
          <w:rFonts w:hint="eastAsia" w:ascii="Times New Roman" w:hAnsi="Times New Roman"/>
          <w:b/>
          <w:bCs/>
          <w:sz w:val="32"/>
          <w:szCs w:val="32"/>
        </w:rPr>
        <w:t>十一</w:t>
      </w:r>
      <w:r>
        <w:rPr>
          <w:rFonts w:ascii="Times New Roman" w:hAnsi="Times New Roman"/>
          <w:b/>
          <w:bCs/>
          <w:sz w:val="32"/>
          <w:szCs w:val="32"/>
        </w:rPr>
        <w:t>月</w:t>
      </w:r>
    </w:p>
    <w:p w14:paraId="7C052A55">
      <w:pPr>
        <w:spacing w:line="360" w:lineRule="auto"/>
        <w:jc w:val="center"/>
        <w:rPr>
          <w:rFonts w:ascii="Times New Roman" w:hAnsi="Times New Roman"/>
          <w:b/>
          <w:bCs/>
          <w:sz w:val="32"/>
          <w:szCs w:val="32"/>
        </w:rPr>
      </w:pPr>
    </w:p>
    <w:p w14:paraId="3F875452">
      <w:pPr>
        <w:ind w:firstLine="420"/>
        <w:jc w:val="left"/>
        <w:rPr>
          <w:rFonts w:ascii="Times New Roman" w:hAnsi="Times New Roman"/>
        </w:rPr>
      </w:pPr>
    </w:p>
    <w:p w14:paraId="72600AB0">
      <w:pPr>
        <w:spacing w:before="240" w:beforeLines="100" w:line="480" w:lineRule="auto"/>
        <w:rPr>
          <w:rFonts w:ascii="Times New Roman" w:hAnsi="Times New Roman"/>
          <w:b/>
          <w:bCs/>
          <w:sz w:val="32"/>
          <w:szCs w:val="32"/>
        </w:rPr>
        <w:sectPr>
          <w:footerReference r:id="rId3" w:type="default"/>
          <w:pgSz w:w="11907" w:h="16840"/>
          <w:pgMar w:top="1588" w:right="1531" w:bottom="1588" w:left="1644" w:header="1191" w:footer="1191" w:gutter="0"/>
          <w:cols w:space="720" w:num="1"/>
          <w:docGrid w:linePitch="312" w:charSpace="0"/>
        </w:sectPr>
      </w:pPr>
    </w:p>
    <w:p w14:paraId="23EB20ED">
      <w:pPr>
        <w:spacing w:line="360" w:lineRule="auto"/>
        <w:jc w:val="center"/>
        <w:rPr>
          <w:b/>
          <w:bCs/>
          <w:sz w:val="32"/>
          <w:szCs w:val="32"/>
        </w:rPr>
      </w:pPr>
      <w:bookmarkStart w:id="0" w:name="_Toc13563"/>
      <w:bookmarkStart w:id="1" w:name="_Toc2247"/>
      <w:r>
        <w:rPr>
          <w:b/>
          <w:bCs/>
          <w:sz w:val="32"/>
          <w:szCs w:val="32"/>
        </w:rPr>
        <w:t>前言</w:t>
      </w:r>
      <w:bookmarkEnd w:id="0"/>
      <w:bookmarkEnd w:id="1"/>
    </w:p>
    <w:p w14:paraId="6BB605D6">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2024年11月20日7时46分，位于北京市大兴区瀛海镇集体经营性建设用地入市试点（一期）瀛坤路（K0-015.213-K0+508.5）道路、再生水、给水、排水、电力及天然气工程南段，一辆倒向行驶的重型自卸货车将一名正在进行放线作业的工人碾压，致其当场死亡，直接经济损失245万元。</w:t>
      </w:r>
    </w:p>
    <w:p w14:paraId="339C607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根据《生产安全事故报告和调查处理条例</w:t>
      </w:r>
      <w:r>
        <w:rPr>
          <w:rFonts w:hint="eastAsia" w:ascii="Times New Roman" w:hAnsi="Times New Roman" w:eastAsiaTheme="minorEastAsia"/>
          <w:sz w:val="24"/>
          <w:szCs w:val="24"/>
        </w:rPr>
        <w:t>》、《</w:t>
      </w:r>
      <w:r>
        <w:rPr>
          <w:rFonts w:hint="eastAsia" w:asciiTheme="minorEastAsia" w:hAnsiTheme="minorEastAsia" w:eastAsiaTheme="minorEastAsia"/>
          <w:sz w:val="24"/>
          <w:szCs w:val="24"/>
        </w:rPr>
        <w:t>北京市生产安全事故报告和调查处理办法》、《北京市生产安全事故调查处理工作规则》等有关法律法规和文件要求，大兴区人民政府成立了由区应急管理局、区人力资源和社会保障局、区公安分局、区总工会、区住房城乡建设委、瀛海镇、邀请通州区政府组成的“11·20”事故调查组，并依法邀请区纪委区监委列席参加。对此事故展开了全面的调查工作。</w:t>
      </w:r>
    </w:p>
    <w:p w14:paraId="38F80FD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依据《北京市生产安全事故责任追究和整改措施落实情况评估办法》（京安发﹝2016﹞1号）、《大兴区2025年生产安全事故整改和防范措施落实情况评估工作方案》，北京市大兴区应急管理局对北京大兴瀛坤路道路工程“11•20”一般生产安全事故成立了事故责任追究和整改措施落实情况评估组，并选定了有关专家及安全评估机构对事故发生单位现场进行实地查看，对事故发生单位整改措施落实情况进行了现场检查和评估。</w:t>
      </w:r>
    </w:p>
    <w:p w14:paraId="7B546BF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受北京市大兴区应急管理局的委托，由北京天恒安科集团有限公司针对事故企业现场检查评估情况，汇总整理了专家现场意见和北京天恒安科集团有限公司对事故发生单位安全现状评估意见，最终编制完成了《北京大兴瀛坤路道路工程“11•20”一般生产安全事故责任追究和整改措施落实情况评估报告》。</w:t>
      </w:r>
    </w:p>
    <w:p w14:paraId="5DA5D609">
      <w:pPr>
        <w:tabs>
          <w:tab w:val="left" w:pos="535"/>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本次事故整改评估报告在编制过程中，得到了区应急管理局有关领导、相关专家的大力支持和帮助，在此表示衷心的感谢。</w:t>
      </w:r>
    </w:p>
    <w:p w14:paraId="232EB315">
      <w:pPr>
        <w:tabs>
          <w:tab w:val="left" w:pos="535"/>
        </w:tabs>
        <w:spacing w:line="360" w:lineRule="auto"/>
        <w:ind w:firstLine="480" w:firstLineChars="200"/>
        <w:rPr>
          <w:rFonts w:ascii="Times New Roman" w:hAnsi="Times New Roman"/>
          <w:sz w:val="24"/>
          <w:szCs w:val="24"/>
          <w:highlight w:val="yellow"/>
        </w:rPr>
      </w:pPr>
    </w:p>
    <w:p w14:paraId="5D2CE095">
      <w:pPr>
        <w:tabs>
          <w:tab w:val="left" w:pos="535"/>
        </w:tabs>
        <w:spacing w:line="360" w:lineRule="auto"/>
        <w:ind w:firstLine="480" w:firstLineChars="200"/>
        <w:rPr>
          <w:rFonts w:ascii="Times New Roman" w:hAnsi="Times New Roman"/>
          <w:sz w:val="24"/>
          <w:szCs w:val="24"/>
          <w:highlight w:val="yellow"/>
        </w:rPr>
      </w:pPr>
    </w:p>
    <w:p w14:paraId="594ECE66">
      <w:pPr>
        <w:tabs>
          <w:tab w:val="left" w:pos="535"/>
        </w:tabs>
        <w:spacing w:line="360" w:lineRule="auto"/>
        <w:ind w:firstLine="480" w:firstLineChars="200"/>
        <w:jc w:val="right"/>
        <w:rPr>
          <w:rFonts w:ascii="Times New Roman" w:hAnsi="Times New Roman"/>
          <w:sz w:val="24"/>
          <w:szCs w:val="24"/>
        </w:rPr>
      </w:pPr>
      <w:r>
        <w:rPr>
          <w:rFonts w:hint="eastAsia" w:ascii="Times New Roman" w:hAnsi="Times New Roman"/>
          <w:sz w:val="24"/>
          <w:szCs w:val="24"/>
        </w:rPr>
        <w:t>北京天恒安科集团有限公司</w:t>
      </w:r>
    </w:p>
    <w:p w14:paraId="5E3F1DAD">
      <w:pPr>
        <w:tabs>
          <w:tab w:val="left" w:pos="535"/>
        </w:tabs>
        <w:spacing w:line="360" w:lineRule="auto"/>
        <w:ind w:right="560" w:firstLine="5520" w:firstLineChars="2300"/>
        <w:jc w:val="right"/>
        <w:rPr>
          <w:rFonts w:ascii="Times New Roman" w:hAnsi="Times New Roman"/>
          <w:sz w:val="24"/>
          <w:szCs w:val="24"/>
        </w:rPr>
      </w:pPr>
      <w:r>
        <w:rPr>
          <w:rFonts w:ascii="Times New Roman" w:hAnsi="Times New Roman"/>
          <w:sz w:val="24"/>
          <w:szCs w:val="24"/>
        </w:rPr>
        <w:t>20</w:t>
      </w:r>
      <w:r>
        <w:rPr>
          <w:rFonts w:hint="eastAsia" w:ascii="Times New Roman" w:hAnsi="Times New Roman"/>
          <w:sz w:val="24"/>
          <w:szCs w:val="24"/>
        </w:rPr>
        <w:t>25</w:t>
      </w:r>
      <w:r>
        <w:rPr>
          <w:rFonts w:ascii="Times New Roman" w:hAnsi="Times New Roman"/>
          <w:sz w:val="24"/>
          <w:szCs w:val="24"/>
        </w:rPr>
        <w:t>年</w:t>
      </w:r>
      <w:r>
        <w:rPr>
          <w:rFonts w:hint="eastAsia" w:ascii="Times New Roman" w:hAnsi="Times New Roman"/>
          <w:sz w:val="24"/>
          <w:szCs w:val="24"/>
        </w:rPr>
        <w:t>11</w:t>
      </w:r>
      <w:r>
        <w:rPr>
          <w:rFonts w:ascii="Times New Roman" w:hAnsi="Times New Roman"/>
          <w:sz w:val="24"/>
          <w:szCs w:val="24"/>
        </w:rPr>
        <w:t>月</w:t>
      </w:r>
    </w:p>
    <w:p w14:paraId="11DD502C">
      <w:pPr>
        <w:topLinePunct/>
        <w:snapToGrid w:val="0"/>
        <w:spacing w:line="520" w:lineRule="exact"/>
        <w:ind w:firstLine="200"/>
        <w:rPr>
          <w:rFonts w:ascii="Times New Roman" w:hAnsi="Times New Roman"/>
          <w:sz w:val="28"/>
          <w:szCs w:val="28"/>
        </w:rPr>
        <w:sectPr>
          <w:headerReference r:id="rId4" w:type="default"/>
          <w:footerReference r:id="rId5" w:type="default"/>
          <w:pgSz w:w="11907" w:h="16840"/>
          <w:pgMar w:top="1588" w:right="1474" w:bottom="1588" w:left="1474" w:header="1021" w:footer="1021" w:gutter="0"/>
          <w:pgNumType w:fmt="lowerRoman" w:start="1"/>
          <w:cols w:space="720" w:num="1"/>
          <w:docGrid w:linePitch="312" w:charSpace="0"/>
        </w:sectPr>
      </w:pPr>
    </w:p>
    <w:sdt>
      <w:sdtPr>
        <w:rPr>
          <w:rFonts w:ascii="宋体" w:hAnsi="宋体"/>
        </w:rPr>
        <w:id w:val="147470598"/>
        <w:docPartObj>
          <w:docPartGallery w:val="Table of Contents"/>
          <w:docPartUnique/>
        </w:docPartObj>
      </w:sdtPr>
      <w:sdtEndPr>
        <w:rPr>
          <w:rFonts w:asciiTheme="minorEastAsia" w:hAnsiTheme="minorEastAsia" w:eastAsiaTheme="minorEastAsia"/>
          <w:b/>
          <w:bCs/>
          <w:szCs w:val="32"/>
        </w:rPr>
      </w:sdtEndPr>
      <w:sdtContent>
        <w:p w14:paraId="10863DC6">
          <w:pPr>
            <w:jc w:val="center"/>
            <w:rPr>
              <w:b/>
              <w:bCs/>
              <w:sz w:val="32"/>
              <w:szCs w:val="36"/>
            </w:rPr>
          </w:pPr>
          <w:r>
            <w:rPr>
              <w:rFonts w:ascii="宋体" w:hAnsi="宋体"/>
              <w:b/>
              <w:bCs/>
              <w:sz w:val="32"/>
              <w:szCs w:val="36"/>
            </w:rPr>
            <w:t>目</w:t>
          </w:r>
          <w:r>
            <w:rPr>
              <w:rFonts w:hint="eastAsia" w:ascii="宋体" w:hAnsi="宋体"/>
              <w:b/>
              <w:bCs/>
              <w:sz w:val="32"/>
              <w:szCs w:val="36"/>
            </w:rPr>
            <w:t xml:space="preserve">  </w:t>
          </w:r>
          <w:r>
            <w:rPr>
              <w:rFonts w:ascii="宋体" w:hAnsi="宋体"/>
              <w:b/>
              <w:bCs/>
              <w:sz w:val="32"/>
              <w:szCs w:val="36"/>
            </w:rPr>
            <w:t>录</w:t>
          </w:r>
        </w:p>
        <w:p w14:paraId="3F9CD565">
          <w:pPr>
            <w:pStyle w:val="9"/>
            <w:tabs>
              <w:tab w:val="right" w:leader="dot" w:pos="8296"/>
            </w:tabs>
            <w:spacing w:line="360" w:lineRule="auto"/>
            <w:rPr>
              <w:rFonts w:asciiTheme="minorHAnsi" w:hAnsiTheme="minorHAnsi" w:eastAsiaTheme="minorEastAsia" w:cstheme="minorBidi"/>
              <w:b w:val="0"/>
              <w:sz w:val="22"/>
              <w:szCs w:val="24"/>
              <w14:ligatures w14:val="standardContextual"/>
            </w:rPr>
          </w:pPr>
          <w:r>
            <w:rPr>
              <w:rFonts w:hint="eastAsia" w:asciiTheme="minorEastAsia" w:hAnsiTheme="minorEastAsia" w:eastAsiaTheme="minorEastAsia"/>
              <w:b w:val="0"/>
              <w:bCs/>
              <w:smallCaps/>
              <w:sz w:val="32"/>
              <w:szCs w:val="32"/>
            </w:rPr>
            <w:fldChar w:fldCharType="begin"/>
          </w:r>
          <w:r>
            <w:rPr>
              <w:rFonts w:hint="eastAsia" w:asciiTheme="minorEastAsia" w:hAnsiTheme="minorEastAsia" w:eastAsiaTheme="minorEastAsia"/>
              <w:b w:val="0"/>
              <w:bCs/>
              <w:smallCaps/>
              <w:sz w:val="32"/>
              <w:szCs w:val="32"/>
            </w:rPr>
            <w:instrText xml:space="preserve"> TOC \o "1-2" \h \z \u </w:instrText>
          </w:r>
          <w:r>
            <w:rPr>
              <w:rFonts w:hint="eastAsia" w:asciiTheme="minorEastAsia" w:hAnsiTheme="minorEastAsia" w:eastAsiaTheme="minorEastAsia"/>
              <w:b w:val="0"/>
              <w:bCs/>
              <w:smallCaps/>
              <w:sz w:val="32"/>
              <w:szCs w:val="32"/>
            </w:rPr>
            <w:fldChar w:fldCharType="separate"/>
          </w:r>
          <w:r>
            <w:fldChar w:fldCharType="begin"/>
          </w:r>
          <w:r>
            <w:instrText xml:space="preserve"> HYPERLINK \l "_Toc213666486" </w:instrText>
          </w:r>
          <w:r>
            <w:fldChar w:fldCharType="separate"/>
          </w:r>
          <w:r>
            <w:rPr>
              <w:rStyle w:val="14"/>
              <w:rFonts w:hint="eastAsia"/>
            </w:rPr>
            <w:t>1 编制说明</w:t>
          </w:r>
          <w:r>
            <w:rPr>
              <w:rFonts w:hint="eastAsia"/>
            </w:rPr>
            <w:tab/>
          </w:r>
          <w:r>
            <w:rPr>
              <w:rFonts w:hint="eastAsia"/>
            </w:rPr>
            <w:fldChar w:fldCharType="begin"/>
          </w:r>
          <w:r>
            <w:rPr>
              <w:rFonts w:hint="eastAsia"/>
            </w:rPr>
            <w:instrText xml:space="preserve"> </w:instrText>
          </w:r>
          <w:r>
            <w:instrText xml:space="preserve">PAGEREF _Toc213666486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26662CD">
          <w:pPr>
            <w:pStyle w:val="10"/>
            <w:tabs>
              <w:tab w:val="right" w:leader="dot" w:pos="8296"/>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"_Toc213666487" </w:instrText>
          </w:r>
          <w:r>
            <w:fldChar w:fldCharType="separate"/>
          </w:r>
          <w:r>
            <w:rPr>
              <w:rStyle w:val="14"/>
              <w:rFonts w:hint="eastAsia"/>
            </w:rPr>
            <w:t>1.1 评估目的及意义</w:t>
          </w:r>
          <w:r>
            <w:rPr>
              <w:rFonts w:hint="eastAsia"/>
            </w:rPr>
            <w:tab/>
          </w:r>
          <w:r>
            <w:rPr>
              <w:rFonts w:hint="eastAsia"/>
            </w:rPr>
            <w:fldChar w:fldCharType="begin"/>
          </w:r>
          <w:r>
            <w:rPr>
              <w:rFonts w:hint="eastAsia"/>
            </w:rPr>
            <w:instrText xml:space="preserve"> </w:instrText>
          </w:r>
          <w:r>
            <w:instrText xml:space="preserve">PAGEREF _Toc213666487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60BC4A6">
          <w:pPr>
            <w:pStyle w:val="10"/>
            <w:tabs>
              <w:tab w:val="right" w:leader="dot" w:pos="8296"/>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"_Toc213666488" </w:instrText>
          </w:r>
          <w:r>
            <w:fldChar w:fldCharType="separate"/>
          </w:r>
          <w:r>
            <w:rPr>
              <w:rStyle w:val="14"/>
              <w:rFonts w:hint="eastAsia"/>
            </w:rPr>
            <w:t>1.2 评估对象及范围</w:t>
          </w:r>
          <w:r>
            <w:rPr>
              <w:rFonts w:hint="eastAsia"/>
            </w:rPr>
            <w:tab/>
          </w:r>
          <w:r>
            <w:rPr>
              <w:rFonts w:hint="eastAsia"/>
            </w:rPr>
            <w:fldChar w:fldCharType="begin"/>
          </w:r>
          <w:r>
            <w:rPr>
              <w:rFonts w:hint="eastAsia"/>
            </w:rPr>
            <w:instrText xml:space="preserve"> </w:instrText>
          </w:r>
          <w:r>
            <w:instrText xml:space="preserve">PAGEREF _Toc213666488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EC13CA3">
          <w:pPr>
            <w:pStyle w:val="10"/>
            <w:tabs>
              <w:tab w:val="right" w:leader="dot" w:pos="8296"/>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"_Toc213666489" </w:instrText>
          </w:r>
          <w:r>
            <w:fldChar w:fldCharType="separate"/>
          </w:r>
          <w:r>
            <w:rPr>
              <w:rStyle w:val="14"/>
              <w:rFonts w:hint="eastAsia"/>
            </w:rPr>
            <w:t>1.3 评估程序和评估方法</w:t>
          </w:r>
          <w:r>
            <w:rPr>
              <w:rFonts w:hint="eastAsia"/>
            </w:rPr>
            <w:tab/>
          </w:r>
          <w:r>
            <w:rPr>
              <w:rFonts w:hint="eastAsia"/>
            </w:rPr>
            <w:fldChar w:fldCharType="begin"/>
          </w:r>
          <w:r>
            <w:rPr>
              <w:rFonts w:hint="eastAsia"/>
            </w:rPr>
            <w:instrText xml:space="preserve"> </w:instrText>
          </w:r>
          <w:r>
            <w:instrText xml:space="preserve">PAGEREF _Toc213666489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3BF3021">
          <w:pPr>
            <w:pStyle w:val="10"/>
            <w:tabs>
              <w:tab w:val="right" w:leader="dot" w:pos="8296"/>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"_Toc213666490" </w:instrText>
          </w:r>
          <w:r>
            <w:fldChar w:fldCharType="separate"/>
          </w:r>
          <w:r>
            <w:rPr>
              <w:rStyle w:val="14"/>
              <w:rFonts w:hint="eastAsia"/>
            </w:rPr>
            <w:t>1.4 组织评估和开展评估</w:t>
          </w:r>
          <w:r>
            <w:rPr>
              <w:rFonts w:hint="eastAsia"/>
            </w:rPr>
            <w:tab/>
          </w:r>
          <w:r>
            <w:rPr>
              <w:rFonts w:hint="eastAsia"/>
            </w:rPr>
            <w:fldChar w:fldCharType="begin"/>
          </w:r>
          <w:r>
            <w:rPr>
              <w:rFonts w:hint="eastAsia"/>
            </w:rPr>
            <w:instrText xml:space="preserve"> </w:instrText>
          </w:r>
          <w:r>
            <w:instrText xml:space="preserve">PAGEREF _Toc213666490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91C8F88">
          <w:pPr>
            <w:pStyle w:val="10"/>
            <w:tabs>
              <w:tab w:val="right" w:leader="dot" w:pos="8296"/>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"_Toc213666491" </w:instrText>
          </w:r>
          <w:r>
            <w:fldChar w:fldCharType="separate"/>
          </w:r>
          <w:r>
            <w:rPr>
              <w:rStyle w:val="14"/>
              <w:rFonts w:hint="eastAsia"/>
            </w:rPr>
            <w:t>1.5 评估依据</w:t>
          </w:r>
          <w:r>
            <w:rPr>
              <w:rFonts w:hint="eastAsia"/>
            </w:rPr>
            <w:tab/>
          </w:r>
          <w:r>
            <w:rPr>
              <w:rFonts w:hint="eastAsia"/>
            </w:rPr>
            <w:fldChar w:fldCharType="begin"/>
          </w:r>
          <w:r>
            <w:rPr>
              <w:rFonts w:hint="eastAsia"/>
            </w:rPr>
            <w:instrText xml:space="preserve"> </w:instrText>
          </w:r>
          <w:r>
            <w:instrText xml:space="preserve">PAGEREF _Toc213666491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7A60D5D">
          <w:pPr>
            <w:pStyle w:val="9"/>
            <w:tabs>
              <w:tab w:val="right" w:leader="dot" w:pos="8296"/>
            </w:tabs>
            <w:spacing w:line="360" w:lineRule="auto"/>
            <w:rPr>
              <w:rFonts w:asciiTheme="minorHAnsi" w:hAnsiTheme="minorHAnsi" w:eastAsiaTheme="minorEastAsia" w:cstheme="minorBidi"/>
              <w:b w:val="0"/>
              <w:sz w:val="22"/>
              <w:szCs w:val="24"/>
              <w14:ligatures w14:val="standardContextual"/>
            </w:rPr>
          </w:pPr>
          <w:r>
            <w:fldChar w:fldCharType="begin"/>
          </w:r>
          <w:r>
            <w:instrText xml:space="preserve"> HYPERLINK \l "_Toc213666492" </w:instrText>
          </w:r>
          <w:r>
            <w:fldChar w:fldCharType="separate"/>
          </w:r>
          <w:r>
            <w:rPr>
              <w:rStyle w:val="14"/>
              <w:rFonts w:hint="eastAsia"/>
            </w:rPr>
            <w:t>2 事故责任单位及人员责任追究落实情况</w:t>
          </w:r>
          <w:r>
            <w:rPr>
              <w:rFonts w:hint="eastAsia"/>
            </w:rPr>
            <w:tab/>
          </w:r>
          <w:r>
            <w:rPr>
              <w:rFonts w:hint="eastAsia"/>
            </w:rPr>
            <w:fldChar w:fldCharType="begin"/>
          </w:r>
          <w:r>
            <w:rPr>
              <w:rFonts w:hint="eastAsia"/>
            </w:rPr>
            <w:instrText xml:space="preserve"> </w:instrText>
          </w:r>
          <w:r>
            <w:instrText xml:space="preserve">PAGEREF _Toc213666492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95338B4">
          <w:pPr>
            <w:pStyle w:val="10"/>
            <w:tabs>
              <w:tab w:val="right" w:leader="dot" w:pos="8296"/>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"_Toc213666493" </w:instrText>
          </w:r>
          <w:r>
            <w:fldChar w:fldCharType="separate"/>
          </w:r>
          <w:r>
            <w:rPr>
              <w:rStyle w:val="14"/>
              <w:rFonts w:hint="eastAsia"/>
            </w:rPr>
            <w:t>2.1 事故责任单位责任追究落实情况</w:t>
          </w:r>
          <w:r>
            <w:rPr>
              <w:rFonts w:hint="eastAsia"/>
            </w:rPr>
            <w:tab/>
          </w:r>
          <w:r>
            <w:rPr>
              <w:rFonts w:hint="eastAsia"/>
            </w:rPr>
            <w:fldChar w:fldCharType="begin"/>
          </w:r>
          <w:r>
            <w:rPr>
              <w:rFonts w:hint="eastAsia"/>
            </w:rPr>
            <w:instrText xml:space="preserve"> </w:instrText>
          </w:r>
          <w:r>
            <w:instrText xml:space="preserve">PAGEREF _Toc213666493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3ADE69F">
          <w:pPr>
            <w:pStyle w:val="10"/>
            <w:tabs>
              <w:tab w:val="right" w:leader="dot" w:pos="8296"/>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"_Toc213666494" </w:instrText>
          </w:r>
          <w:r>
            <w:fldChar w:fldCharType="separate"/>
          </w:r>
          <w:r>
            <w:rPr>
              <w:rStyle w:val="14"/>
              <w:rFonts w:hint="eastAsia"/>
            </w:rPr>
            <w:t>2.2 事故责任人员责任追究落实情况</w:t>
          </w:r>
          <w:r>
            <w:rPr>
              <w:rFonts w:hint="eastAsia"/>
            </w:rPr>
            <w:tab/>
          </w:r>
          <w:r>
            <w:rPr>
              <w:rFonts w:hint="eastAsia"/>
            </w:rPr>
            <w:fldChar w:fldCharType="begin"/>
          </w:r>
          <w:r>
            <w:rPr>
              <w:rFonts w:hint="eastAsia"/>
            </w:rPr>
            <w:instrText xml:space="preserve"> </w:instrText>
          </w:r>
          <w:r>
            <w:instrText xml:space="preserve">PAGEREF _Toc213666494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16118ED">
          <w:pPr>
            <w:pStyle w:val="9"/>
            <w:tabs>
              <w:tab w:val="right" w:leader="dot" w:pos="8296"/>
            </w:tabs>
            <w:spacing w:line="360" w:lineRule="auto"/>
            <w:rPr>
              <w:rFonts w:asciiTheme="minorHAnsi" w:hAnsiTheme="minorHAnsi" w:eastAsiaTheme="minorEastAsia" w:cstheme="minorBidi"/>
              <w:b w:val="0"/>
              <w:sz w:val="22"/>
              <w:szCs w:val="24"/>
              <w14:ligatures w14:val="standardContextual"/>
            </w:rPr>
          </w:pPr>
          <w:r>
            <w:fldChar w:fldCharType="begin"/>
          </w:r>
          <w:r>
            <w:instrText xml:space="preserve"> HYPERLINK \l "_Toc213666495" </w:instrText>
          </w:r>
          <w:r>
            <w:fldChar w:fldCharType="separate"/>
          </w:r>
          <w:r>
            <w:rPr>
              <w:rStyle w:val="14"/>
              <w:rFonts w:hint="eastAsia"/>
            </w:rPr>
            <w:t>3 事故责任单位整改措施落实情况</w:t>
          </w:r>
          <w:r>
            <w:rPr>
              <w:rFonts w:hint="eastAsia"/>
            </w:rPr>
            <w:tab/>
          </w:r>
          <w:r>
            <w:rPr>
              <w:rFonts w:hint="eastAsia"/>
            </w:rPr>
            <w:fldChar w:fldCharType="begin"/>
          </w:r>
          <w:r>
            <w:rPr>
              <w:rFonts w:hint="eastAsia"/>
            </w:rPr>
            <w:instrText xml:space="preserve"> </w:instrText>
          </w:r>
          <w:r>
            <w:instrText xml:space="preserve">PAGEREF _Toc213666495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8E4D777">
          <w:pPr>
            <w:pStyle w:val="10"/>
            <w:tabs>
              <w:tab w:val="right" w:leader="dot" w:pos="8296"/>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"_Toc213666496" </w:instrText>
          </w:r>
          <w:r>
            <w:fldChar w:fldCharType="separate"/>
          </w:r>
          <w:r>
            <w:rPr>
              <w:rStyle w:val="14"/>
              <w:rFonts w:hint="eastAsia"/>
            </w:rPr>
            <w:t>3.1 事故调查报告中建议整改措施情况</w:t>
          </w:r>
          <w:r>
            <w:rPr>
              <w:rFonts w:hint="eastAsia"/>
            </w:rPr>
            <w:tab/>
          </w:r>
          <w:r>
            <w:rPr>
              <w:rFonts w:hint="eastAsia"/>
            </w:rPr>
            <w:fldChar w:fldCharType="begin"/>
          </w:r>
          <w:r>
            <w:rPr>
              <w:rFonts w:hint="eastAsia"/>
            </w:rPr>
            <w:instrText xml:space="preserve"> </w:instrText>
          </w:r>
          <w:r>
            <w:instrText xml:space="preserve">PAGEREF _Toc213666496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1646D0D">
          <w:pPr>
            <w:pStyle w:val="10"/>
            <w:tabs>
              <w:tab w:val="right" w:leader="dot" w:pos="8296"/>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"_Toc213666497" </w:instrText>
          </w:r>
          <w:r>
            <w:fldChar w:fldCharType="separate"/>
          </w:r>
          <w:r>
            <w:rPr>
              <w:rStyle w:val="14"/>
              <w:rFonts w:hint="eastAsia"/>
            </w:rPr>
            <w:t>3.2 事故调查报告整改建议落实情况</w:t>
          </w:r>
          <w:r>
            <w:rPr>
              <w:rFonts w:hint="eastAsia"/>
            </w:rPr>
            <w:tab/>
          </w:r>
          <w:r>
            <w:rPr>
              <w:rFonts w:hint="eastAsia"/>
            </w:rPr>
            <w:fldChar w:fldCharType="begin"/>
          </w:r>
          <w:r>
            <w:rPr>
              <w:rFonts w:hint="eastAsia"/>
            </w:rPr>
            <w:instrText xml:space="preserve"> </w:instrText>
          </w:r>
          <w:r>
            <w:instrText xml:space="preserve">PAGEREF _Toc213666497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1B0C5CA">
          <w:pPr>
            <w:pStyle w:val="9"/>
            <w:tabs>
              <w:tab w:val="right" w:leader="dot" w:pos="8296"/>
            </w:tabs>
            <w:spacing w:line="360" w:lineRule="auto"/>
            <w:rPr>
              <w:rFonts w:asciiTheme="minorHAnsi" w:hAnsiTheme="minorHAnsi" w:eastAsiaTheme="minorEastAsia" w:cstheme="minorBidi"/>
              <w:b w:val="0"/>
              <w:sz w:val="22"/>
              <w:szCs w:val="24"/>
              <w14:ligatures w14:val="standardContextual"/>
            </w:rPr>
          </w:pPr>
          <w:r>
            <w:fldChar w:fldCharType="begin"/>
          </w:r>
          <w:r>
            <w:instrText xml:space="preserve"> HYPERLINK \l "_Toc213666498" </w:instrText>
          </w:r>
          <w:r>
            <w:fldChar w:fldCharType="separate"/>
          </w:r>
          <w:r>
            <w:rPr>
              <w:rStyle w:val="14"/>
              <w:rFonts w:hint="eastAsia"/>
            </w:rPr>
            <w:t>4 评估意见</w:t>
          </w:r>
          <w:r>
            <w:rPr>
              <w:rFonts w:hint="eastAsia"/>
            </w:rPr>
            <w:tab/>
          </w:r>
          <w:r>
            <w:rPr>
              <w:rFonts w:hint="eastAsia"/>
            </w:rPr>
            <w:fldChar w:fldCharType="begin"/>
          </w:r>
          <w:r>
            <w:rPr>
              <w:rFonts w:hint="eastAsia"/>
            </w:rPr>
            <w:instrText xml:space="preserve"> </w:instrText>
          </w:r>
          <w:r>
            <w:instrText xml:space="preserve">PAGEREF _Toc213666498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53544902">
          <w:pPr>
            <w:pStyle w:val="10"/>
            <w:tabs>
              <w:tab w:val="right" w:leader="dot" w:pos="8296"/>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"_Toc213666499" </w:instrText>
          </w:r>
          <w:r>
            <w:fldChar w:fldCharType="separate"/>
          </w:r>
          <w:r>
            <w:rPr>
              <w:rStyle w:val="14"/>
              <w:rFonts w:hint="eastAsia"/>
            </w:rPr>
            <w:t>4.1 评估总体意见</w:t>
          </w:r>
          <w:r>
            <w:rPr>
              <w:rFonts w:hint="eastAsia"/>
            </w:rPr>
            <w:tab/>
          </w:r>
          <w:r>
            <w:rPr>
              <w:rFonts w:hint="eastAsia"/>
            </w:rPr>
            <w:fldChar w:fldCharType="begin"/>
          </w:r>
          <w:r>
            <w:rPr>
              <w:rFonts w:hint="eastAsia"/>
            </w:rPr>
            <w:instrText xml:space="preserve"> </w:instrText>
          </w:r>
          <w:r>
            <w:instrText xml:space="preserve">PAGEREF _Toc213666499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0BD3A61">
          <w:pPr>
            <w:pStyle w:val="10"/>
            <w:tabs>
              <w:tab w:val="right" w:leader="dot" w:pos="8296"/>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"_Toc213666500" </w:instrText>
          </w:r>
          <w:r>
            <w:fldChar w:fldCharType="separate"/>
          </w:r>
          <w:r>
            <w:rPr>
              <w:rStyle w:val="14"/>
              <w:rFonts w:hint="eastAsia"/>
            </w:rPr>
            <w:t>4.2 专家现场意见</w:t>
          </w:r>
          <w:r>
            <w:rPr>
              <w:rFonts w:hint="eastAsia"/>
            </w:rPr>
            <w:tab/>
          </w:r>
          <w:r>
            <w:rPr>
              <w:rFonts w:hint="eastAsia"/>
            </w:rPr>
            <w:fldChar w:fldCharType="begin"/>
          </w:r>
          <w:r>
            <w:rPr>
              <w:rFonts w:hint="eastAsia"/>
            </w:rPr>
            <w:instrText xml:space="preserve"> </w:instrText>
          </w:r>
          <w:r>
            <w:instrText xml:space="preserve">PAGEREF _Toc213666500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9BE5BCD">
          <w:pPr>
            <w:pStyle w:val="10"/>
            <w:tabs>
              <w:tab w:val="right" w:leader="dot" w:pos="8296"/>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"_Toc213666501" </w:instrText>
          </w:r>
          <w:r>
            <w:fldChar w:fldCharType="separate"/>
          </w:r>
          <w:r>
            <w:rPr>
              <w:rStyle w:val="14"/>
              <w:rFonts w:hint="eastAsia"/>
            </w:rPr>
            <w:t>4.3 评估结论</w:t>
          </w:r>
          <w:r>
            <w:rPr>
              <w:rFonts w:hint="eastAsia"/>
            </w:rPr>
            <w:tab/>
          </w:r>
          <w:r>
            <w:rPr>
              <w:rFonts w:hint="eastAsia"/>
            </w:rPr>
            <w:fldChar w:fldCharType="begin"/>
          </w:r>
          <w:r>
            <w:rPr>
              <w:rFonts w:hint="eastAsia"/>
            </w:rPr>
            <w:instrText xml:space="preserve"> </w:instrText>
          </w:r>
          <w:r>
            <w:instrText xml:space="preserve">PAGEREF _Toc213666501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A68AF12">
          <w:pPr>
            <w:pStyle w:val="9"/>
            <w:tabs>
              <w:tab w:val="right" w:leader="dot" w:pos="8296"/>
            </w:tabs>
            <w:spacing w:line="360" w:lineRule="auto"/>
            <w:rPr>
              <w:rFonts w:asciiTheme="minorHAnsi" w:hAnsiTheme="minorHAnsi" w:eastAsiaTheme="minorEastAsia" w:cstheme="minorBidi"/>
              <w:b w:val="0"/>
              <w:sz w:val="22"/>
              <w:szCs w:val="24"/>
              <w14:ligatures w14:val="standardContextual"/>
            </w:rPr>
          </w:pPr>
          <w:bookmarkStart w:id="28" w:name="_GoBack"/>
          <w:bookmarkEnd w:id="28"/>
        </w:p>
        <w:p w14:paraId="024E14B3">
          <w:pPr>
            <w:topLinePunct/>
            <w:snapToGrid w:val="0"/>
            <w:spacing w:after="312" w:afterLines="100"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mallCaps/>
              <w:sz w:val="32"/>
              <w:szCs w:val="32"/>
            </w:rPr>
            <w:fldChar w:fldCharType="end"/>
          </w:r>
        </w:p>
      </w:sdtContent>
    </w:sdt>
    <w:p w14:paraId="76E409BD">
      <w:pPr>
        <w:pStyle w:val="3"/>
        <w:rPr>
          <w:rFonts w:ascii="Times New Roman" w:hAnsi="Times New Roman"/>
          <w:szCs w:val="24"/>
          <w:u w:val="single"/>
        </w:rPr>
        <w:sectPr>
          <w:footerReference r:id="rId6" w:type="default"/>
          <w:pgSz w:w="11906" w:h="16838"/>
          <w:pgMar w:top="1440" w:right="1800" w:bottom="1440" w:left="1800" w:header="851" w:footer="992" w:gutter="0"/>
          <w:pgNumType w:start="1"/>
          <w:cols w:space="425" w:num="1"/>
          <w:docGrid w:type="lines" w:linePitch="312" w:charSpace="0"/>
        </w:sectPr>
      </w:pPr>
      <w:bookmarkStart w:id="2" w:name="_Toc19645"/>
      <w:bookmarkStart w:id="3" w:name="_Toc146532263"/>
    </w:p>
    <w:p w14:paraId="092E66F0">
      <w:pPr>
        <w:pStyle w:val="2"/>
      </w:pPr>
      <w:bookmarkStart w:id="4" w:name="_Toc213666486"/>
      <w:r>
        <w:rPr>
          <w:rFonts w:hint="eastAsia"/>
        </w:rPr>
        <w:t>1 编制说明</w:t>
      </w:r>
      <w:bookmarkEnd w:id="2"/>
      <w:bookmarkEnd w:id="3"/>
      <w:bookmarkEnd w:id="4"/>
    </w:p>
    <w:p w14:paraId="4A1484C8">
      <w:pPr>
        <w:pStyle w:val="3"/>
      </w:pPr>
      <w:bookmarkStart w:id="5" w:name="_Toc213666487"/>
      <w:r>
        <w:rPr>
          <w:rFonts w:hint="eastAsia"/>
        </w:rPr>
        <w:t>1.1 评估目的及意义</w:t>
      </w:r>
      <w:bookmarkEnd w:id="5"/>
    </w:p>
    <w:p w14:paraId="4C3F550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切实加强安全生产工作，深入贯彻落实《国务院办公厅关于加强安全生产监管执法的通知》（国办发〔2015〕20号）、《北京市生产安全事故责任追究和整改措施落实情况评估办法》（京安发﹝2016﹞1号）、《大兴区2025年生产安全事故整改和防范措施落实情况评估工作方案》等文件精神，特开展此项工作。</w:t>
      </w:r>
    </w:p>
    <w:p w14:paraId="0EEBB4A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通过开展生产安全事故责任追究和整改措施落实情况评估工作，以实现有效督促事故发生单位生产安全事故整改措施和处理意见的落实，督促其深刻汲取事故教训；进一步强化事故发生单位安全生产主体责任，督促其对安全生产违法行为进行整改、对事故隐患进行排查和治理；进一步全面排查事故发生单位存在的安全风险和事故隐患，摸清事故发生单位的安全生产现状；进一步完善事故调查处理机制，提高企业的安全生产管理水平和有关部门的安全生产监管能力。</w:t>
      </w:r>
    </w:p>
    <w:p w14:paraId="7F94E99A">
      <w:pPr>
        <w:pStyle w:val="3"/>
      </w:pPr>
      <w:bookmarkStart w:id="6" w:name="_Toc213666488"/>
      <w:r>
        <w:rPr>
          <w:rFonts w:hint="eastAsia"/>
        </w:rPr>
        <w:t>1.2 评估对象及范围</w:t>
      </w:r>
      <w:bookmarkEnd w:id="6"/>
    </w:p>
    <w:p w14:paraId="7B3E9A6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本次事故责任追究和整改措施落实情况评估的对象：</w:t>
      </w:r>
      <w:bookmarkStart w:id="7" w:name="_Hlk212801684"/>
      <w:r>
        <w:rPr>
          <w:rFonts w:hint="eastAsia" w:asciiTheme="minorEastAsia" w:hAnsiTheme="minorEastAsia" w:eastAsiaTheme="minorEastAsia"/>
          <w:sz w:val="24"/>
          <w:szCs w:val="24"/>
        </w:rPr>
        <w:t>北京大兴瀛坤路道路工程“11•20”</w:t>
      </w:r>
      <w:bookmarkEnd w:id="7"/>
      <w:r>
        <w:rPr>
          <w:rFonts w:hint="eastAsia" w:asciiTheme="minorEastAsia" w:hAnsiTheme="minorEastAsia" w:eastAsiaTheme="minorEastAsia"/>
          <w:sz w:val="24"/>
          <w:szCs w:val="24"/>
        </w:rPr>
        <w:t>一般生产安全事故责任单位及相关人员。</w:t>
      </w:r>
    </w:p>
    <w:p w14:paraId="3AD9932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评估的范围：政府相关部门针对《北京大兴瀛坤路道路工程“11•20”一般车辆伤害事故调查报告》中所提出的对事故责任单位及相关人员行政处罚处理落实情况，以及事故责任单位对所提出的整改措施的落实情况等。</w:t>
      </w:r>
    </w:p>
    <w:p w14:paraId="76E0D8D8">
      <w:pPr>
        <w:pStyle w:val="3"/>
      </w:pPr>
      <w:bookmarkStart w:id="8" w:name="_Toc213666489"/>
      <w:r>
        <w:rPr>
          <w:rFonts w:hint="eastAsia"/>
        </w:rPr>
        <w:t>1.3 评估程序和评估方法</w:t>
      </w:r>
      <w:bookmarkEnd w:id="8"/>
    </w:p>
    <w:p w14:paraId="78AFA2BF">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1.3.1评估程序</w:t>
      </w:r>
    </w:p>
    <w:p w14:paraId="0F07424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北京大兴瀛坤路道路工程“11•20”一般生产安全事故责任追究和整改措施落实评估程序主要包括：现场评估调查准备（前期准备）；现场评估调查实施（包括：首次会、调查评估）；评估调查总结论证；编制评估报告。</w:t>
      </w:r>
    </w:p>
    <w:p w14:paraId="0662F55C">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1.3.2评估方法</w:t>
      </w:r>
    </w:p>
    <w:p w14:paraId="5654ACD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本次评估评估组主要通过以下方式方法开展工作</w:t>
      </w:r>
    </w:p>
    <w:p w14:paraId="03E36D4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（1）通过深入事故发生单位生产现场，采取现场踏勘排查、调阅资料、听取汇报和询问等方式进行；</w:t>
      </w:r>
    </w:p>
    <w:p w14:paraId="41925FF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（2）评估组人员通过听取事故发生单位事故发生后安全生产管理工作情况的汇报，并向事故相关人员询问了解、核查事故发生后整改措施落实情况；</w:t>
      </w:r>
    </w:p>
    <w:p w14:paraId="0A89C41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（3）以现场检查为主，真实反映事故发生单位的安全生产工作情况；</w:t>
      </w:r>
    </w:p>
    <w:p w14:paraId="2254BF0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（4）评估人员做好全程记录，必要时制作现场检查记录，记录内容包括时间、地点、检查内容、事故隐患或存在的问题等。</w:t>
      </w:r>
    </w:p>
    <w:p w14:paraId="7E06A660">
      <w:pPr>
        <w:pStyle w:val="3"/>
      </w:pPr>
      <w:bookmarkStart w:id="9" w:name="_Toc213666490"/>
      <w:r>
        <w:rPr>
          <w:rFonts w:hint="eastAsia"/>
        </w:rPr>
        <w:t>1.4 组织评估和开展评估</w:t>
      </w:r>
      <w:bookmarkEnd w:id="9"/>
    </w:p>
    <w:p w14:paraId="67313235">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1.4.1组织评估</w:t>
      </w:r>
    </w:p>
    <w:p w14:paraId="586653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本次评估过程中，北京天恒安科集团有限公司（以下简称：天恒安科）在北京市大兴区应急管理局主导下，组织技术人员组成综合评估组（以下简称：评估组），对北京大兴瀛坤路道路工程“11•20”一般生产安全事故责任追究和整改措施落实情况进行了全面评估。</w:t>
      </w:r>
    </w:p>
    <w:p w14:paraId="0B4DF465">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1.4.2开展评估</w:t>
      </w:r>
    </w:p>
    <w:p w14:paraId="71971D0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评估组严格执行《大兴区2025年生产安全事故整改和防范措施落实情况评估工作方案》的有关规定，认真研读了《</w:t>
      </w:r>
      <w:bookmarkStart w:id="10" w:name="_Hlk212802032"/>
      <w:r>
        <w:rPr>
          <w:rFonts w:hint="eastAsia" w:asciiTheme="minorEastAsia" w:hAnsiTheme="minorEastAsia" w:eastAsiaTheme="minorEastAsia"/>
          <w:sz w:val="24"/>
          <w:szCs w:val="24"/>
        </w:rPr>
        <w:t>北京大兴瀛坤路道路工程“11•20”</w:t>
      </w:r>
      <w:bookmarkEnd w:id="10"/>
      <w:r>
        <w:rPr>
          <w:rFonts w:hint="eastAsia" w:asciiTheme="minorEastAsia" w:hAnsiTheme="minorEastAsia" w:eastAsiaTheme="minorEastAsia"/>
          <w:sz w:val="24"/>
          <w:szCs w:val="24"/>
        </w:rPr>
        <w:t>一般车辆伤害事故调查报告》，评估组采取听取汇报、调阅事故原始档案、现场核查及询问等方法，深入事故发生单位现场开展评估工作。听取了事故责任单位的事故整改情况报告，对北京大兴瀛坤路道路工程“11•20”一般生产安全事故责任追究和整改措施落实情况进行了逐一梳理和核实，同时，对事故单位整改措施落实情况开展了现场评估检查，对评估过程中发现的问题，当即与事故相关单位进行了沟通，并向北京市大兴区应急管理局进行了反馈，要求企业立即组织整改。</w:t>
      </w:r>
    </w:p>
    <w:p w14:paraId="280C868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估组召开全体成员会议，经充分讨论，形成评估意见。最终天恒安科汇总评估组对事故责任单位、事故责任人员责任追究落实情况、事故发生单位整改措施落实情况等编写完成《北京大兴瀛坤路道路工程“11•20”一般生产安全事故责任追究和整改措施落实情况评估报告》。</w:t>
      </w:r>
    </w:p>
    <w:p w14:paraId="37E70EC8">
      <w:pPr>
        <w:pStyle w:val="3"/>
      </w:pPr>
      <w:bookmarkStart w:id="11" w:name="_Toc213666491"/>
      <w:r>
        <w:rPr>
          <w:rFonts w:hint="eastAsia"/>
        </w:rPr>
        <w:t>1.5 评估依据</w:t>
      </w:r>
      <w:bookmarkEnd w:id="11"/>
    </w:p>
    <w:p w14:paraId="1DB78F5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北京大兴瀛坤路道路工程“11•20”一般生产安全事故责任追究和整改措施落实情况评估工作，主要依据《北京大兴瀛坤路道路工程“11•20”一般车辆伤害事故调查报告》及相关的国家法律法规及标准。</w:t>
      </w:r>
    </w:p>
    <w:p w14:paraId="37F6FB77">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1.5.1法律法规</w:t>
      </w:r>
    </w:p>
    <w:p w14:paraId="0FEA3EB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（1）《中华人民共和国安全生产法》</w:t>
      </w:r>
      <w:r>
        <w:rPr>
          <w:rFonts w:asciiTheme="minorEastAsia" w:hAnsiTheme="minorEastAsia" w:eastAsiaTheme="minorEastAsia"/>
          <w:sz w:val="24"/>
          <w:szCs w:val="24"/>
        </w:rPr>
        <w:t>（国家主席令〔2021〕第八十八号修订，自2021年9月1日起施行）</w:t>
      </w:r>
    </w:p>
    <w:p w14:paraId="09517C8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（2）《中华人民共和国消防法》</w:t>
      </w:r>
      <w:r>
        <w:rPr>
          <w:rFonts w:ascii="Times New Roman" w:hAnsi="Times New Roman"/>
          <w:sz w:val="24"/>
        </w:rPr>
        <w:t>（国家主席令〔1998〕第四号，国家主席令〔2021〕第八十一修正，自2021年4月29日起施行）</w:t>
      </w:r>
    </w:p>
    <w:p w14:paraId="0BBE3C0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（3）《生产安全事故报告和调查处理条例》（中华人民共和国国务院令[2007]第493号）</w:t>
      </w:r>
    </w:p>
    <w:p w14:paraId="6EEE6CE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（4）《生产经营单位安全培训规定》（原国家安全生产监督管理总局令第3号）</w:t>
      </w:r>
    </w:p>
    <w:p w14:paraId="28E6387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（5）《特种作业人员安全技术培训考核管理规定》（原国家安全生产监督管理总局令第30号）</w:t>
      </w:r>
    </w:p>
    <w:p w14:paraId="0625B89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（6）《安全生产培训管理办法》（原国家安全生产监督管理总局令第80号）</w:t>
      </w:r>
    </w:p>
    <w:p w14:paraId="6B61A99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（7）《生产安全事故应急预案管理办法》（应急管理部令第2号）</w:t>
      </w:r>
    </w:p>
    <w:p w14:paraId="6174E61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（8）《建设项目安全设施“三同时”监督管理办法》（原国家安全生产监督管理总局令第36号，</w:t>
      </w:r>
      <w:r>
        <w:rPr>
          <w:rFonts w:ascii="Times New Roman" w:hAnsi="Times New Roman"/>
          <w:sz w:val="24"/>
          <w:szCs w:val="24"/>
        </w:rPr>
        <w:t>原国家安全生产监督管理总局令第77号修订</w:t>
      </w:r>
      <w:r>
        <w:rPr>
          <w:rFonts w:hint="eastAsia" w:asciiTheme="minorEastAsia" w:hAnsiTheme="minorEastAsia" w:eastAsiaTheme="minorEastAsia"/>
          <w:sz w:val="24"/>
          <w:szCs w:val="24"/>
        </w:rPr>
        <w:t>）</w:t>
      </w:r>
    </w:p>
    <w:p w14:paraId="5B353B3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（9）《安全生产事故隐患排查治理暂行规定》（原国家安全生产监督管理总局令第16号）</w:t>
      </w:r>
    </w:p>
    <w:p w14:paraId="16126C63">
      <w:pPr>
        <w:spacing w:line="360" w:lineRule="auto"/>
        <w:ind w:firstLine="480" w:firstLineChars="200"/>
        <w:rPr>
          <w:rFonts w:ascii="Times New Roman" w:hAnsi="Times New Roman"/>
          <w:sz w:val="24"/>
          <w:szCs w:val="28"/>
        </w:rPr>
      </w:pPr>
      <w:r>
        <w:rPr>
          <w:rFonts w:hint="eastAsia" w:asciiTheme="minorEastAsia" w:hAnsiTheme="minorEastAsia" w:eastAsiaTheme="minorEastAsia"/>
          <w:sz w:val="24"/>
          <w:szCs w:val="24"/>
        </w:rPr>
        <w:t>（10）《北京市安全生产条例》</w:t>
      </w:r>
      <w:r>
        <w:rPr>
          <w:rFonts w:ascii="Times New Roman" w:hAnsi="Times New Roman"/>
          <w:sz w:val="24"/>
          <w:szCs w:val="28"/>
        </w:rPr>
        <w:t>（北京市人民代表大会常务委员会公告〔十五届〕第77号）</w:t>
      </w:r>
    </w:p>
    <w:p w14:paraId="76E3819C">
      <w:pPr>
        <w:spacing w:line="360" w:lineRule="auto"/>
        <w:ind w:firstLine="480" w:firstLineChars="200"/>
        <w:rPr>
          <w:rFonts w:ascii="Times New Roman" w:hAnsi="Times New Roman" w:eastAsiaTheme="minorEastAsia"/>
          <w:sz w:val="24"/>
          <w:szCs w:val="24"/>
        </w:rPr>
      </w:pPr>
      <w:r>
        <w:rPr>
          <w:rFonts w:hint="eastAsia" w:asciiTheme="minorEastAsia" w:hAnsiTheme="minorEastAsia" w:eastAsiaTheme="minorEastAsia"/>
          <w:sz w:val="24"/>
          <w:szCs w:val="24"/>
        </w:rPr>
        <w:t>（11）《北京市消防条例》</w:t>
      </w:r>
      <w:r>
        <w:rPr>
          <w:rFonts w:ascii="Times New Roman" w:hAnsi="Times New Roman"/>
          <w:sz w:val="24"/>
          <w:szCs w:val="24"/>
        </w:rPr>
        <w:t>（</w:t>
      </w:r>
      <w:r>
        <w:rPr>
          <w:rFonts w:hint="eastAsia" w:ascii="Times New Roman" w:hAnsi="Times New Roman"/>
          <w:sz w:val="24"/>
          <w:szCs w:val="24"/>
        </w:rPr>
        <w:t>2025年3月26日北京市第十六届</w:t>
      </w:r>
      <w:r>
        <w:rPr>
          <w:rFonts w:ascii="Times New Roman" w:hAnsi="Times New Roman"/>
          <w:sz w:val="24"/>
          <w:szCs w:val="24"/>
        </w:rPr>
        <w:t>人民代表大会常务委员会第</w:t>
      </w:r>
      <w:r>
        <w:rPr>
          <w:rFonts w:hint="eastAsia" w:ascii="Times New Roman" w:hAnsi="Times New Roman"/>
          <w:sz w:val="24"/>
          <w:szCs w:val="24"/>
        </w:rPr>
        <w:t>十六次会议第三次修订</w:t>
      </w:r>
      <w:r>
        <w:rPr>
          <w:rFonts w:ascii="Times New Roman" w:hAnsi="Times New Roman"/>
          <w:sz w:val="24"/>
          <w:szCs w:val="24"/>
        </w:rPr>
        <w:t>）</w:t>
      </w:r>
    </w:p>
    <w:p w14:paraId="2B69602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（12）《北京市生产安全事故隐患排查治理办法》（北京市人民政府令第266号）</w:t>
      </w:r>
    </w:p>
    <w:p w14:paraId="33B7E0D7">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1.5.2标准规范</w:t>
      </w:r>
    </w:p>
    <w:p w14:paraId="1AB34FE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（1）《建筑工程施工现场安全资料管理规程》（DB11/T383-2023）</w:t>
      </w:r>
    </w:p>
    <w:p w14:paraId="512296B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（2）《建设工程施工现场供用电安全规范》（GB50194-2014）</w:t>
      </w:r>
    </w:p>
    <w:p w14:paraId="1A72FF8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（3）《施工现场临时用电安全技术规范》（JGJ46-2005）</w:t>
      </w:r>
    </w:p>
    <w:p w14:paraId="72BFAA5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（4）《建设工程施工现场安全防护、场容卫生及消防保卫标准 第1部分：通则》（DB11/T945.1-2023）</w:t>
      </w:r>
    </w:p>
    <w:p w14:paraId="49578BA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（5）《建筑施工高处作业安全技术规范》（JGJ80-2016）</w:t>
      </w:r>
    </w:p>
    <w:p w14:paraId="6C51F0C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（6）《建筑施工扣件式钢管脚手架安全技术规范》（JGJ130-2011）</w:t>
      </w:r>
    </w:p>
    <w:p w14:paraId="447BE44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（7）《建筑施工碗扣式钢管脚手架安全技术规范》（JGJ 166-2016）</w:t>
      </w:r>
    </w:p>
    <w:p w14:paraId="73BD379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（8）《建筑施工工具式脚手架安全技术规范》（JGJ202-2010）</w:t>
      </w:r>
    </w:p>
    <w:p w14:paraId="1717CF9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（9）《建设工程施工现场环境与卫生标准》（JGJ146-2013）</w:t>
      </w:r>
    </w:p>
    <w:p w14:paraId="00318FA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（10）《建筑施工门式钢管脚手架安全技术标准》（JGJ/T128-2019）</w:t>
      </w:r>
    </w:p>
    <w:p w14:paraId="09B809F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（11）《建筑施工承插型盘扣式钢管脚手架安全技术标准》（JGJ/T 231-2021）</w:t>
      </w:r>
    </w:p>
    <w:p w14:paraId="351D901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（12）《绿色施工管理规程》（DB11/T513-2018）</w:t>
      </w:r>
    </w:p>
    <w:p w14:paraId="7D19AF2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（13）《建设工程施工现场生活区设置和管理规范》（DB11/T1132-2014）</w:t>
      </w:r>
    </w:p>
    <w:p w14:paraId="3620273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w:t>
      </w:r>
      <w:r>
        <w:rPr>
          <w:rFonts w:hint="eastAsia" w:ascii="Times New Roman" w:hAnsi="Times New Roman"/>
          <w:sz w:val="24"/>
          <w:szCs w:val="28"/>
        </w:rPr>
        <w:t>《有限空间作业安全技术规范》（</w:t>
      </w:r>
      <w:r>
        <w:rPr>
          <w:rFonts w:hint="eastAsia" w:asciiTheme="minorEastAsia" w:hAnsiTheme="minorEastAsia" w:eastAsiaTheme="minorEastAsia"/>
          <w:sz w:val="24"/>
          <w:szCs w:val="24"/>
        </w:rPr>
        <w:t>DB11/T 852-2019</w:t>
      </w:r>
      <w:r>
        <w:rPr>
          <w:rFonts w:hint="eastAsia" w:ascii="Times New Roman" w:hAnsi="Times New Roman"/>
          <w:sz w:val="24"/>
          <w:szCs w:val="28"/>
        </w:rPr>
        <w:t>）</w:t>
      </w:r>
    </w:p>
    <w:p w14:paraId="539E1819">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1.5.3其他资料</w:t>
      </w:r>
    </w:p>
    <w:p w14:paraId="7405E13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bookmarkStart w:id="12" w:name="_Hlk212814578"/>
      <w:r>
        <w:rPr>
          <w:rFonts w:hint="eastAsia" w:asciiTheme="minorEastAsia" w:hAnsiTheme="minorEastAsia" w:eastAsiaTheme="minorEastAsia"/>
          <w:sz w:val="24"/>
          <w:szCs w:val="24"/>
        </w:rPr>
        <w:t>北京大兴瀛坤路道路工程“11•20”一般车辆伤害事故调查报告</w:t>
      </w:r>
      <w:bookmarkEnd w:id="12"/>
      <w:r>
        <w:rPr>
          <w:rFonts w:hint="eastAsia" w:asciiTheme="minorEastAsia" w:hAnsiTheme="minorEastAsia" w:eastAsiaTheme="minorEastAsia"/>
          <w:sz w:val="24"/>
          <w:szCs w:val="24"/>
        </w:rPr>
        <w:t>》</w:t>
      </w:r>
    </w:p>
    <w:p w14:paraId="639C6D3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（2）《大兴区2025年生产安全事故整改和防范措施落实情况评估工作方案》</w:t>
      </w:r>
    </w:p>
    <w:p w14:paraId="51B1BFE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（3）北京市大兴区瀛海镇人民政府其他相关资料</w:t>
      </w:r>
    </w:p>
    <w:p w14:paraId="49DB276D">
      <w:pPr>
        <w:pStyle w:val="2"/>
      </w:pPr>
      <w:bookmarkStart w:id="13" w:name="_Toc23407"/>
      <w:bookmarkStart w:id="14" w:name="_Toc213666492"/>
      <w:r>
        <w:rPr>
          <w:rFonts w:hint="eastAsia"/>
        </w:rPr>
        <w:t>2 事故责任单位及人员责任追究落实情况</w:t>
      </w:r>
      <w:bookmarkEnd w:id="13"/>
      <w:bookmarkEnd w:id="14"/>
    </w:p>
    <w:p w14:paraId="62816D9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北京大兴瀛坤路道路工程“11•20”一般生产安全事故发生后，事故联合调查组对事故进行了全面调查，并出具了《北京大兴瀛坤路道路工程“11•20”一般车辆伤害事故调查报告》（见附件1）。</w:t>
      </w:r>
    </w:p>
    <w:p w14:paraId="495E6345">
      <w:pPr>
        <w:spacing w:line="360" w:lineRule="auto"/>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各部门按照上述文件的要求，对事故责任单位和责任人员落实了责任追究措施。北京市大兴区应急管理局已落实事故调查报告提出的行政处罚处理建议，事故责任单位已落实对事故责任人员的处分。详细评估过程如下。</w:t>
      </w:r>
    </w:p>
    <w:p w14:paraId="4FF7ED1E">
      <w:pPr>
        <w:pStyle w:val="3"/>
      </w:pPr>
      <w:bookmarkStart w:id="15" w:name="_Toc213666493"/>
      <w:r>
        <w:rPr>
          <w:rFonts w:hint="eastAsia"/>
        </w:rPr>
        <w:t>2.1 事故责任单位责任追究落实情况</w:t>
      </w:r>
      <w:bookmarkEnd w:id="15"/>
    </w:p>
    <w:p w14:paraId="29A3FF0D">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2.1.1 事故调查报告中对责任单位追究建议情况</w:t>
      </w:r>
    </w:p>
    <w:p w14:paraId="20671AB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经区应急管理局调查，成业市政公司，未按法律法规要求进行教育培训；未按规定与天地通达公司签订安全生产管理协议；未采取技术措施、管理措施及时发现并消除事故隐患；恢复施工后成业市政公司未按规定设置项目经理、未按要求设置车辆调度与指挥人员，对事故发生负有责任。区应急管理局依据《中华人民共和国安全生产法》第一百一十四条第一款第（一）项的规定，拟对其处以三十万元以上一百万元以下罚款的行政处罚。</w:t>
      </w:r>
    </w:p>
    <w:p w14:paraId="34F2C51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（2）经区应急管理局调查，汇瀛恒业公司，未按规定在恢复施工前报发证机关核验施工许可证，建议由区住房城乡建设委依据相关法律法规，对该单位作出相应处理。</w:t>
      </w:r>
    </w:p>
    <w:p w14:paraId="77BBCF8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（3）经区应急管理局调查，天地通达公司，作为道路货物运输单位，其主要负责人和安全管理人员均未通过安全考核，建议由通州区政府组织相关部门依据相关法律法规，对该单位作出相应处理。</w:t>
      </w:r>
    </w:p>
    <w:p w14:paraId="6C70A92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（4）磐石监理公司事发项目监理部，恢复施工后，对施工单位管理机构人员配置监理不严、不细，建议由磐石监理公司依据本单位规章制度对其作出相应处理。</w:t>
      </w:r>
    </w:p>
    <w:p w14:paraId="35EE274D">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2.1.2 事故调查报告追究责任单位落实情况</w:t>
      </w:r>
    </w:p>
    <w:p w14:paraId="2E10373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Cs/>
          <w:sz w:val="24"/>
          <w:szCs w:val="24"/>
        </w:rPr>
        <w:t>北京市大兴区应急管理局</w:t>
      </w:r>
      <w:r>
        <w:rPr>
          <w:rFonts w:hint="eastAsia" w:asciiTheme="minorEastAsia" w:hAnsiTheme="minorEastAsia" w:eastAsiaTheme="minorEastAsia"/>
          <w:sz w:val="24"/>
          <w:szCs w:val="24"/>
        </w:rPr>
        <w:t>对成业市政公司，依据《中华人民共和国安全生产法》第一百一十四条第一款第（一）项的规定，对该单位处以人民币陆万伍仟元整的行政处罚，</w:t>
      </w:r>
      <w:r>
        <w:rPr>
          <w:rFonts w:hint="eastAsia" w:ascii="Times New Roman" w:hAnsi="Times New Roman" w:eastAsiaTheme="minorEastAsia"/>
          <w:sz w:val="24"/>
          <w:szCs w:val="24"/>
        </w:rPr>
        <w:t>该单位罚款已缴纳，</w:t>
      </w:r>
      <w:r>
        <w:rPr>
          <w:rFonts w:hint="eastAsia" w:asciiTheme="minorEastAsia" w:hAnsiTheme="minorEastAsia" w:eastAsiaTheme="minorEastAsia"/>
          <w:sz w:val="24"/>
          <w:szCs w:val="24"/>
        </w:rPr>
        <w:t>详见非税收入一般缴款书</w:t>
      </w:r>
      <w:r>
        <w:rPr>
          <w:rFonts w:hint="eastAsia" w:asciiTheme="minorEastAsia" w:hAnsiTheme="minorEastAsia" w:eastAsiaTheme="minorEastAsia"/>
          <w:bCs/>
          <w:sz w:val="24"/>
          <w:szCs w:val="24"/>
        </w:rPr>
        <w:t>（附件2）</w:t>
      </w:r>
      <w:r>
        <w:rPr>
          <w:rFonts w:hint="eastAsia" w:asciiTheme="minorEastAsia" w:hAnsiTheme="minorEastAsia" w:eastAsiaTheme="minorEastAsia"/>
          <w:sz w:val="24"/>
          <w:szCs w:val="24"/>
        </w:rPr>
        <w:t>。</w:t>
      </w:r>
    </w:p>
    <w:p w14:paraId="0D6F1AAF">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Cs/>
          <w:sz w:val="24"/>
          <w:szCs w:val="24"/>
        </w:rPr>
        <w:t>区住房城乡建设委依据相关法律法规，对汇瀛恒业公司进行约谈通报。</w:t>
      </w:r>
    </w:p>
    <w:p w14:paraId="468BBE8C">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（3）通州区政府组织相关部门依据相关法律法规，对天地通达公司做出相应处理，因该企业属跨区企业，处理结果未获取。</w:t>
      </w:r>
    </w:p>
    <w:p w14:paraId="1BFAAC2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（4）</w:t>
      </w:r>
      <w:r>
        <w:rPr>
          <w:rFonts w:hint="eastAsia" w:asciiTheme="minorEastAsia" w:hAnsiTheme="minorEastAsia" w:eastAsiaTheme="minorEastAsia"/>
          <w:sz w:val="24"/>
          <w:szCs w:val="24"/>
        </w:rPr>
        <w:t>磐石监理公司依据本单位规章制度对其事发项目监理部作出相应处理。</w:t>
      </w:r>
    </w:p>
    <w:p w14:paraId="15221B3F">
      <w:pPr>
        <w:pStyle w:val="3"/>
      </w:pPr>
      <w:bookmarkStart w:id="16" w:name="_Toc213666494"/>
      <w:r>
        <w:rPr>
          <w:rFonts w:hint="eastAsia"/>
        </w:rPr>
        <w:t>2.2 事故责任人员责任追究落实情况</w:t>
      </w:r>
      <w:bookmarkEnd w:id="16"/>
    </w:p>
    <w:p w14:paraId="54AF7688">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2.2.1 事故调查报告中对责任人员追究建议情况</w:t>
      </w:r>
    </w:p>
    <w:p w14:paraId="6B71687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（1）张海春，事发货车驾驶员。涉嫌过失致人死亡罪，公安机关对其立案调查。</w:t>
      </w:r>
    </w:p>
    <w:p w14:paraId="692CD92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赵成，作为成业市政公司总经理，未督促、检查事发项目的安全生产工作，对事故发生负有管理责任。区应急管理局依据《中华人民共和国安全生产法》第九十五条的规定，拟对其处以上一年年收入百分之四十罚款的行政处罚。</w:t>
      </w:r>
    </w:p>
    <w:p w14:paraId="7D9E175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王要武，作为成业市政公司现场负责人，未认真检查事发施工项目的安全生产状况，未能及时排查事发作业现场事故隐患，对事故发生负有管理责任。区应急管理局依据《中华人民共和国安全生产法》第九十六条的规定，拟对其暂停或吊销与安全生产有关的资格，并处上一年年收入百分之二十以上百分之五十以下罚款的行政处罚。</w:t>
      </w:r>
    </w:p>
    <w:p w14:paraId="6E8056D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bookmarkStart w:id="17" w:name="_Hlk212814447"/>
      <w:r>
        <w:rPr>
          <w:rFonts w:hint="eastAsia" w:asciiTheme="minorEastAsia" w:hAnsiTheme="minorEastAsia" w:eastAsiaTheme="minorEastAsia"/>
          <w:sz w:val="24"/>
          <w:szCs w:val="24"/>
        </w:rPr>
        <w:t>瀛海镇党委委员、副镇长张凤河</w:t>
      </w:r>
      <w:bookmarkEnd w:id="17"/>
      <w:r>
        <w:rPr>
          <w:rFonts w:hint="eastAsia" w:asciiTheme="minorEastAsia" w:hAnsiTheme="minorEastAsia" w:eastAsiaTheme="minorEastAsia"/>
          <w:sz w:val="24"/>
          <w:szCs w:val="24"/>
        </w:rPr>
        <w:t>作为汇瀛恒业公司的分管领导，对事发施工项目手续履行方面涉嫌存在把关不严、指导不力的问题，事故调查组将此问题向区纪委区监委移交，由区纪委区监委另案处理。</w:t>
      </w:r>
    </w:p>
    <w:p w14:paraId="10AC8058">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2.2.2</w:t>
      </w:r>
      <w:r>
        <w:rPr>
          <w:rFonts w:hint="eastAsia"/>
          <w:b/>
        </w:rPr>
        <w:t xml:space="preserve"> </w:t>
      </w:r>
      <w:r>
        <w:rPr>
          <w:rFonts w:hint="eastAsia" w:asciiTheme="minorEastAsia" w:hAnsiTheme="minorEastAsia" w:eastAsiaTheme="minorEastAsia"/>
          <w:b/>
          <w:sz w:val="24"/>
          <w:szCs w:val="24"/>
        </w:rPr>
        <w:t xml:space="preserve"> 事故调查报告追究责任人员落实情况</w:t>
      </w:r>
    </w:p>
    <w:p w14:paraId="4DC604D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（1）张海春，事发货车驾驶员。犯过失致人死亡罪，判处有期徒刑一年，缓刑两年。</w:t>
      </w:r>
    </w:p>
    <w:p w14:paraId="7E1EA54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Cs/>
          <w:sz w:val="24"/>
          <w:szCs w:val="24"/>
        </w:rPr>
        <w:t>北京市大兴区应急管理局对成业市政公司总经理赵成，</w:t>
      </w:r>
      <w:r>
        <w:rPr>
          <w:rFonts w:hint="eastAsia" w:asciiTheme="minorEastAsia" w:hAnsiTheme="minorEastAsia" w:eastAsiaTheme="minorEastAsia"/>
          <w:sz w:val="24"/>
          <w:szCs w:val="24"/>
        </w:rPr>
        <w:t>依据《中华人民共和国安全生产法》第九十五条的规定，对其处叁万叁仟叁佰壹拾贰元罚款的行政处罚，其罚款已缴纳，详见非税收入一般缴款书（附件3）。</w:t>
      </w:r>
    </w:p>
    <w:p w14:paraId="1662A73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sz w:val="24"/>
          <w:szCs w:val="24"/>
        </w:rPr>
        <w:t>北京市大兴区应急管理局对</w:t>
      </w:r>
      <w:r>
        <w:rPr>
          <w:rFonts w:hint="eastAsia" w:asciiTheme="minorEastAsia" w:hAnsiTheme="minorEastAsia" w:eastAsiaTheme="minorEastAsia"/>
          <w:sz w:val="24"/>
          <w:szCs w:val="24"/>
        </w:rPr>
        <w:t>成业市政公司现场负责人王要武，依据《中华人民共和国安全生产法》第九十六条的规定，对其处壹万壹仟肆佰元罚款的行政处罚，其罚款已缴纳，详见非税收入一般缴款书（附件4）。</w:t>
      </w:r>
    </w:p>
    <w:p w14:paraId="022CBC2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（4）区纪委区监委对瀛海镇党委委员、副镇长张凤河立案调查，暂未出结果。</w:t>
      </w:r>
    </w:p>
    <w:p w14:paraId="3D4E50C4">
      <w:pPr>
        <w:pStyle w:val="2"/>
      </w:pPr>
      <w:bookmarkStart w:id="18" w:name="_Toc213666495"/>
      <w:bookmarkStart w:id="19" w:name="_Toc5690"/>
      <w:r>
        <w:rPr>
          <w:rFonts w:hint="eastAsia"/>
        </w:rPr>
        <w:t>3 事故责任单位整改措施落实情况</w:t>
      </w:r>
      <w:bookmarkEnd w:id="18"/>
      <w:bookmarkEnd w:id="19"/>
    </w:p>
    <w:p w14:paraId="3D685E68">
      <w:pPr>
        <w:spacing w:line="360" w:lineRule="auto"/>
        <w:ind w:firstLine="480" w:firstLineChars="200"/>
        <w:rPr>
          <w:rFonts w:asciiTheme="minorEastAsia" w:hAnsiTheme="minorEastAsia" w:eastAsiaTheme="minorEastAsia"/>
          <w:sz w:val="24"/>
          <w:szCs w:val="24"/>
        </w:rPr>
      </w:pPr>
      <w:bookmarkStart w:id="20" w:name="_Hlk213660562"/>
      <w:r>
        <w:rPr>
          <w:rFonts w:hint="eastAsia" w:asciiTheme="minorEastAsia" w:hAnsiTheme="minorEastAsia" w:eastAsiaTheme="minorEastAsia"/>
          <w:sz w:val="24"/>
          <w:szCs w:val="24"/>
        </w:rPr>
        <w:t>事故责任单位</w:t>
      </w:r>
      <w:bookmarkEnd w:id="20"/>
      <w:r>
        <w:rPr>
          <w:rFonts w:hint="eastAsia" w:asciiTheme="minorEastAsia" w:hAnsiTheme="minorEastAsia" w:eastAsiaTheme="minorEastAsia"/>
          <w:sz w:val="24"/>
          <w:szCs w:val="24"/>
        </w:rPr>
        <w:t>针对《北京大兴瀛坤路道路工程“11•20”一般生产安全事故调查报告》中提出的事故防范和整改措施建议，根据现场核实检查，已基本整改落实完成。</w:t>
      </w:r>
    </w:p>
    <w:p w14:paraId="734294F5">
      <w:pPr>
        <w:pStyle w:val="3"/>
      </w:pPr>
      <w:bookmarkStart w:id="21" w:name="_Toc213666496"/>
      <w:r>
        <w:rPr>
          <w:rFonts w:hint="eastAsia"/>
        </w:rPr>
        <w:t>3.1 事故调查报告中建议整改措施情况</w:t>
      </w:r>
      <w:bookmarkEnd w:id="21"/>
    </w:p>
    <w:p w14:paraId="1C0D809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为深刻汲取事故教训，防范和遏制类似事故发生，事故调查组提出以下整改和防范措施建议：</w:t>
      </w:r>
    </w:p>
    <w:p w14:paraId="1F2CC8E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（1）树牢安全发展理念</w:t>
      </w:r>
    </w:p>
    <w:p w14:paraId="5D20006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各单位要统筹做好发展和安全，将安全发展理念贯穿项目建设管理全过程。各单位、各部门要引以为戒，坚持发展和安全并重，实现高质量发展和高水平安全的良性互动。</w:t>
      </w:r>
    </w:p>
    <w:p w14:paraId="5327A8A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（2）提升防范化解风险意识</w:t>
      </w:r>
    </w:p>
    <w:p w14:paraId="6C2DDEA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各单位要从根本上强化风险意识和底线思维，认真研究风险隐患，切实提升辨识风险的能力，抓好项目安全管理工作，杜绝松懈心理。</w:t>
      </w:r>
    </w:p>
    <w:p w14:paraId="6A6EF36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（3）强化安全生产主体责任落实</w:t>
      </w:r>
    </w:p>
    <w:p w14:paraId="1A7A51E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各单位要落实安全生产主体责任，不仅是生产经营单位的法定义务，也是对员工生命安全和企业自身发展负责的体现。</w:t>
      </w:r>
    </w:p>
    <w:p w14:paraId="73F5E66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（4）严格安全监管</w:t>
      </w:r>
    </w:p>
    <w:p w14:paraId="32EE200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建议瀛海镇履行属地监管职能，对所属企业、镇域内建设项目进行有效监管。建议区住房城乡建设委严格建设工程施工许可管理，严厉打击非法施工，加强建设工程施工安全监管。</w:t>
      </w:r>
    </w:p>
    <w:p w14:paraId="672A4F16">
      <w:pPr>
        <w:pStyle w:val="3"/>
      </w:pPr>
      <w:bookmarkStart w:id="22" w:name="_Toc213666497"/>
      <w:r>
        <w:rPr>
          <w:rFonts w:hint="eastAsia"/>
        </w:rPr>
        <w:t>3.2 事故调查报告整改建议落实情况</w:t>
      </w:r>
      <w:bookmarkEnd w:id="22"/>
    </w:p>
    <w:p w14:paraId="428D076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（1）事故责任单位组织警示教育会议，深刻剖析事故教训，组织开展隐患排查工作，提高风险隐患排查整改质量。</w:t>
      </w:r>
    </w:p>
    <w:p w14:paraId="12790BD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（2）汇瀛恒业公司作为建设单位，严格履行工程建设项目备案、审批等手续，确保项目参建单位有制度、有措施。</w:t>
      </w:r>
    </w:p>
    <w:p w14:paraId="3223128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成业市政公司加强对从业人员进行安全生产教育培训；进一步强化对分包、供货单位的管理，明确职责和安全措施；加强对施工现场的管理，项目管理人员在岗在位盯紧施工全过程中的重要环节、重点施工、机械设备等施工作业；健全项目管理机构，设置有资质的管理人员，严格按规章制度、施工方案进行施工作业。</w:t>
      </w:r>
    </w:p>
    <w:p w14:paraId="3C1F580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（4）磐石监理公司严格按照法律、法规和工程建设强制性标准实施监理，切实履行监理职责，发现问题及时喊停、及时上报，督促施工单位落实主体责任。</w:t>
      </w:r>
    </w:p>
    <w:p w14:paraId="6091327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（5）天地通达公司强化了人员管理，定期组织专业培训，健全安全生产考核机制；公司主要负责人和管理人员具备从事相应岗位职责的知识储备和管理能力；对作业的运输车辆加装倒车雷达、倒车影像等装置。</w:t>
      </w:r>
    </w:p>
    <w:p w14:paraId="03610C8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瀛海镇认真吸取事故教训，强化督导检查，全面落实企业责任；提高检查效率，扫除盲区死角；采取多种措施，加强宣教培训；加强日常安全生产检查，将功夫下到平时；提高隐患排查专业水平，引入第三方机构，强化安全隐患排查与整改。</w:t>
      </w:r>
    </w:p>
    <w:p w14:paraId="56B2B65E">
      <w:pPr>
        <w:pStyle w:val="2"/>
      </w:pPr>
      <w:bookmarkStart w:id="23" w:name="_Toc8613"/>
      <w:bookmarkStart w:id="24" w:name="_Toc213666498"/>
      <w:r>
        <w:rPr>
          <w:rFonts w:hint="eastAsia"/>
        </w:rPr>
        <w:t>4 评估意见</w:t>
      </w:r>
      <w:bookmarkEnd w:id="23"/>
      <w:bookmarkEnd w:id="24"/>
    </w:p>
    <w:p w14:paraId="02A03D0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事故责任单位对事故调查报告里提出的事故防范和整改措施建议基本落实到位，对其相关责任人员进行了责任追究落实到位。专家组认为北京大兴瀛坤路道路工程“11•20”一般生产安全事故责任追究和整改措施落实情况基本符合《中华人民共和国安全生产法》（国家主席令第八十八号）、《生产安全事故报告和调查处理条例》（国务院令第493号）、《北京市生产安全事故报告和调查处理办法》（北京市政府令217号）等要求。</w:t>
      </w:r>
    </w:p>
    <w:p w14:paraId="4FAA7535">
      <w:pPr>
        <w:pStyle w:val="3"/>
      </w:pPr>
      <w:bookmarkStart w:id="25" w:name="_Toc213666499"/>
      <w:r>
        <w:rPr>
          <w:rFonts w:hint="eastAsia"/>
        </w:rPr>
        <w:t>4.1 评估总体意见</w:t>
      </w:r>
      <w:bookmarkEnd w:id="25"/>
    </w:p>
    <w:p w14:paraId="6CEDCAC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结合《北京大兴瀛坤路道路工程“11•20”一般车辆伤害事故调查报告》，对事故责任单位的事故防范和整改建议措施与现场评估情况，经过对现场基础资料的查阅、相关人员的询问调查，对评估表逐条、逐项进行评估，最终确认事故责任单位在现场评估过程中，对事故调查报告里要求整改事项基本落实到位。对该公司应处理的人员处罚已经基本落实。</w:t>
      </w:r>
    </w:p>
    <w:p w14:paraId="56371D14">
      <w:pPr>
        <w:pStyle w:val="3"/>
      </w:pPr>
      <w:bookmarkStart w:id="26" w:name="_Toc213666500"/>
      <w:r>
        <w:rPr>
          <w:rFonts w:hint="eastAsia"/>
        </w:rPr>
        <w:t>4.2 专家现场意见</w:t>
      </w:r>
      <w:bookmarkEnd w:id="26"/>
    </w:p>
    <w:p w14:paraId="351760C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此次评估仅对事故报告中提及的现场整改措施落实情况进行评估。经过现场检查评估评估组认为：事故责任单位对事故调查报告里要求的现场整改事项基本落实到位。</w:t>
      </w:r>
    </w:p>
    <w:p w14:paraId="1D1DF473">
      <w:pPr>
        <w:pStyle w:val="3"/>
      </w:pPr>
      <w:bookmarkStart w:id="27" w:name="_Toc213666501"/>
      <w:r>
        <w:rPr>
          <w:rFonts w:hint="eastAsia"/>
        </w:rPr>
        <w:t>4.3 评估结论</w:t>
      </w:r>
      <w:bookmarkEnd w:id="27"/>
    </w:p>
    <w:p w14:paraId="637D983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此次评估仅对事故报告中提及的处理建议和整改措施落实情况进行评估。经过前期评估组调研、现场评估检查及后期经评估组与专家进行研讨，评估组认为：</w:t>
      </w:r>
    </w:p>
    <w:p w14:paraId="1B619E0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事故发生后，北京市大兴区应急管理局等依法对相关责任单位及人员进行了责任追究，事故责任单位按照事故调查报告的要求对相关责任人员进行了责任追究基本落实到位。</w:t>
      </w:r>
    </w:p>
    <w:p w14:paraId="5802E87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事故责任单位在现场评估过程中，对事故调查报告里要求整改项基本落实到位，专家组认为北京大兴瀛坤路道路工程“11•20”一般生产安全事故责任追究和整改措施落实基本符合《中华人民共和国安全生产法》（国家主席令第八十八号）、《生产安全事故报告和调查处理条例》（国务院令第493号）、《北京市生产安全事故报告和调查处理办法》（北京市政府令217号）、《北京市生产安全事故隐患排查治理办法》（北京市人民政府令第266号）的要求。</w:t>
      </w:r>
    </w:p>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AE71">
    <w:pPr>
      <w:pStyle w:val="7"/>
      <w:tabs>
        <w:tab w:val="right" w:pos="8789"/>
        <w:tab w:val="clear" w:pos="8306"/>
      </w:tabs>
      <w:ind w:right="-115"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3178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4F50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F4AB5">
    <w:pPr>
      <w:pStyle w:val="7"/>
    </w:pPr>
    <w:r>
      <mc:AlternateContent>
        <mc:Choice Requires="wps">
          <w:drawing>
            <wp:anchor distT="0" distB="0" distL="114300" distR="114300" simplePos="0" relativeHeight="251659264" behindDoc="0" locked="0" layoutInCell="1" allowOverlap="1">
              <wp:simplePos x="0" y="0"/>
              <wp:positionH relativeFrom="margin">
                <wp:posOffset>2600325</wp:posOffset>
              </wp:positionH>
              <wp:positionV relativeFrom="paragraph">
                <wp:posOffset>-1905</wp:posOffset>
              </wp:positionV>
              <wp:extent cx="163830" cy="163830"/>
              <wp:effectExtent l="0" t="0" r="7620" b="7620"/>
              <wp:wrapNone/>
              <wp:docPr id="1" name="文本框 1"/>
              <wp:cNvGraphicFramePr/>
              <a:graphic xmlns:a="http://schemas.openxmlformats.org/drawingml/2006/main">
                <a:graphicData uri="http://schemas.microsoft.com/office/word/2010/wordprocessingShape">
                  <wps:wsp>
                    <wps:cNvSpPr txBox="1"/>
                    <wps:spPr>
                      <a:xfrm>
                        <a:off x="0" y="0"/>
                        <a:ext cx="163902" cy="163902"/>
                      </a:xfrm>
                      <a:prstGeom prst="rect">
                        <a:avLst/>
                      </a:prstGeom>
                      <a:noFill/>
                      <a:ln w="9525">
                        <a:noFill/>
                      </a:ln>
                    </wps:spPr>
                    <wps:txbx>
                      <w:txbxContent>
                        <w:p w14:paraId="5D89D7BC">
                          <w:pPr>
                            <w:pStyle w:val="7"/>
                          </w:pPr>
                          <w:r>
                            <w:fldChar w:fldCharType="begin"/>
                          </w:r>
                          <w:r>
                            <w:instrText xml:space="preserve"> PAGE  \* MERGEFORMAT </w:instrText>
                          </w:r>
                          <w:r>
                            <w:fldChar w:fldCharType="separate"/>
                          </w:r>
                          <w:r>
                            <w:t>4</w:t>
                          </w:r>
                          <w:r>
                            <w:fldChar w:fldCharType="end"/>
                          </w:r>
                        </w:p>
                      </w:txbxContent>
                    </wps:txbx>
                    <wps:bodyPr vert="horz" wrap="square" lIns="0" tIns="0" rIns="0" bIns="0" anchor="t" anchorCtr="0">
                      <a:noAutofit/>
                    </wps:bodyPr>
                  </wps:wsp>
                </a:graphicData>
              </a:graphic>
            </wp:anchor>
          </w:drawing>
        </mc:Choice>
        <mc:Fallback>
          <w:pict>
            <v:shape id="_x0000_s1026" o:spid="_x0000_s1026" o:spt="202" type="#_x0000_t202" style="position:absolute;left:0pt;margin-left:204.75pt;margin-top:-0.15pt;height:12.9pt;width:12.9pt;mso-position-horizontal-relative:margin;z-index:251659264;mso-width-relative:page;mso-height-relative:page;" filled="f" stroked="f" coordsize="21600,21600" o:gfxdata="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gKcHPYAAAACAEA&#10;AA8AAAAAAAAAAQAgAAAAIgAAAGRycy9kb3ducmV2LnhtbFBLAQIUABQAAAAIAIdO4kAE+MXe4QEA&#10;ALsDAAAOAAAAAAAAAAEAIAAAACcBAABkcnMvZTJvRG9jLnhtbFBLBQYAAAAABgAGAFkBAAB6BQAA&#10;AAA=&#10;">
              <v:fill on="f" focussize="0,0"/>
              <v:stroke on="f"/>
              <v:imagedata o:title=""/>
              <o:lock v:ext="edit" aspectratio="f"/>
              <v:textbox inset="0mm,0mm,0mm,0mm">
                <w:txbxContent>
                  <w:p w14:paraId="5D89D7BC">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84BA">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80B4">
    <w:pPr>
      <w:pStyle w:val="8"/>
      <w:rPr>
        <w:rFonts w:asciiTheme="minorEastAsia" w:hAnsiTheme="minorEastAsia" w:eastAsiaTheme="minorEastAsia"/>
        <w:sz w:val="21"/>
        <w:szCs w:val="21"/>
      </w:rPr>
    </w:pPr>
    <w:r>
      <w:rPr>
        <w:rFonts w:hint="eastAsia" w:asciiTheme="minorEastAsia" w:hAnsiTheme="minorEastAsia" w:eastAsiaTheme="minorEastAsia"/>
        <w:sz w:val="21"/>
        <w:szCs w:val="21"/>
      </w:rPr>
      <w:t>北京大兴瀛坤路道路工程“11•20”一般生产安全事故责任追究和整改措施落实情况评估报告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YTI5MmFiOGU2MjZmOGJlZjZjMWNiNDg2NWZjMTAifQ=="/>
  </w:docVars>
  <w:rsids>
    <w:rsidRoot w:val="002D7264"/>
    <w:rsid w:val="00012741"/>
    <w:rsid w:val="0001376D"/>
    <w:rsid w:val="00083B09"/>
    <w:rsid w:val="000A1DAC"/>
    <w:rsid w:val="000B55D2"/>
    <w:rsid w:val="000B75FF"/>
    <w:rsid w:val="000F2C59"/>
    <w:rsid w:val="0011278C"/>
    <w:rsid w:val="001314BA"/>
    <w:rsid w:val="001558F0"/>
    <w:rsid w:val="00157297"/>
    <w:rsid w:val="00182851"/>
    <w:rsid w:val="001879B8"/>
    <w:rsid w:val="001C1477"/>
    <w:rsid w:val="00231FB6"/>
    <w:rsid w:val="00233E64"/>
    <w:rsid w:val="002834ED"/>
    <w:rsid w:val="002963C7"/>
    <w:rsid w:val="002C2F9C"/>
    <w:rsid w:val="002D7264"/>
    <w:rsid w:val="002F7404"/>
    <w:rsid w:val="00301CA2"/>
    <w:rsid w:val="00371045"/>
    <w:rsid w:val="003754E3"/>
    <w:rsid w:val="00387926"/>
    <w:rsid w:val="003924FC"/>
    <w:rsid w:val="003B2894"/>
    <w:rsid w:val="003B7A9C"/>
    <w:rsid w:val="003C731D"/>
    <w:rsid w:val="003E3E96"/>
    <w:rsid w:val="0041450F"/>
    <w:rsid w:val="0042309B"/>
    <w:rsid w:val="00477D1A"/>
    <w:rsid w:val="00492626"/>
    <w:rsid w:val="00496324"/>
    <w:rsid w:val="004A6E11"/>
    <w:rsid w:val="004A7B96"/>
    <w:rsid w:val="004C5D67"/>
    <w:rsid w:val="004C601A"/>
    <w:rsid w:val="004E229A"/>
    <w:rsid w:val="00504C89"/>
    <w:rsid w:val="005153D4"/>
    <w:rsid w:val="005B72D4"/>
    <w:rsid w:val="005C30A7"/>
    <w:rsid w:val="005C6C27"/>
    <w:rsid w:val="005D2BDC"/>
    <w:rsid w:val="005F583E"/>
    <w:rsid w:val="00607584"/>
    <w:rsid w:val="00636C0F"/>
    <w:rsid w:val="0063757C"/>
    <w:rsid w:val="00641CB0"/>
    <w:rsid w:val="006465A7"/>
    <w:rsid w:val="00652EA9"/>
    <w:rsid w:val="00654375"/>
    <w:rsid w:val="006650E1"/>
    <w:rsid w:val="006B7C18"/>
    <w:rsid w:val="006D2D29"/>
    <w:rsid w:val="006E05E7"/>
    <w:rsid w:val="006E51FD"/>
    <w:rsid w:val="00705EE0"/>
    <w:rsid w:val="00723721"/>
    <w:rsid w:val="00730751"/>
    <w:rsid w:val="00732A29"/>
    <w:rsid w:val="007538DA"/>
    <w:rsid w:val="007611A0"/>
    <w:rsid w:val="00766133"/>
    <w:rsid w:val="007742D2"/>
    <w:rsid w:val="007873CE"/>
    <w:rsid w:val="007A2085"/>
    <w:rsid w:val="007D725E"/>
    <w:rsid w:val="007E42E8"/>
    <w:rsid w:val="00865DCC"/>
    <w:rsid w:val="008A5245"/>
    <w:rsid w:val="008A6B98"/>
    <w:rsid w:val="00912C43"/>
    <w:rsid w:val="009236E2"/>
    <w:rsid w:val="00933CFF"/>
    <w:rsid w:val="00996E49"/>
    <w:rsid w:val="009E0F5F"/>
    <w:rsid w:val="009F67B3"/>
    <w:rsid w:val="00A2123F"/>
    <w:rsid w:val="00AA1772"/>
    <w:rsid w:val="00AB79F2"/>
    <w:rsid w:val="00AC4B2C"/>
    <w:rsid w:val="00B03F7A"/>
    <w:rsid w:val="00B04BFC"/>
    <w:rsid w:val="00B12D03"/>
    <w:rsid w:val="00B36138"/>
    <w:rsid w:val="00B56016"/>
    <w:rsid w:val="00BB5CED"/>
    <w:rsid w:val="00BE2AFA"/>
    <w:rsid w:val="00BE3513"/>
    <w:rsid w:val="00C94D99"/>
    <w:rsid w:val="00CB5AE8"/>
    <w:rsid w:val="00CB63AE"/>
    <w:rsid w:val="00CE1F59"/>
    <w:rsid w:val="00CF7536"/>
    <w:rsid w:val="00D0174D"/>
    <w:rsid w:val="00D11FF3"/>
    <w:rsid w:val="00D863F1"/>
    <w:rsid w:val="00D87ECB"/>
    <w:rsid w:val="00D93DAB"/>
    <w:rsid w:val="00DB6A1B"/>
    <w:rsid w:val="00E2050A"/>
    <w:rsid w:val="00E452EB"/>
    <w:rsid w:val="00E45B3F"/>
    <w:rsid w:val="00E649B1"/>
    <w:rsid w:val="00E74583"/>
    <w:rsid w:val="00E75E54"/>
    <w:rsid w:val="00EB0901"/>
    <w:rsid w:val="00ED5F40"/>
    <w:rsid w:val="00F04D2D"/>
    <w:rsid w:val="00F32D28"/>
    <w:rsid w:val="00F33605"/>
    <w:rsid w:val="00F35EEF"/>
    <w:rsid w:val="00F400C4"/>
    <w:rsid w:val="00F55E82"/>
    <w:rsid w:val="00F7540E"/>
    <w:rsid w:val="00F85ECC"/>
    <w:rsid w:val="00FC5701"/>
    <w:rsid w:val="11823EC9"/>
    <w:rsid w:val="23FA191A"/>
    <w:rsid w:val="297168A5"/>
    <w:rsid w:val="2E385BE3"/>
    <w:rsid w:val="390C2146"/>
    <w:rsid w:val="43132FF3"/>
    <w:rsid w:val="4464552C"/>
    <w:rsid w:val="4A123335"/>
    <w:rsid w:val="4A5A4E0C"/>
    <w:rsid w:val="5BAB53B9"/>
    <w:rsid w:val="5F370795"/>
    <w:rsid w:val="614F4738"/>
    <w:rsid w:val="627A520F"/>
    <w:rsid w:val="632E02C6"/>
    <w:rsid w:val="64175CC0"/>
    <w:rsid w:val="68024591"/>
    <w:rsid w:val="69265BB7"/>
    <w:rsid w:val="6AF91C7B"/>
    <w:rsid w:val="6F637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240" w:after="240" w:line="360" w:lineRule="auto"/>
      <w:outlineLvl w:val="0"/>
    </w:pPr>
    <w:rPr>
      <w:rFonts w:eastAsia="黑体"/>
      <w:b/>
      <w:bCs/>
      <w:kern w:val="44"/>
      <w:sz w:val="32"/>
      <w:szCs w:val="44"/>
    </w:rPr>
  </w:style>
  <w:style w:type="paragraph" w:styleId="3">
    <w:name w:val="heading 2"/>
    <w:basedOn w:val="1"/>
    <w:next w:val="1"/>
    <w:link w:val="18"/>
    <w:unhideWhenUsed/>
    <w:qFormat/>
    <w:uiPriority w:val="9"/>
    <w:pPr>
      <w:keepNext/>
      <w:keepLines/>
      <w:spacing w:before="260" w:after="260" w:line="415" w:lineRule="auto"/>
      <w:jc w:val="left"/>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9"/>
    <w:pPr>
      <w:keepNext/>
      <w:keepLines/>
      <w:spacing w:before="260" w:after="260" w:line="416" w:lineRule="auto"/>
      <w:jc w:val="left"/>
      <w:outlineLvl w:val="2"/>
    </w:pPr>
    <w:rPr>
      <w:b/>
      <w:bCs/>
      <w:sz w:val="3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semiHidden/>
    <w:unhideWhenUsed/>
    <w:qFormat/>
    <w:uiPriority w:val="99"/>
    <w:pPr>
      <w:jc w:val="left"/>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spacing w:before="120" w:after="120"/>
    </w:pPr>
    <w:rPr>
      <w:b/>
      <w:sz w:val="24"/>
    </w:rPr>
  </w:style>
  <w:style w:type="paragraph" w:styleId="10">
    <w:name w:val="toc 2"/>
    <w:basedOn w:val="1"/>
    <w:next w:val="1"/>
    <w:qFormat/>
    <w:uiPriority w:val="39"/>
    <w:pPr>
      <w:ind w:left="210"/>
      <w:jc w:val="left"/>
    </w:pPr>
    <w:rPr>
      <w:smallCaps/>
      <w:sz w:val="24"/>
      <w:szCs w:val="20"/>
    </w:rPr>
  </w:style>
  <w:style w:type="paragraph" w:styleId="11">
    <w:name w:val="annotation subject"/>
    <w:basedOn w:val="5"/>
    <w:next w:val="5"/>
    <w:link w:val="24"/>
    <w:semiHidden/>
    <w:unhideWhenUsed/>
    <w:qFormat/>
    <w:uiPriority w:val="99"/>
    <w:rPr>
      <w:b/>
      <w:bCs/>
    </w:r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character" w:customStyle="1" w:styleId="18">
    <w:name w:val="标题 2 Char"/>
    <w:basedOn w:val="13"/>
    <w:link w:val="3"/>
    <w:qFormat/>
    <w:uiPriority w:val="9"/>
    <w:rPr>
      <w:rFonts w:asciiTheme="majorHAnsi" w:hAnsiTheme="majorHAnsi" w:eastAsiaTheme="majorEastAsia" w:cstheme="majorBidi"/>
      <w:b/>
      <w:bCs/>
      <w:kern w:val="2"/>
      <w:sz w:val="32"/>
      <w:szCs w:val="32"/>
    </w:rPr>
  </w:style>
  <w:style w:type="character" w:customStyle="1" w:styleId="19">
    <w:name w:val="标题 3 Char"/>
    <w:basedOn w:val="13"/>
    <w:link w:val="4"/>
    <w:qFormat/>
    <w:uiPriority w:val="9"/>
    <w:rPr>
      <w:rFonts w:ascii="Calibri" w:hAnsi="Calibri" w:eastAsia="宋体" w:cs="Times New Roman"/>
      <w:b/>
      <w:bCs/>
      <w:sz w:val="30"/>
      <w:szCs w:val="32"/>
    </w:rPr>
  </w:style>
  <w:style w:type="character" w:customStyle="1" w:styleId="20">
    <w:name w:val="批注框文本 Char"/>
    <w:basedOn w:val="13"/>
    <w:link w:val="6"/>
    <w:semiHidden/>
    <w:qFormat/>
    <w:uiPriority w:val="99"/>
    <w:rPr>
      <w:rFonts w:ascii="Calibri" w:hAnsi="Calibri" w:eastAsia="宋体" w:cs="Times New Roman"/>
      <w:sz w:val="18"/>
      <w:szCs w:val="18"/>
    </w:rPr>
  </w:style>
  <w:style w:type="paragraph" w:customStyle="1" w:styleId="21">
    <w:name w:val="修订1"/>
    <w:hidden/>
    <w:unhideWhenUsed/>
    <w:qFormat/>
    <w:uiPriority w:val="99"/>
    <w:rPr>
      <w:rFonts w:ascii="Calibri" w:hAnsi="Calibri" w:eastAsia="宋体" w:cs="Times New Roman"/>
      <w:kern w:val="2"/>
      <w:sz w:val="21"/>
      <w:szCs w:val="22"/>
      <w:lang w:val="en-US" w:eastAsia="zh-CN" w:bidi="ar-SA"/>
    </w:rPr>
  </w:style>
  <w:style w:type="paragraph" w:customStyle="1" w:styleId="22">
    <w:name w:val="修订2"/>
    <w:hidden/>
    <w:unhideWhenUsed/>
    <w:qFormat/>
    <w:uiPriority w:val="99"/>
    <w:rPr>
      <w:rFonts w:ascii="Calibri" w:hAnsi="Calibri" w:eastAsia="宋体" w:cs="Times New Roman"/>
      <w:kern w:val="2"/>
      <w:sz w:val="21"/>
      <w:szCs w:val="22"/>
      <w:lang w:val="en-US" w:eastAsia="zh-CN" w:bidi="ar-SA"/>
    </w:rPr>
  </w:style>
  <w:style w:type="character" w:customStyle="1" w:styleId="23">
    <w:name w:val="批注文字 Char"/>
    <w:basedOn w:val="13"/>
    <w:link w:val="5"/>
    <w:semiHidden/>
    <w:qFormat/>
    <w:uiPriority w:val="99"/>
    <w:rPr>
      <w:rFonts w:ascii="Calibri" w:hAnsi="Calibri" w:eastAsia="宋体" w:cs="Times New Roman"/>
      <w:kern w:val="2"/>
      <w:sz w:val="21"/>
      <w:szCs w:val="22"/>
    </w:rPr>
  </w:style>
  <w:style w:type="character" w:customStyle="1" w:styleId="24">
    <w:name w:val="批注主题 Char"/>
    <w:basedOn w:val="23"/>
    <w:link w:val="11"/>
    <w:semiHidden/>
    <w:qFormat/>
    <w:uiPriority w:val="99"/>
    <w:rPr>
      <w:rFonts w:ascii="Calibri" w:hAnsi="Calibri" w:eastAsia="宋体" w:cs="Times New Roman"/>
      <w:b/>
      <w:bCs/>
      <w:kern w:val="2"/>
      <w:sz w:val="21"/>
      <w:szCs w:val="22"/>
    </w:rPr>
  </w:style>
  <w:style w:type="character" w:customStyle="1" w:styleId="25">
    <w:name w:val="标题 1 Char"/>
    <w:basedOn w:val="13"/>
    <w:link w:val="2"/>
    <w:qFormat/>
    <w:uiPriority w:val="9"/>
    <w:rPr>
      <w:rFonts w:ascii="Calibri" w:hAnsi="Calibri" w:eastAsia="黑体" w:cs="Times New Roman"/>
      <w:b/>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737CA-F0AA-4026-98B8-7F3367A60DEF}">
  <ds:schemaRefs/>
</ds:datastoreItem>
</file>

<file path=docProps/app.xml><?xml version="1.0" encoding="utf-8"?>
<Properties xmlns="http://schemas.openxmlformats.org/officeDocument/2006/extended-properties" xmlns:vt="http://schemas.openxmlformats.org/officeDocument/2006/docPropsVTypes">
  <Template>Normal</Template>
  <Pages>12</Pages>
  <Words>6758</Words>
  <Characters>7154</Characters>
  <Lines>60</Lines>
  <Paragraphs>17</Paragraphs>
  <TotalTime>651</TotalTime>
  <ScaleCrop>false</ScaleCrop>
  <LinksUpToDate>false</LinksUpToDate>
  <CharactersWithSpaces>7249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2024-09-03T00:53:00Z</dcterms:created>
  <dc:creator>PC</dc:creator>
  <cp:lastModifiedBy>Administrator</cp:lastModifiedBy>
  <cp:lastPrinted>2024-11-01T01:14:00Z</cp:lastPrinted>
  <dcterms:modified xsi:type="dcterms:W3CDTF">2026-04-16T01:35:15Z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2A3DD6F800E14CE5849BCD41C0A4DF09_12</vt:lpwstr>
  </property>
  <property fmtid="{D5CDD505-2E9C-101B-9397-08002B2CF9AE}" pid="4" name="KSOTemplateDocerSaveRecord">
    <vt:lpwstr>eyJoZGlkIjoiOGQwZmU4MzA5NTAyZTNmZWIzNDI1ZmM0MGNiYTk4MjMiLCJ1c2VySWQiOiIxNTQ4NjMwNjExIn0=</vt:lpwstr>
  </property>
</Properties>
</file>