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E453E3">
      <w:pPr>
        <w:pStyle w:val="7"/>
        <w:spacing w:after="0" w:line="560" w:lineRule="exact"/>
        <w:ind w:firstLine="0" w:firstLineChars="0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bookmarkStart w:id="0" w:name="_Hlk152749155"/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附件3：</w:t>
      </w:r>
    </w:p>
    <w:p w14:paraId="1C6019E8">
      <w:pPr>
        <w:pStyle w:val="7"/>
        <w:spacing w:after="0" w:line="560" w:lineRule="exact"/>
        <w:ind w:firstLine="0" w:firstLineChars="0"/>
        <w:jc w:val="center"/>
        <w:rPr>
          <w:rFonts w:hint="eastAsia" w:ascii="仿宋" w:hAnsi="仿宋" w:eastAsia="仿宋" w:cs="仿宋"/>
          <w:b/>
          <w:kern w:val="2"/>
          <w:sz w:val="44"/>
          <w:szCs w:val="44"/>
        </w:rPr>
      </w:pPr>
      <w:r>
        <w:rPr>
          <w:rFonts w:hint="eastAsia" w:ascii="仿宋" w:hAnsi="仿宋" w:eastAsia="仿宋" w:cs="仿宋"/>
          <w:b/>
          <w:kern w:val="2"/>
          <w:sz w:val="44"/>
          <w:szCs w:val="44"/>
        </w:rPr>
        <w:t>线上选房系统操作指引</w:t>
      </w:r>
    </w:p>
    <w:p w14:paraId="3465AE00">
      <w:pPr>
        <w:pStyle w:val="7"/>
        <w:spacing w:after="0" w:line="560" w:lineRule="exact"/>
        <w:ind w:firstLine="640"/>
        <w:jc w:val="center"/>
        <w:rPr>
          <w:rFonts w:hint="eastAsia" w:ascii="方正仿宋_GB2312" w:hAnsi="方正仿宋_GB2312" w:eastAsia="方正仿宋_GB2312" w:cs="方正仿宋_GB2312"/>
          <w:bCs/>
          <w:kern w:val="2"/>
          <w:sz w:val="32"/>
          <w:szCs w:val="32"/>
        </w:rPr>
      </w:pPr>
    </w:p>
    <w:p w14:paraId="05BD78F4">
      <w:pPr>
        <w:pStyle w:val="7"/>
        <w:spacing w:after="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无需下载APP，直接使用微信小程序即可选房（附件中所有图片均为流程示例图片）。</w:t>
      </w:r>
    </w:p>
    <w:p w14:paraId="6292DC5D">
      <w:pPr>
        <w:pStyle w:val="7"/>
        <w:spacing w:after="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1.用手机微信“扫一扫”功能识别微信小程序二维码，进入系统登录页面，输入该项目申购时主申请人姓名→输入申购时预留电话号码→点击“获取验证码”→收到短信验证码后填入验证码→点击“登录”。（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正式选房时京籍、非京籍选房开始时间相同，请根据自己的组别扫描对应的二维码进入系统。</w:t>
      </w: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）</w:t>
      </w:r>
    </w:p>
    <w:p w14:paraId="5A230A3C">
      <w:pPr>
        <w:jc w:val="both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</w:p>
    <w:p w14:paraId="4921CAE2">
      <w:pPr>
        <w:jc w:val="center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drawing>
          <wp:inline distT="0" distB="0" distL="0" distR="0">
            <wp:extent cx="1799590" cy="1799590"/>
            <wp:effectExtent l="0" t="0" r="0" b="0"/>
            <wp:docPr id="1697616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1660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 xml:space="preserve">             </w:t>
      </w:r>
      <w:r>
        <w:drawing>
          <wp:inline distT="0" distB="0" distL="0" distR="0">
            <wp:extent cx="1799590" cy="1799590"/>
            <wp:effectExtent l="0" t="0" r="0" b="0"/>
            <wp:docPr id="12944236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23639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 xml:space="preserve"> </w:t>
      </w:r>
    </w:p>
    <w:p w14:paraId="0876934A">
      <w:pPr>
        <w:ind w:firstLine="1280" w:firstLineChars="400"/>
        <w:jc w:val="both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京籍                           非京籍</w:t>
      </w:r>
    </w:p>
    <w:p w14:paraId="71CD85DA">
      <w:pPr>
        <w:pStyle w:val="7"/>
        <w:spacing w:after="0" w:line="560" w:lineRule="exact"/>
        <w:ind w:firstLine="0" w:firstLineChars="0"/>
        <w:jc w:val="both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ascii="方正仿宋_GB2312" w:hAnsi="方正仿宋_GB2312" w:eastAsia="方正仿宋_GB2312" w:cs="方正仿宋_GB2312"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-635</wp:posOffset>
            </wp:positionV>
            <wp:extent cx="2019300" cy="4152900"/>
            <wp:effectExtent l="0" t="0" r="0" b="0"/>
            <wp:wrapTopAndBottom/>
            <wp:docPr id="2592965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96568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2.登录后，仔细查看线上选房须知并勾选“我已阅读并同意”（下图中1），点击“同意”按钮（下图中2），进入系统首页。系统“首页”将展示房源数量、户型和线上选房时间等信息。</w:t>
      </w:r>
    </w:p>
    <w:p w14:paraId="27FC538E">
      <w:pPr>
        <w:spacing w:after="0" w:line="360" w:lineRule="auto"/>
        <w:jc w:val="center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ascii="方正仿宋_GB2312" w:hAnsi="方正仿宋_GB2312" w:eastAsia="方正仿宋_GB2312" w:cs="方正仿宋_GB2312"/>
          <w:bCs/>
          <w:sz w:val="32"/>
          <w:szCs w:val="32"/>
        </w:rPr>
        <w:drawing>
          <wp:inline distT="0" distB="0" distL="0" distR="0">
            <wp:extent cx="3855720" cy="3749040"/>
            <wp:effectExtent l="0" t="0" r="0" b="3810"/>
            <wp:docPr id="16727957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95736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 xml:space="preserve"> </w:t>
      </w:r>
    </w:p>
    <w:p w14:paraId="78508F39"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3.点击界面底部中间“选房”按钮进入选房活动页面，有项目各楼栋房源情况，可进行房源收藏（最多可收藏15套房源，需随时关注房源是否已被选定，可根据前序客户选房情况随时更新收藏房源）。</w:t>
      </w:r>
    </w:p>
    <w:p w14:paraId="45DC9DE4"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注意：房源的收藏并不代表锁定房源，仅用于申购家庭记录意向房源，方便查阅和选择。在选房权限开通时，仍需进行房源确认、签署认购书、缴纳定金等操作。</w:t>
      </w:r>
    </w:p>
    <w:p w14:paraId="6D856A27">
      <w:pPr>
        <w:pStyle w:val="2"/>
        <w:jc w:val="center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 xml:space="preserve"> </w:t>
      </w:r>
      <w:r>
        <w:rPr>
          <w:rFonts w:ascii="方正仿宋_GB2312" w:hAnsi="方正仿宋_GB2312" w:eastAsia="方正仿宋_GB2312" w:cs="方正仿宋_GB2312"/>
          <w:bCs/>
          <w:sz w:val="32"/>
          <w:szCs w:val="32"/>
        </w:rPr>
        <w:drawing>
          <wp:inline distT="0" distB="0" distL="0" distR="0">
            <wp:extent cx="5158740" cy="3099435"/>
            <wp:effectExtent l="0" t="0" r="3810" b="5715"/>
            <wp:docPr id="3197965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96524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1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5FD43"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收藏房源查看、顺序调整：</w:t>
      </w:r>
    </w:p>
    <w:p w14:paraId="0CA7B784"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点击界面下方“我的”（下图中1）按钮→点击“我的收藏”（下图中2）可查看收藏房源。</w:t>
      </w:r>
    </w:p>
    <w:p w14:paraId="49199157"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点击房号右侧上下箭头可调整收藏房源顺序（下图中3）。注意：若收藏房源被其他客户选定，房号左侧序号将由红色变为灰色，请及时重新选择其他意向房源进行收藏。</w:t>
      </w:r>
    </w:p>
    <w:p w14:paraId="5FAA584E">
      <w:pPr>
        <w:adjustRightInd/>
        <w:snapToGrid/>
        <w:spacing w:after="0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br w:type="page"/>
      </w:r>
    </w:p>
    <w:p w14:paraId="7D8BDB4E"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ascii="方正仿宋_GB2312" w:hAnsi="方正仿宋_GB2312" w:eastAsia="方正仿宋_GB2312" w:cs="方正仿宋_GB2312"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77640" cy="3657600"/>
            <wp:effectExtent l="0" t="0" r="3810" b="0"/>
            <wp:wrapTopAndBottom/>
            <wp:docPr id="1639585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8502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4.正式选房时按照摇号顺序，到达相应申购家庭选房权限开通前10秒，会出现倒计时提醒。客户点击相应房号（下图中1）或者从收藏房源列表里点击意向房源→点击“立即选房”（下图中2，注意：点击“立即选房”后并不能锁定房源）→点击“确认”（下图中3，注意：点击“确认”后才能锁定房源，房源一经确认将不可更改，请谨慎决策）。如点击确认不及时，所选房源有可能被其他客户选定，系统将按照收藏顺序依次推荐收藏房源，可点击“立即选购”（下图中4）后点击“确认”锁定房源，或“选购其他房源”（下图中5）。</w:t>
      </w:r>
    </w:p>
    <w:p w14:paraId="08C3833A">
      <w:pPr>
        <w:spacing w:after="0"/>
        <w:jc w:val="both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ascii="方正仿宋_GB2312" w:hAnsi="方正仿宋_GB2312" w:eastAsia="方正仿宋_GB2312" w:cs="方正仿宋_GB2312"/>
          <w:bCs/>
          <w:sz w:val="32"/>
          <w:szCs w:val="32"/>
        </w:rPr>
        <w:drawing>
          <wp:inline distT="0" distB="0" distL="0" distR="0">
            <wp:extent cx="5274310" cy="2552065"/>
            <wp:effectExtent l="0" t="0" r="2540" b="635"/>
            <wp:docPr id="150766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629" name="图片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BE518"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5.锁定房源后，需点击“签署合同”（下图中1），点击“立即签署”（下图中2），系统会显示“《认购书》和《承诺书》”，阅读完毕后点击“我已阅读，签署合同”（下图中3），签字完成后点击“使用”（下图中4）即完成签订。申购家庭需于认购当日19:00前完成签署。</w:t>
      </w:r>
    </w:p>
    <w:p w14:paraId="5A18D96C">
      <w:pPr>
        <w:pStyle w:val="2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ascii="方正仿宋_GB2312" w:hAnsi="方正仿宋_GB2312" w:eastAsia="方正仿宋_GB2312" w:cs="方正仿宋_GB2312"/>
          <w:bCs/>
          <w:sz w:val="32"/>
          <w:szCs w:val="32"/>
        </w:rPr>
        <w:drawing>
          <wp:inline distT="0" distB="0" distL="0" distR="0">
            <wp:extent cx="5274310" cy="2752090"/>
            <wp:effectExtent l="0" t="0" r="2540" b="0"/>
            <wp:docPr id="1116101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0119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FAE8E">
      <w:pPr>
        <w:spacing w:after="0" w:line="560" w:lineRule="exact"/>
        <w:ind w:firstLine="640" w:firstLineChars="200"/>
        <w:jc w:val="both"/>
        <w:rPr>
          <w:rFonts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6.签署完毕后通过转账形式向开发企业指定账户支付认购定金人民币10万元（需于当日24:00前完成转账，以开发企业到账时间为准，请提前存储足够金额并确认银行卡无转账限额，转账时到账方式切记选择实时到账；转账时切记备注主</w:t>
      </w:r>
      <w:r>
        <w:rPr>
          <w:rFonts w:ascii="方正仿宋_GB2312" w:hAnsi="方正仿宋_GB2312" w:eastAsia="方正仿宋_GB2312" w:cs="方正仿宋_GB2312"/>
          <w:bCs/>
          <w:sz w:val="32"/>
          <w:szCs w:val="32"/>
        </w:rPr>
        <w:t>申请人姓名+房号，如</w:t>
      </w:r>
      <w:r>
        <w:rPr>
          <w:rFonts w:hint="eastAsia" w:ascii="方正仿宋_GBK" w:hAnsi="方正仿宋_GB2312" w:eastAsia="方正仿宋_GBK" w:cs="方正仿宋_GB2312"/>
          <w:bCs/>
          <w:sz w:val="32"/>
          <w:szCs w:val="32"/>
        </w:rPr>
        <w:t>“</w:t>
      </w:r>
      <w:r>
        <w:rPr>
          <w:rFonts w:hint="eastAsia" w:ascii="方正仿宋_GBK" w:hAnsi="宋体" w:eastAsia="方正仿宋_GBK" w:cs="宋体"/>
          <w:bCs/>
          <w:sz w:val="32"/>
          <w:szCs w:val="32"/>
        </w:rPr>
        <w:t>刘娜</w:t>
      </w:r>
      <w:r>
        <w:rPr>
          <w:rFonts w:hint="eastAsia" w:ascii="方正仿宋_GBK" w:hAnsi="方正仿宋_GB2312" w:eastAsia="方正仿宋_GBK" w:cs="方正仿宋_GB2312"/>
          <w:bCs/>
          <w:sz w:val="32"/>
          <w:szCs w:val="32"/>
        </w:rPr>
        <w:t>，B</w:t>
      </w:r>
      <w:r>
        <w:rPr>
          <w:rFonts w:ascii="方正仿宋_GB2312" w:hAnsi="方正仿宋_GB2312" w:eastAsia="方正仿宋_GB2312" w:cs="方正仿宋_GB2312"/>
          <w:bCs/>
          <w:sz w:val="32"/>
          <w:szCs w:val="32"/>
        </w:rPr>
        <w:t>2-1-101”。</w:t>
      </w:r>
    </w:p>
    <w:p w14:paraId="6FFB7CE9">
      <w:pPr>
        <w:spacing w:after="0" w:line="560" w:lineRule="exact"/>
        <w:jc w:val="both"/>
        <w:rPr>
          <w:rFonts w:ascii="方正仿宋_GB2312" w:hAnsi="方正仿宋_GB2312" w:eastAsia="方正仿宋_GB2312" w:cs="方正仿宋_GB2312"/>
          <w:b/>
          <w:bCs w:val="0"/>
          <w:sz w:val="32"/>
          <w:szCs w:val="32"/>
        </w:rPr>
      </w:pPr>
      <w:bookmarkStart w:id="1" w:name="_GoBack"/>
      <w:r>
        <w:rPr>
          <w:rFonts w:hint="eastAsia" w:ascii="方正仿宋_GB2312" w:hAnsi="方正仿宋_GB2312" w:eastAsia="方正仿宋_GB2312" w:cs="方正仿宋_GB2312"/>
          <w:b/>
          <w:bCs w:val="0"/>
          <w:sz w:val="32"/>
          <w:szCs w:val="32"/>
        </w:rPr>
        <w:t>转账账户：</w:t>
      </w:r>
    </w:p>
    <w:p w14:paraId="6E46CA2D">
      <w:pPr>
        <w:pStyle w:val="2"/>
        <w:rPr>
          <w:rFonts w:hint="eastAsia" w:ascii="方正仿宋_GB2312" w:hAnsi="方正仿宋_GB2312" w:eastAsia="方正仿宋_GB2312" w:cs="方正仿宋_GB2312"/>
          <w:b/>
          <w:bCs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32"/>
          <w:szCs w:val="32"/>
        </w:rPr>
        <w:t>账户名</w:t>
      </w:r>
      <w:r>
        <w:rPr>
          <w:rFonts w:hint="eastAsia" w:ascii="宋体" w:hAnsi="宋体" w:eastAsia="宋体" w:cs="宋体"/>
          <w:b/>
          <w:bCs w:val="0"/>
          <w:sz w:val="32"/>
          <w:szCs w:val="32"/>
        </w:rPr>
        <w:t>称</w:t>
      </w:r>
      <w:r>
        <w:rPr>
          <w:rFonts w:hint="eastAsia" w:ascii="___WRD_EMBED_SUB_48" w:hAnsi="___WRD_EMBED_SUB_48" w:eastAsia="___WRD_EMBED_SUB_48" w:cs="___WRD_EMBED_SUB_48"/>
          <w:b/>
          <w:bCs w:val="0"/>
          <w:sz w:val="32"/>
          <w:szCs w:val="32"/>
        </w:rPr>
        <w:t>：</w:t>
      </w:r>
      <w:r>
        <w:rPr>
          <w:rFonts w:hint="eastAsia" w:ascii="宋体" w:hAnsi="宋体" w:eastAsia="宋体" w:cs="宋体"/>
          <w:b/>
          <w:bCs w:val="0"/>
          <w:sz w:val="32"/>
          <w:szCs w:val="32"/>
        </w:rPr>
        <w:t>北</w:t>
      </w:r>
      <w:r>
        <w:rPr>
          <w:rFonts w:hint="eastAsia" w:ascii="方正仿宋_GBK" w:hAnsi="方正仿宋_GB2312" w:eastAsia="方正仿宋_GBK" w:cs="方正仿宋_GB2312"/>
          <w:b/>
          <w:bCs w:val="0"/>
          <w:sz w:val="32"/>
          <w:szCs w:val="32"/>
        </w:rPr>
        <w:t>京</w:t>
      </w:r>
      <w:r>
        <w:rPr>
          <w:rFonts w:hint="eastAsia" w:ascii="方正仿宋_GBK" w:hAnsi="宋体" w:eastAsia="方正仿宋_GBK" w:cs="宋体"/>
          <w:b/>
          <w:bCs w:val="0"/>
          <w:sz w:val="32"/>
          <w:szCs w:val="32"/>
        </w:rPr>
        <w:t>大兴</w:t>
      </w:r>
      <w:r>
        <w:rPr>
          <w:rFonts w:hint="eastAsia" w:ascii="方正仿宋_GBK" w:hAnsi="___WRD_EMBED_SUB_48" w:eastAsia="方正仿宋_GBK" w:cs="___WRD_EMBED_SUB_48"/>
          <w:b/>
          <w:bCs w:val="0"/>
          <w:sz w:val="32"/>
          <w:szCs w:val="32"/>
        </w:rPr>
        <w:t>发展</w:t>
      </w:r>
      <w:r>
        <w:rPr>
          <w:rFonts w:hint="eastAsia" w:ascii="方正仿宋_GBK" w:hAnsi="宋体" w:eastAsia="方正仿宋_GBK" w:cs="宋体"/>
          <w:b/>
          <w:bCs w:val="0"/>
          <w:sz w:val="32"/>
          <w:szCs w:val="32"/>
        </w:rPr>
        <w:t>集地</w:t>
      </w:r>
      <w:r>
        <w:rPr>
          <w:rFonts w:hint="eastAsia" w:ascii="方正仿宋_GBK" w:hAnsi="___WRD_EMBED_SUB_48" w:eastAsia="方正仿宋_GBK" w:cs="___WRD_EMBED_SUB_48"/>
          <w:b/>
          <w:bCs w:val="0"/>
          <w:sz w:val="32"/>
          <w:szCs w:val="32"/>
        </w:rPr>
        <w:t>开发有限公</w:t>
      </w:r>
      <w:r>
        <w:rPr>
          <w:rFonts w:hint="eastAsia" w:ascii="方正仿宋_GBK" w:hAnsi="宋体" w:eastAsia="方正仿宋_GBK" w:cs="宋体"/>
          <w:b/>
          <w:bCs w:val="0"/>
          <w:sz w:val="32"/>
          <w:szCs w:val="32"/>
        </w:rPr>
        <w:t>司云璟悦</w:t>
      </w:r>
      <w:r>
        <w:rPr>
          <w:rFonts w:hint="eastAsia" w:ascii="方正仿宋_GBK" w:hAnsi="___WRD_EMBED_SUB_48" w:eastAsia="方正仿宋_GBK" w:cs="___WRD_EMBED_SUB_48"/>
          <w:b/>
          <w:bCs w:val="0"/>
          <w:sz w:val="32"/>
          <w:szCs w:val="32"/>
        </w:rPr>
        <w:t>小</w:t>
      </w:r>
      <w:r>
        <w:rPr>
          <w:rFonts w:hint="eastAsia" w:ascii="方正仿宋_GBK" w:hAnsi="宋体" w:eastAsia="方正仿宋_GBK" w:cs="宋体"/>
          <w:b/>
          <w:bCs w:val="0"/>
          <w:sz w:val="32"/>
          <w:szCs w:val="32"/>
        </w:rPr>
        <w:t>区</w:t>
      </w:r>
    </w:p>
    <w:p w14:paraId="6356BF5D">
      <w:pPr>
        <w:pStyle w:val="2"/>
        <w:rPr>
          <w:rFonts w:hint="eastAsia" w:ascii="方正仿宋_GBK" w:hAnsi="方正仿宋_GB2312" w:eastAsia="方正仿宋_GBK" w:cs="方正仿宋_GB2312"/>
          <w:b/>
          <w:bCs w:val="0"/>
          <w:sz w:val="32"/>
          <w:szCs w:val="32"/>
        </w:rPr>
      </w:pPr>
      <w:r>
        <w:rPr>
          <w:rFonts w:hint="eastAsia" w:ascii="方正仿宋_GBK" w:hAnsi="方正仿宋_GB2312" w:eastAsia="方正仿宋_GBK" w:cs="方正仿宋_GB2312"/>
          <w:b/>
          <w:bCs w:val="0"/>
          <w:sz w:val="32"/>
          <w:szCs w:val="32"/>
        </w:rPr>
        <w:t>账户号码：11050184360000003488</w:t>
      </w:r>
    </w:p>
    <w:p w14:paraId="0DC63F4F">
      <w:pPr>
        <w:pStyle w:val="2"/>
        <w:rPr>
          <w:rFonts w:hint="eastAsia" w:ascii="方正仿宋_GBK" w:hAnsi="方正仿宋_GB2312" w:eastAsia="方正仿宋_GBK" w:cs="方正仿宋_GB2312"/>
          <w:bCs/>
          <w:sz w:val="32"/>
          <w:szCs w:val="32"/>
        </w:rPr>
      </w:pPr>
      <w:r>
        <w:rPr>
          <w:rFonts w:hint="eastAsia" w:ascii="方正仿宋_GBK" w:hAnsi="方正仿宋_GB2312" w:eastAsia="方正仿宋_GBK" w:cs="方正仿宋_GB2312"/>
          <w:b/>
          <w:bCs w:val="0"/>
          <w:sz w:val="32"/>
          <w:szCs w:val="32"/>
        </w:rPr>
        <w:t>开户行：中国建设银行股份有限公司北京大兴支行</w:t>
      </w:r>
      <w:bookmarkEnd w:id="1"/>
    </w:p>
    <w:p w14:paraId="72208C53">
      <w:pPr>
        <w:pStyle w:val="2"/>
        <w:rPr>
          <w:rFonts w:hint="eastAsia"/>
        </w:rPr>
      </w:pPr>
    </w:p>
    <w:p w14:paraId="71046DAB"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7.若所有房源全部被选定，系统所有房源将显示红色，项目官方微信公众号将及时公告，未选到房源的申购家庭无需继续等待。</w:t>
      </w:r>
    </w:p>
    <w:bookmarkEnd w:id="0"/>
    <w:p w14:paraId="6BC61F80">
      <w:pP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41CC3A4-AF03-4FB5-95EB-B157945C3B0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25C751C-D621-4466-8310-3B3EA21A682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0A48E26-B071-49E2-A2CA-DB7F4FB0DB7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C3520AE-4358-4ACB-B1B2-A727FAB99C9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D6E5EAB-D3EC-4872-8006-F1F8546AF9B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ACB4163-3488-4171-A356-D8928244937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9146CAC8-0021-4D93-B815-555AAFEAABAE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8" w:fontKey="{A8011B59-B321-4E5D-B882-48A8CEB87AA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9" w:fontKey="{E6E170C9-D9E1-4C02-A64A-B8469AE74D1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F3BB7E4A-9273-44BE-B825-867C916CF76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545EC1E7-7165-423B-AB7A-C429B02FF057}"/>
  </w:font>
  <w:font w:name="___WRD_EMBED_SUB_48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2" w:fontKey="{42514550-E626-4FD8-933F-34881756A2A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Q5YTNlZWRiNjFmYmJlOWFiNjBlN2UyNzM3M2YwN2MifQ=="/>
  </w:docVars>
  <w:rsids>
    <w:rsidRoot w:val="2F513C5E"/>
    <w:rsid w:val="000728B9"/>
    <w:rsid w:val="000A4B7B"/>
    <w:rsid w:val="001045B4"/>
    <w:rsid w:val="001675FF"/>
    <w:rsid w:val="001B5AA5"/>
    <w:rsid w:val="00311848"/>
    <w:rsid w:val="00367582"/>
    <w:rsid w:val="00446F66"/>
    <w:rsid w:val="004E0615"/>
    <w:rsid w:val="0051379A"/>
    <w:rsid w:val="0053098A"/>
    <w:rsid w:val="0053310C"/>
    <w:rsid w:val="00555EE4"/>
    <w:rsid w:val="00557202"/>
    <w:rsid w:val="00561137"/>
    <w:rsid w:val="005F2186"/>
    <w:rsid w:val="00640FF4"/>
    <w:rsid w:val="006D5D57"/>
    <w:rsid w:val="0073436B"/>
    <w:rsid w:val="007B1F6A"/>
    <w:rsid w:val="00881AD3"/>
    <w:rsid w:val="00900FC9"/>
    <w:rsid w:val="00940520"/>
    <w:rsid w:val="00B340FE"/>
    <w:rsid w:val="00B95256"/>
    <w:rsid w:val="00BB5166"/>
    <w:rsid w:val="00BD5E57"/>
    <w:rsid w:val="00CC5E62"/>
    <w:rsid w:val="00CF565B"/>
    <w:rsid w:val="00D5426E"/>
    <w:rsid w:val="00DE3C06"/>
    <w:rsid w:val="00E42CB4"/>
    <w:rsid w:val="00EE4023"/>
    <w:rsid w:val="00F51B00"/>
    <w:rsid w:val="2F513C5E"/>
    <w:rsid w:val="40B30605"/>
    <w:rsid w:val="4608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uiPriority w:val="0"/>
    <w:rPr>
      <w:rFonts w:ascii="Tahoma" w:hAnsi="Tahoma" w:eastAsia="微软雅黑"/>
      <w:sz w:val="18"/>
      <w:szCs w:val="18"/>
    </w:rPr>
  </w:style>
  <w:style w:type="character" w:customStyle="1" w:styleId="9">
    <w:name w:val="页脚 字符"/>
    <w:basedOn w:val="6"/>
    <w:link w:val="3"/>
    <w:uiPriority w:val="0"/>
    <w:rPr>
      <w:rFonts w:ascii="Tahoma" w:hAnsi="Tahoma" w:eastAsia="微软雅黑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1153</Words>
  <Characters>1199</Characters>
  <Lines>9</Lines>
  <Paragraphs>2</Paragraphs>
  <TotalTime>25</TotalTime>
  <ScaleCrop>false</ScaleCrop>
  <LinksUpToDate>false</LinksUpToDate>
  <CharactersWithSpaces>1242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2024-07-17T06:49:00Z</dcterms:created>
  <dc:creator>nonono</dc:creator>
  <cp:lastModifiedBy>DXFZ</cp:lastModifiedBy>
  <dcterms:modified xsi:type="dcterms:W3CDTF">2024-07-18T08:21:48Z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4AE371D5AF954CD1A4808DA2D8899016_13</vt:lpwstr>
  </property>
</Properties>
</file>