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0"/>
        <w:tblW w:w="1417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12"/>
        <w:gridCol w:w="49"/>
        <w:gridCol w:w="3191"/>
        <w:gridCol w:w="25"/>
        <w:gridCol w:w="96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95" w:type="dxa"/>
            <w:gridSpan w:val="5"/>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一、行政许可类行政职权运行通用责任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序号</w:t>
            </w:r>
          </w:p>
        </w:tc>
        <w:tc>
          <w:tcPr>
            <w:tcW w:w="1980" w:type="dxa"/>
            <w:gridSpan w:val="3"/>
            <w:tcBorders>
              <w:top w:val="single" w:color="auto" w:sz="6" w:space="0"/>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运行环节</w:t>
            </w: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w:t>
            </w:r>
          </w:p>
        </w:tc>
        <w:tc>
          <w:tcPr>
            <w:tcW w:w="1980" w:type="dxa"/>
            <w:gridSpan w:val="3"/>
            <w:vMerge w:val="restart"/>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(一)受理</w:t>
            </w: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接收申请人提交的材料。若申请人提交的申请材料不齐全、不符合法定形式,应当一次性告知申请人必须补正的全部内容。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2</w:t>
            </w:r>
          </w:p>
        </w:tc>
        <w:tc>
          <w:tcPr>
            <w:tcW w:w="1980" w:type="dxa"/>
            <w:gridSpan w:val="3"/>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受理或者不予受理行政许可申请,应当出具加盖行政机关专用印章和注明日期的书面凭证。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3</w:t>
            </w:r>
          </w:p>
        </w:tc>
        <w:tc>
          <w:tcPr>
            <w:tcW w:w="1980" w:type="dxa"/>
            <w:gridSpan w:val="3"/>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依法说明不受理行政许可申请或者不予行政许可的理由。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4</w:t>
            </w:r>
          </w:p>
        </w:tc>
        <w:tc>
          <w:tcPr>
            <w:tcW w:w="1980" w:type="dxa"/>
            <w:gridSpan w:val="3"/>
            <w:vMerge w:val="restart"/>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(二)审查</w:t>
            </w: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申请人提交的申请材料齐全、符合法定形式,能够当场作出决定的,当场作出书面的行政许可决定。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5</w:t>
            </w:r>
          </w:p>
        </w:tc>
        <w:tc>
          <w:tcPr>
            <w:tcW w:w="1980" w:type="dxa"/>
            <w:gridSpan w:val="3"/>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根据法定条件和程序,需要对申请材料的实质内容进行核实的,行政机关应当指派2名以上工作人员进行核查。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6</w:t>
            </w:r>
          </w:p>
        </w:tc>
        <w:tc>
          <w:tcPr>
            <w:tcW w:w="1980" w:type="dxa"/>
            <w:gridSpan w:val="3"/>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需依法举行听证的应当依法举行听证。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7</w:t>
            </w:r>
          </w:p>
        </w:tc>
        <w:tc>
          <w:tcPr>
            <w:tcW w:w="1980" w:type="dxa"/>
            <w:gridSpan w:val="3"/>
            <w:vMerge w:val="restart"/>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(三)决定</w:t>
            </w: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对符合法定条件的申请人应当在法定职权范围和期限内尽快作出准予行政许可的决定。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8</w:t>
            </w:r>
          </w:p>
        </w:tc>
        <w:tc>
          <w:tcPr>
            <w:tcW w:w="1980" w:type="dxa"/>
            <w:gridSpan w:val="3"/>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依法根据招标、拍卖结果或者考试成绩择优作出准予行政许可的决定。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9</w:t>
            </w:r>
          </w:p>
        </w:tc>
        <w:tc>
          <w:tcPr>
            <w:tcW w:w="1980" w:type="dxa"/>
            <w:gridSpan w:val="3"/>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依法作出不予行政许可的书面决定的,应当说明理由,并告知申请人享有依法申请行政复议或者提起行政诉讼的权利。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10</w:t>
            </w:r>
          </w:p>
        </w:tc>
        <w:tc>
          <w:tcPr>
            <w:tcW w:w="1980" w:type="dxa"/>
            <w:gridSpan w:val="3"/>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按法定项目和标准予以收费。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11</w:t>
            </w:r>
          </w:p>
        </w:tc>
        <w:tc>
          <w:tcPr>
            <w:tcW w:w="1980" w:type="dxa"/>
            <w:gridSpan w:val="3"/>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作出的准予行政许可决定,应当予以公开,公众有权查阅。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12</w:t>
            </w:r>
          </w:p>
        </w:tc>
        <w:tc>
          <w:tcPr>
            <w:tcW w:w="1980" w:type="dxa"/>
            <w:gridSpan w:val="3"/>
            <w:vMerge w:val="restart"/>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(四)送达</w:t>
            </w: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送达行政执法文书应当有送达回证,受送达人在送达回证上的签收日期为送达日期。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13</w:t>
            </w:r>
          </w:p>
        </w:tc>
        <w:tc>
          <w:tcPr>
            <w:tcW w:w="1980" w:type="dxa"/>
            <w:gridSpan w:val="3"/>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送达程序参照民事诉讼法有关规定执行。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14</w:t>
            </w:r>
          </w:p>
        </w:tc>
        <w:tc>
          <w:tcPr>
            <w:tcW w:w="1980" w:type="dxa"/>
            <w:gridSpan w:val="3"/>
            <w:vMerge w:val="restart"/>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(五)事后监管</w:t>
            </w: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建立健全监督制度,通过核查反映被许可人从事行政许可事项活动情况的有关材料,履行监督责任。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15</w:t>
            </w:r>
          </w:p>
        </w:tc>
        <w:tc>
          <w:tcPr>
            <w:tcW w:w="1980" w:type="dxa"/>
            <w:gridSpan w:val="3"/>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建立随机抽查制度,对被许可人生产经营的产品依法进行抽样检查、检验、检测,对其生产经营场所依法进行实地检查。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16</w:t>
            </w:r>
          </w:p>
        </w:tc>
        <w:tc>
          <w:tcPr>
            <w:tcW w:w="1980" w:type="dxa"/>
            <w:gridSpan w:val="3"/>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根据法律、行政法规的规定,对直接关系公共安全、人身健康、生命财产安全的重要设备、设施进行定期检验。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17</w:t>
            </w:r>
          </w:p>
        </w:tc>
        <w:tc>
          <w:tcPr>
            <w:tcW w:w="1980" w:type="dxa"/>
            <w:gridSpan w:val="3"/>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实施监督检查时,应当将监督检查的情况和处理结果予以记录,由监督检查人员签字后归档。公众有权查阅监督检查记录。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18</w:t>
            </w:r>
          </w:p>
        </w:tc>
        <w:tc>
          <w:tcPr>
            <w:tcW w:w="1980" w:type="dxa"/>
            <w:gridSpan w:val="3"/>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实施监督检查,不得妨碍被许可人正常的生产经营活动,不得索取或收受被许可人的财物,不得谋取其他利益。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95" w:type="dxa"/>
            <w:gridSpan w:val="5"/>
            <w:tcBorders>
              <w:top w:val="single" w:color="auto" w:sz="6" w:space="0"/>
              <w:left w:val="single" w:color="000000" w:sz="6" w:space="0"/>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二、行政处罚类行政职权运行通用责任清单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序号</w:t>
            </w:r>
          </w:p>
        </w:tc>
        <w:tc>
          <w:tcPr>
            <w:tcW w:w="1980" w:type="dxa"/>
            <w:gridSpan w:val="3"/>
            <w:tcBorders>
              <w:top w:val="single" w:color="auto" w:sz="6" w:space="0"/>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运行环节</w:t>
            </w: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w:t>
            </w:r>
          </w:p>
        </w:tc>
        <w:tc>
          <w:tcPr>
            <w:tcW w:w="1980" w:type="dxa"/>
            <w:gridSpan w:val="3"/>
            <w:tcBorders>
              <w:top w:val="single" w:color="auto" w:sz="6" w:space="0"/>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(一)立案</w:t>
            </w: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对符合立案条件的案件及时立案。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2</w:t>
            </w:r>
          </w:p>
        </w:tc>
        <w:tc>
          <w:tcPr>
            <w:tcW w:w="1980" w:type="dxa"/>
            <w:gridSpan w:val="3"/>
            <w:vMerge w:val="restart"/>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(二)调查</w:t>
            </w: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出示执法身份证件,表明执法身份。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3</w:t>
            </w:r>
          </w:p>
        </w:tc>
        <w:tc>
          <w:tcPr>
            <w:tcW w:w="1980" w:type="dxa"/>
            <w:gridSpan w:val="3"/>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应当有2名以上(含2名)行政执法人员共同参加调查取证。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4</w:t>
            </w:r>
          </w:p>
        </w:tc>
        <w:tc>
          <w:tcPr>
            <w:tcW w:w="1980" w:type="dxa"/>
            <w:gridSpan w:val="3"/>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法调查和保存证据。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5</w:t>
            </w:r>
          </w:p>
        </w:tc>
        <w:tc>
          <w:tcPr>
            <w:tcW w:w="1980" w:type="dxa"/>
            <w:gridSpan w:val="3"/>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适用简易程序的,当场制作行政处罚决定书并当场交付,在事后难以执行及特殊情况下应当当场收缴罚款。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6</w:t>
            </w:r>
          </w:p>
        </w:tc>
        <w:tc>
          <w:tcPr>
            <w:tcW w:w="1980" w:type="dxa"/>
            <w:gridSpan w:val="3"/>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适用简易程序的,执法人员当场作出的行政处罚决定应当报所属行政机关备案。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7</w:t>
            </w:r>
          </w:p>
        </w:tc>
        <w:tc>
          <w:tcPr>
            <w:tcW w:w="1980" w:type="dxa"/>
            <w:gridSpan w:val="3"/>
            <w:vMerge w:val="restart"/>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(三)审查</w:t>
            </w: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审理案件调查报告,对案件违法事实、证据、调查取证程序、法律适用、处罚种类和幅度、当事人陈述和申辩理由等方面进行审查,提出处理意见(主要证据不足时,以适当的方式补充调查)。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8</w:t>
            </w:r>
          </w:p>
        </w:tc>
        <w:tc>
          <w:tcPr>
            <w:tcW w:w="1980" w:type="dxa"/>
            <w:gridSpan w:val="3"/>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构成犯罪的,移送司法机关依法追究刑事责任。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9</w:t>
            </w:r>
          </w:p>
        </w:tc>
        <w:tc>
          <w:tcPr>
            <w:tcW w:w="1980" w:type="dxa"/>
            <w:gridSpan w:val="3"/>
            <w:vMerge w:val="restart"/>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(四)告知</w:t>
            </w: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在作出行政处罚前,应告知当事人作出行政处罚决定的事实、理由及依据,并告知当事人依法享有的权利。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10</w:t>
            </w:r>
          </w:p>
        </w:tc>
        <w:tc>
          <w:tcPr>
            <w:tcW w:w="1980" w:type="dxa"/>
            <w:gridSpan w:val="3"/>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依法告知当事人有举行听证的权利,当事人要求听证的,应当依法组织听证。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11</w:t>
            </w:r>
          </w:p>
        </w:tc>
        <w:tc>
          <w:tcPr>
            <w:tcW w:w="1980" w:type="dxa"/>
            <w:gridSpan w:val="3"/>
            <w:vMerge w:val="restart"/>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(五)决定</w:t>
            </w: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充分听取当事人的意见,对当事人提出的事实、理由和证据,应当进行复核;当事人提出的事实、理由或者证据成立的,应当采纳,不得因当事人申辩而加重处罚。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12</w:t>
            </w:r>
          </w:p>
        </w:tc>
        <w:tc>
          <w:tcPr>
            <w:tcW w:w="1980" w:type="dxa"/>
            <w:gridSpan w:val="3"/>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对情节复杂或者重大违法行为给予较重的行政处罚,应当集体讨论决定。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13</w:t>
            </w:r>
          </w:p>
        </w:tc>
        <w:tc>
          <w:tcPr>
            <w:tcW w:w="1980" w:type="dxa"/>
            <w:gridSpan w:val="3"/>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依法决定给予行政处罚,制作行政处罚决定书,并在处罚决定书中告知对处罚决定不服的可以依法申请行政复议或者提起行政诉讼。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14</w:t>
            </w:r>
          </w:p>
        </w:tc>
        <w:tc>
          <w:tcPr>
            <w:tcW w:w="1980" w:type="dxa"/>
            <w:gridSpan w:val="3"/>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对当事人的同一个违法行为,不得给予两次以上罚款的行政处罚。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15</w:t>
            </w:r>
          </w:p>
        </w:tc>
        <w:tc>
          <w:tcPr>
            <w:tcW w:w="1980" w:type="dxa"/>
            <w:gridSpan w:val="3"/>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实施行政处罚时,应当责令当事人改正或者限期改正违法行为。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16</w:t>
            </w:r>
          </w:p>
        </w:tc>
        <w:tc>
          <w:tcPr>
            <w:tcW w:w="1980" w:type="dxa"/>
            <w:gridSpan w:val="3"/>
            <w:tcBorders>
              <w:top w:val="single" w:color="auto" w:sz="6" w:space="0"/>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(六)送达</w:t>
            </w: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行政处罚决定书应当在宣告后当场交付当事人;当事人不在场的,行政机关应当在7日内依照民事诉讼法的有关规定,将行政处罚决定书送达当事人。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17</w:t>
            </w:r>
          </w:p>
        </w:tc>
        <w:tc>
          <w:tcPr>
            <w:tcW w:w="1980" w:type="dxa"/>
            <w:gridSpan w:val="3"/>
            <w:vMerge w:val="restart"/>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(七)执行</w:t>
            </w: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使用法定部门制发的罚款、没收财物单据进行罚款、没收财物等处罚。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18</w:t>
            </w:r>
          </w:p>
        </w:tc>
        <w:tc>
          <w:tcPr>
            <w:tcW w:w="1980" w:type="dxa"/>
            <w:gridSpan w:val="3"/>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对当事人的同一个违法行为,不得给予两次以上罚款的行政处罚。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19</w:t>
            </w:r>
          </w:p>
        </w:tc>
        <w:tc>
          <w:tcPr>
            <w:tcW w:w="1980" w:type="dxa"/>
            <w:gridSpan w:val="3"/>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实施行政处罚时,应当责令当事人改正或者限期改正违法行为。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95" w:type="dxa"/>
            <w:gridSpan w:val="5"/>
            <w:tcBorders>
              <w:top w:val="single" w:color="auto" w:sz="6" w:space="0"/>
              <w:left w:val="single" w:color="000000" w:sz="6" w:space="0"/>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三、行政确认类行政职权运行通用责任清单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序号</w:t>
            </w:r>
          </w:p>
        </w:tc>
        <w:tc>
          <w:tcPr>
            <w:tcW w:w="1980" w:type="dxa"/>
            <w:gridSpan w:val="3"/>
            <w:tcBorders>
              <w:top w:val="single" w:color="auto" w:sz="6" w:space="0"/>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运行环节</w:t>
            </w: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w:t>
            </w:r>
          </w:p>
        </w:tc>
        <w:tc>
          <w:tcPr>
            <w:tcW w:w="1980" w:type="dxa"/>
            <w:gridSpan w:val="3"/>
            <w:vMerge w:val="restart"/>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(一)受理</w:t>
            </w: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对符合确认条件的,当场受理。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2</w:t>
            </w:r>
          </w:p>
        </w:tc>
        <w:tc>
          <w:tcPr>
            <w:tcW w:w="1980" w:type="dxa"/>
            <w:gridSpan w:val="3"/>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申请材料不齐全或者不符合法定形式的,应当一次性告知申请人需要补正的全部内容和合理的补正期限。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3</w:t>
            </w:r>
          </w:p>
        </w:tc>
        <w:tc>
          <w:tcPr>
            <w:tcW w:w="1980" w:type="dxa"/>
            <w:gridSpan w:val="3"/>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对不符合受理条件的,应当书面告知办理人不予办理行政确认的理由和依据。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4</w:t>
            </w:r>
          </w:p>
        </w:tc>
        <w:tc>
          <w:tcPr>
            <w:tcW w:w="1980" w:type="dxa"/>
            <w:gridSpan w:val="3"/>
            <w:vMerge w:val="restart"/>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(二)确认</w:t>
            </w: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在法定期限(承诺期限)内完成确认。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5</w:t>
            </w:r>
          </w:p>
        </w:tc>
        <w:tc>
          <w:tcPr>
            <w:tcW w:w="1980" w:type="dxa"/>
            <w:gridSpan w:val="3"/>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严格按照流程图规定进行研究确认,不得提高确认标准、扩大确认范围等。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6</w:t>
            </w:r>
          </w:p>
        </w:tc>
        <w:tc>
          <w:tcPr>
            <w:tcW w:w="1980" w:type="dxa"/>
            <w:gridSpan w:val="3"/>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按照一定的技术规范要求以书面形式作出决定,并发放确认文书。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7</w:t>
            </w:r>
          </w:p>
        </w:tc>
        <w:tc>
          <w:tcPr>
            <w:tcW w:w="1980" w:type="dxa"/>
            <w:gridSpan w:val="3"/>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不符合确认要求的不予确认,并说明理由。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8</w:t>
            </w:r>
          </w:p>
        </w:tc>
        <w:tc>
          <w:tcPr>
            <w:tcW w:w="1980" w:type="dxa"/>
            <w:gridSpan w:val="3"/>
            <w:tcBorders>
              <w:top w:val="single" w:color="auto" w:sz="6" w:space="0"/>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(三)送达</w:t>
            </w: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送达程序参照民事诉讼法有关规定执行。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5" w:type="dxa"/>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9</w:t>
            </w:r>
          </w:p>
        </w:tc>
        <w:tc>
          <w:tcPr>
            <w:tcW w:w="1980" w:type="dxa"/>
            <w:gridSpan w:val="3"/>
            <w:tcBorders>
              <w:top w:val="single" w:color="auto" w:sz="6" w:space="0"/>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(四)事后监管</w:t>
            </w: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建立健全事后监管制度,依法履行监督责任。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95" w:type="dxa"/>
            <w:gridSpan w:val="5"/>
            <w:tcBorders>
              <w:top w:val="single" w:color="auto" w:sz="6" w:space="0"/>
              <w:left w:val="single" w:color="000000" w:sz="6" w:space="0"/>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四、行政强制类(行政强制措施)行政职权运行通用责任清单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序号</w:t>
            </w:r>
          </w:p>
        </w:tc>
        <w:tc>
          <w:tcPr>
            <w:tcW w:w="1950" w:type="dxa"/>
            <w:gridSpan w:val="2"/>
            <w:tcBorders>
              <w:top w:val="single" w:color="auto" w:sz="6" w:space="0"/>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运行环节</w:t>
            </w: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w:t>
            </w:r>
          </w:p>
        </w:tc>
        <w:tc>
          <w:tcPr>
            <w:tcW w:w="1950" w:type="dxa"/>
            <w:gridSpan w:val="2"/>
            <w:vMerge w:val="restart"/>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(一)决定</w:t>
            </w: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实施前应当先报告,经批准后作出实施行政强制措施的决定。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2</w:t>
            </w:r>
          </w:p>
        </w:tc>
        <w:tc>
          <w:tcPr>
            <w:tcW w:w="1950" w:type="dxa"/>
            <w:gridSpan w:val="2"/>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批准实施行政强制措施应当符合法定条件。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3</w:t>
            </w:r>
          </w:p>
        </w:tc>
        <w:tc>
          <w:tcPr>
            <w:tcW w:w="1950" w:type="dxa"/>
            <w:gridSpan w:val="2"/>
            <w:vMerge w:val="restart"/>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(二)执行</w:t>
            </w: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由2名以上具备资格的行政执法人员实施,其他人员不得实施。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4</w:t>
            </w:r>
          </w:p>
        </w:tc>
        <w:tc>
          <w:tcPr>
            <w:tcW w:w="1950" w:type="dxa"/>
            <w:gridSpan w:val="2"/>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行政执法人员应当现场出示执法身份证件。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5</w:t>
            </w:r>
          </w:p>
        </w:tc>
        <w:tc>
          <w:tcPr>
            <w:tcW w:w="1950" w:type="dxa"/>
            <w:gridSpan w:val="2"/>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实施行政强制措施时应当通知当事人到场,并告知当事人采取行政强制措施的理由、依据以及当事人依法享有的权利、救济途径。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6</w:t>
            </w:r>
          </w:p>
        </w:tc>
        <w:tc>
          <w:tcPr>
            <w:tcW w:w="1950" w:type="dxa"/>
            <w:gridSpan w:val="2"/>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充分听取当事人的意见,对当事人提出的事实、理由和证据,应当进行复核,当事人提出的事实、理由或者证据成立的,应当采纳。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7</w:t>
            </w:r>
          </w:p>
        </w:tc>
        <w:tc>
          <w:tcPr>
            <w:tcW w:w="1950" w:type="dxa"/>
            <w:gridSpan w:val="2"/>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制作现场笔录,现场笔录由当事人和行政执法人员签名或者盖章,当事人拒绝的,在笔录中予以注明。当事人不到场的,邀请见证人到场,由见证人和行政执法人员在现场笔录上签名或者盖章。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8</w:t>
            </w:r>
          </w:p>
        </w:tc>
        <w:tc>
          <w:tcPr>
            <w:tcW w:w="1950" w:type="dxa"/>
            <w:gridSpan w:val="2"/>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实施限制公民人身自由的行政强制措施,应当场告知或者实施行政强制措施后立即通知当事人家属实施行政强制措施的行政机关、地点和期限。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9</w:t>
            </w:r>
          </w:p>
        </w:tc>
        <w:tc>
          <w:tcPr>
            <w:tcW w:w="1950" w:type="dxa"/>
            <w:gridSpan w:val="2"/>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对依法应当没收或法律、行政法规规定应当销毁的,应当依法予以没收或销毁。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10</w:t>
            </w:r>
          </w:p>
        </w:tc>
        <w:tc>
          <w:tcPr>
            <w:tcW w:w="1950" w:type="dxa"/>
            <w:gridSpan w:val="2"/>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情况紧急,需要当场实施行政强制措施的,行政执法人员应当在24小时内向行政机关负责人报告,并补办批准手续。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11</w:t>
            </w:r>
          </w:p>
        </w:tc>
        <w:tc>
          <w:tcPr>
            <w:tcW w:w="1950" w:type="dxa"/>
            <w:gridSpan w:val="2"/>
            <w:vMerge w:val="restart"/>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(三)解除</w:t>
            </w: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对符合解除行政强制措施条件的,应当依法解除行政强制措施。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12</w:t>
            </w:r>
          </w:p>
        </w:tc>
        <w:tc>
          <w:tcPr>
            <w:tcW w:w="1950" w:type="dxa"/>
            <w:gridSpan w:val="2"/>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对构成犯罪的,依法、及时移送司法机关。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13</w:t>
            </w:r>
          </w:p>
        </w:tc>
        <w:tc>
          <w:tcPr>
            <w:tcW w:w="1950" w:type="dxa"/>
            <w:gridSpan w:val="2"/>
            <w:tcBorders>
              <w:top w:val="single" w:color="auto" w:sz="6" w:space="0"/>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(四)事后监管</w:t>
            </w:r>
          </w:p>
        </w:tc>
        <w:tc>
          <w:tcPr>
            <w:tcW w:w="5880" w:type="dxa"/>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建立健全事后监管制度,依法履行监督责任。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95" w:type="dxa"/>
            <w:gridSpan w:val="5"/>
            <w:tcBorders>
              <w:top w:val="single" w:color="auto" w:sz="6" w:space="0"/>
              <w:left w:val="single" w:color="000000" w:sz="6" w:space="0"/>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五、行政强制类(行政强制执行)行政职权运行通用责任清单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序号</w:t>
            </w:r>
          </w:p>
        </w:tc>
        <w:tc>
          <w:tcPr>
            <w:tcW w:w="1935" w:type="dxa"/>
            <w:tcBorders>
              <w:top w:val="single" w:color="auto" w:sz="6" w:space="0"/>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运行环节</w:t>
            </w: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w:t>
            </w:r>
          </w:p>
        </w:tc>
        <w:tc>
          <w:tcPr>
            <w:tcW w:w="1935" w:type="dxa"/>
            <w:vMerge w:val="restart"/>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(一)催告</w:t>
            </w: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行政机关作出强制执行决定前,应当事先书面催告当事人履行义务。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2</w:t>
            </w:r>
          </w:p>
        </w:tc>
        <w:tc>
          <w:tcPr>
            <w:tcW w:w="1935" w:type="dxa"/>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催告书应当直接送达当事人。当事人拒绝接收或者无法直接送达当事人的,依照民事诉讼法的有关规定送达。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3</w:t>
            </w:r>
          </w:p>
        </w:tc>
        <w:tc>
          <w:tcPr>
            <w:tcW w:w="1935" w:type="dxa"/>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催告期间,对有证据证明有转移或者隐匿财物迹象的,可以作出立即强制执行决定。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4</w:t>
            </w:r>
          </w:p>
        </w:tc>
        <w:tc>
          <w:tcPr>
            <w:tcW w:w="1935" w:type="dxa"/>
            <w:vMerge w:val="restart"/>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(二)决定</w:t>
            </w: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充分听取当事人的意见,对当事人提出的事实、理由和证据,应当进行记录、复核。当事人提出的事实、理由或者证据成立的,应当采纳。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5</w:t>
            </w:r>
          </w:p>
        </w:tc>
        <w:tc>
          <w:tcPr>
            <w:tcW w:w="1935" w:type="dxa"/>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经催告,当事人逾期仍不履行行政决定,且无正当理由的,应当作出书面强制执行决定。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6</w:t>
            </w:r>
          </w:p>
        </w:tc>
        <w:tc>
          <w:tcPr>
            <w:tcW w:w="1935" w:type="dxa"/>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行政强制执行决定书催告书应当直接送达当事人。当事人拒绝接收或者无法直接送达当事人的,依照民事诉讼法的有关规定送达。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7</w:t>
            </w:r>
          </w:p>
        </w:tc>
        <w:tc>
          <w:tcPr>
            <w:tcW w:w="1935" w:type="dxa"/>
            <w:vMerge w:val="restart"/>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(三)执行</w:t>
            </w: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依法实施行政强制执行。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8</w:t>
            </w:r>
          </w:p>
        </w:tc>
        <w:tc>
          <w:tcPr>
            <w:tcW w:w="1935" w:type="dxa"/>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不得在夜间或者法定节假日实施行政强制执行,情况紧急的除外;不得对居民生活采取停止供水、供电、供热、供燃气等方式迫使当事人履行相关行政决定。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9</w:t>
            </w:r>
          </w:p>
        </w:tc>
        <w:tc>
          <w:tcPr>
            <w:tcW w:w="1935" w:type="dxa"/>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对违法的建筑物、构筑物、设施等需要强制拆除的,应当予以公告,限期当事人自行拆除。当事人在法定期限内不申请行政复议或者提起行政诉讼,又不拆除的,可依法强制拆除。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10</w:t>
            </w:r>
          </w:p>
        </w:tc>
        <w:tc>
          <w:tcPr>
            <w:tcW w:w="1935" w:type="dxa"/>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划拨的存款、汇款以及拍卖和依法处理所得的款项应当上缴国库或者划入财政专户,不得以任何形式截留、私分或者变相私分。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11</w:t>
            </w:r>
          </w:p>
        </w:tc>
        <w:tc>
          <w:tcPr>
            <w:tcW w:w="1935" w:type="dxa"/>
            <w:tcBorders>
              <w:top w:val="single" w:color="auto" w:sz="6" w:space="0"/>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(四)事后监管</w:t>
            </w: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建立健全事后监管制度,依法履行监督责任。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95" w:type="dxa"/>
            <w:gridSpan w:val="5"/>
            <w:tcBorders>
              <w:top w:val="single" w:color="auto" w:sz="6" w:space="0"/>
              <w:left w:val="single" w:color="000000" w:sz="6" w:space="0"/>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六、行政征收类(税费类)行政职权运行通用责任清单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序号</w:t>
            </w:r>
          </w:p>
        </w:tc>
        <w:tc>
          <w:tcPr>
            <w:tcW w:w="1935" w:type="dxa"/>
            <w:tcBorders>
              <w:top w:val="single" w:color="auto" w:sz="6" w:space="0"/>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运行环节</w:t>
            </w: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w:t>
            </w:r>
          </w:p>
        </w:tc>
        <w:tc>
          <w:tcPr>
            <w:tcW w:w="1935" w:type="dxa"/>
            <w:tcBorders>
              <w:top w:val="single" w:color="auto" w:sz="6" w:space="0"/>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(一)受理</w:t>
            </w: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一次性告知申报人需提交的申报材料及办理流程。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2</w:t>
            </w:r>
          </w:p>
        </w:tc>
        <w:tc>
          <w:tcPr>
            <w:tcW w:w="1935" w:type="dxa"/>
            <w:tcBorders>
              <w:top w:val="single" w:color="auto" w:sz="6" w:space="0"/>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(二)审核</w:t>
            </w: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对申报材料依法及时进行审核。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3</w:t>
            </w:r>
          </w:p>
        </w:tc>
        <w:tc>
          <w:tcPr>
            <w:tcW w:w="1935" w:type="dxa"/>
            <w:vMerge w:val="restart"/>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(三)决定</w:t>
            </w: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依法出具纳税或缴费凭证。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4</w:t>
            </w:r>
          </w:p>
        </w:tc>
        <w:tc>
          <w:tcPr>
            <w:tcW w:w="1935" w:type="dxa"/>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当事人缴纳超过应缴纳的税费,应当退还。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5</w:t>
            </w:r>
          </w:p>
        </w:tc>
        <w:tc>
          <w:tcPr>
            <w:tcW w:w="1935" w:type="dxa"/>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不得截留、私分或擅自开支征收款。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6</w:t>
            </w:r>
          </w:p>
        </w:tc>
        <w:tc>
          <w:tcPr>
            <w:tcW w:w="1935" w:type="dxa"/>
            <w:tcBorders>
              <w:top w:val="single" w:color="auto" w:sz="6" w:space="0"/>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(四)事后监管</w:t>
            </w: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开展检查,及时稽查,加强日常监管。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95" w:type="dxa"/>
            <w:gridSpan w:val="5"/>
            <w:tcBorders>
              <w:top w:val="single" w:color="auto" w:sz="6" w:space="0"/>
              <w:left w:val="single" w:color="000000" w:sz="6" w:space="0"/>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七、行政征收类(实物类)行政职权运行通用责任清单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序号</w:t>
            </w:r>
          </w:p>
        </w:tc>
        <w:tc>
          <w:tcPr>
            <w:tcW w:w="1935" w:type="dxa"/>
            <w:tcBorders>
              <w:top w:val="single" w:color="auto" w:sz="6" w:space="0"/>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运行环节</w:t>
            </w: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w:t>
            </w:r>
          </w:p>
        </w:tc>
        <w:tc>
          <w:tcPr>
            <w:tcW w:w="1935" w:type="dxa"/>
            <w:tcBorders>
              <w:top w:val="single" w:color="auto" w:sz="6" w:space="0"/>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(一)制定方案</w:t>
            </w: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拟定征收补偿方案。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2</w:t>
            </w:r>
          </w:p>
        </w:tc>
        <w:tc>
          <w:tcPr>
            <w:tcW w:w="1935" w:type="dxa"/>
            <w:vMerge w:val="restart"/>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(二)决定</w:t>
            </w: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应当在社会稳定风险评估基础上作出征收决定。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3</w:t>
            </w:r>
          </w:p>
        </w:tc>
        <w:tc>
          <w:tcPr>
            <w:tcW w:w="1935" w:type="dxa"/>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应当及时公告征收决定。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4</w:t>
            </w:r>
          </w:p>
        </w:tc>
        <w:tc>
          <w:tcPr>
            <w:tcW w:w="1935" w:type="dxa"/>
            <w:vMerge w:val="restart"/>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(三)实施</w:t>
            </w: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依据征收决定进行征收。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5</w:t>
            </w:r>
          </w:p>
        </w:tc>
        <w:tc>
          <w:tcPr>
            <w:tcW w:w="1935" w:type="dxa"/>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根据补偿安置方案进行补偿、安置。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6</w:t>
            </w:r>
          </w:p>
        </w:tc>
        <w:tc>
          <w:tcPr>
            <w:tcW w:w="1935" w:type="dxa"/>
            <w:vMerge w:val="restart"/>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(四)事后监管</w:t>
            </w: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应当依法建立征收补偿档案。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7</w:t>
            </w:r>
          </w:p>
        </w:tc>
        <w:tc>
          <w:tcPr>
            <w:tcW w:w="1935" w:type="dxa"/>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对征收补偿费用管理和使用情况进行监督。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95" w:type="dxa"/>
            <w:gridSpan w:val="5"/>
            <w:tcBorders>
              <w:top w:val="single" w:color="auto" w:sz="6" w:space="0"/>
              <w:left w:val="single" w:color="000000" w:sz="6" w:space="0"/>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八、行政裁决类行政职权运行通用责任清单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序号</w:t>
            </w:r>
          </w:p>
        </w:tc>
        <w:tc>
          <w:tcPr>
            <w:tcW w:w="1935" w:type="dxa"/>
            <w:tcBorders>
              <w:top w:val="single" w:color="auto" w:sz="6" w:space="0"/>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运行环节</w:t>
            </w: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w:t>
            </w:r>
          </w:p>
        </w:tc>
        <w:tc>
          <w:tcPr>
            <w:tcW w:w="1935" w:type="dxa"/>
            <w:vMerge w:val="restart"/>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(一)受理</w:t>
            </w: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对符合受理条件的,应当制作受理通知书,并送达申请人。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2</w:t>
            </w:r>
          </w:p>
        </w:tc>
        <w:tc>
          <w:tcPr>
            <w:tcW w:w="1935" w:type="dxa"/>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申请材料不齐全或者不符合法定形式的,应当一次性告知申请人需要补正的全部内容和合理的补正期限。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3</w:t>
            </w:r>
          </w:p>
        </w:tc>
        <w:tc>
          <w:tcPr>
            <w:tcW w:w="1935" w:type="dxa"/>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对不符合受理条件的,应当书面告知申请人不予受理的理由和依据。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4</w:t>
            </w:r>
          </w:p>
        </w:tc>
        <w:tc>
          <w:tcPr>
            <w:tcW w:w="1935" w:type="dxa"/>
            <w:vMerge w:val="restart"/>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(二)审理</w:t>
            </w: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在法定期限内进行审理。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5</w:t>
            </w:r>
          </w:p>
        </w:tc>
        <w:tc>
          <w:tcPr>
            <w:tcW w:w="1935" w:type="dxa"/>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通知争议申请人及对方当事人,并要求对方当事人在规定的期限内提交相关材料。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6</w:t>
            </w:r>
          </w:p>
        </w:tc>
        <w:tc>
          <w:tcPr>
            <w:tcW w:w="1935" w:type="dxa"/>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对争议的事实、证据材料进行审查,针对疑问情况或经当事人请求,举行公开听证,由当事人双方当面陈述案情,进行辩论、举证、质证,以查明案情。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7</w:t>
            </w:r>
          </w:p>
        </w:tc>
        <w:tc>
          <w:tcPr>
            <w:tcW w:w="1935" w:type="dxa"/>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审理时对确有必要的应当进行实地调查。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8</w:t>
            </w:r>
          </w:p>
        </w:tc>
        <w:tc>
          <w:tcPr>
            <w:tcW w:w="1935" w:type="dxa"/>
            <w:tcBorders>
              <w:top w:val="single" w:color="auto" w:sz="6" w:space="0"/>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(三)裁决</w:t>
            </w: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根据事实和法律、法规作出裁决,制作并向双方当事人送达裁决书。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9</w:t>
            </w:r>
          </w:p>
        </w:tc>
        <w:tc>
          <w:tcPr>
            <w:tcW w:w="1935" w:type="dxa"/>
            <w:tcBorders>
              <w:top w:val="single" w:color="auto" w:sz="6" w:space="0"/>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(四)执行</w:t>
            </w: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裁决生效后,争议当事人应当自觉履行。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95" w:type="dxa"/>
            <w:gridSpan w:val="5"/>
            <w:tcBorders>
              <w:top w:val="single" w:color="auto" w:sz="6" w:space="0"/>
              <w:left w:val="single" w:color="000000" w:sz="6" w:space="0"/>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九、行政给付行政职权运行通用责任清单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序号</w:t>
            </w:r>
          </w:p>
        </w:tc>
        <w:tc>
          <w:tcPr>
            <w:tcW w:w="1935" w:type="dxa"/>
            <w:tcBorders>
              <w:top w:val="single" w:color="auto" w:sz="6" w:space="0"/>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运行环节</w:t>
            </w: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w:t>
            </w:r>
          </w:p>
        </w:tc>
        <w:tc>
          <w:tcPr>
            <w:tcW w:w="1935" w:type="dxa"/>
            <w:vMerge w:val="restart"/>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(一)受理</w:t>
            </w: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对符合受理条件的,应当受理,并制作受理通知书;对不符合受理条件的不予受理,并书面告知申请人不予受理的理由和依据。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2</w:t>
            </w:r>
          </w:p>
        </w:tc>
        <w:tc>
          <w:tcPr>
            <w:tcW w:w="1935" w:type="dxa"/>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申请材料不齐全或者不符合法定形式的,应当一次性告知申请人需要补正的全部内容和合理的补正期限。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3</w:t>
            </w:r>
          </w:p>
        </w:tc>
        <w:tc>
          <w:tcPr>
            <w:tcW w:w="1935" w:type="dxa"/>
            <w:tcBorders>
              <w:top w:val="single" w:color="auto" w:sz="6" w:space="0"/>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(二)审查</w:t>
            </w: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在法定期限(承诺期限)内完成审查。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4</w:t>
            </w:r>
          </w:p>
        </w:tc>
        <w:tc>
          <w:tcPr>
            <w:tcW w:w="1935" w:type="dxa"/>
            <w:vMerge w:val="restart"/>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(三)决定</w:t>
            </w: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对于符合条件的,作出给于给付的决定,明确给付标准以及后续办事事宜,并通知申请人前来领取。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5</w:t>
            </w:r>
          </w:p>
        </w:tc>
        <w:tc>
          <w:tcPr>
            <w:tcW w:w="1935" w:type="dxa"/>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对不符合给付条件的,书面告知申请人不予给付的理由和依据。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6</w:t>
            </w:r>
          </w:p>
        </w:tc>
        <w:tc>
          <w:tcPr>
            <w:tcW w:w="1935" w:type="dxa"/>
            <w:tcBorders>
              <w:top w:val="single" w:color="auto" w:sz="6" w:space="0"/>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(四)给付</w:t>
            </w: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按照规定标准予以给付。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7</w:t>
            </w:r>
          </w:p>
        </w:tc>
        <w:tc>
          <w:tcPr>
            <w:tcW w:w="1935" w:type="dxa"/>
            <w:tcBorders>
              <w:top w:val="single" w:color="auto" w:sz="6" w:space="0"/>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(五)事后监管</w:t>
            </w: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开展检查,加强日常监管。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95" w:type="dxa"/>
            <w:gridSpan w:val="5"/>
            <w:tcBorders>
              <w:top w:val="single" w:color="auto" w:sz="6" w:space="0"/>
              <w:left w:val="single" w:color="000000" w:sz="6" w:space="0"/>
              <w:bottom w:val="single" w:color="auto" w:sz="6" w:space="0"/>
              <w:right w:val="nil"/>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十、行政奖励类行政职权运行通用责任清单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序号</w:t>
            </w:r>
          </w:p>
        </w:tc>
        <w:tc>
          <w:tcPr>
            <w:tcW w:w="1935" w:type="dxa"/>
            <w:tcBorders>
              <w:top w:val="single" w:color="auto" w:sz="6" w:space="0"/>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运行环节</w:t>
            </w: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w:t>
            </w:r>
          </w:p>
        </w:tc>
        <w:tc>
          <w:tcPr>
            <w:tcW w:w="1935" w:type="dxa"/>
            <w:tcBorders>
              <w:top w:val="single" w:color="auto" w:sz="6" w:space="0"/>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(一)制定方案</w:t>
            </w: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依法科学制定奖励方案,明确奖励条件、程序等内容。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2</w:t>
            </w:r>
          </w:p>
        </w:tc>
        <w:tc>
          <w:tcPr>
            <w:tcW w:w="1935" w:type="dxa"/>
            <w:vMerge w:val="restart"/>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(二)审核公示</w:t>
            </w: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对符合条件的推荐对象进行审核审定,并进行公示。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3</w:t>
            </w:r>
          </w:p>
        </w:tc>
        <w:tc>
          <w:tcPr>
            <w:tcW w:w="1935" w:type="dxa"/>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依法、及时调查核实举报投诉涉及问题。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4</w:t>
            </w:r>
          </w:p>
        </w:tc>
        <w:tc>
          <w:tcPr>
            <w:tcW w:w="1935" w:type="dxa"/>
            <w:vMerge w:val="restart"/>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(三)实施奖励</w:t>
            </w: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依法、及时按程序报批决定奖励的等级和金额。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5</w:t>
            </w:r>
          </w:p>
        </w:tc>
        <w:tc>
          <w:tcPr>
            <w:tcW w:w="1935" w:type="dxa"/>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及时通知当事人领取奖励。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95" w:type="dxa"/>
            <w:gridSpan w:val="5"/>
            <w:tcBorders>
              <w:top w:val="single" w:color="auto" w:sz="6" w:space="0"/>
              <w:left w:val="single" w:color="000000" w:sz="6" w:space="0"/>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十一、行政检查类行政职权运行通用责任清单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序号</w:t>
            </w:r>
          </w:p>
        </w:tc>
        <w:tc>
          <w:tcPr>
            <w:tcW w:w="1935" w:type="dxa"/>
            <w:tcBorders>
              <w:top w:val="single" w:color="auto" w:sz="6" w:space="0"/>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运行环节</w:t>
            </w: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w:t>
            </w:r>
          </w:p>
        </w:tc>
        <w:tc>
          <w:tcPr>
            <w:tcW w:w="1935" w:type="dxa"/>
            <w:vMerge w:val="restart"/>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(一)制定方案</w:t>
            </w: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实施检查前应当依法制定含有正当理由、事项和内容的检查方案。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2</w:t>
            </w:r>
          </w:p>
        </w:tc>
        <w:tc>
          <w:tcPr>
            <w:tcW w:w="1935" w:type="dxa"/>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同一行政机关的多个内设机构和下属机构对同一当事人不同事项的行政检查,能够合并检查的应当合并检查。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3</w:t>
            </w:r>
          </w:p>
        </w:tc>
        <w:tc>
          <w:tcPr>
            <w:tcW w:w="1935" w:type="dxa"/>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上下级行政机关应当按照级别管辖和地域管辖相结合的原则合理划分检查范围,避免重复检查。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4</w:t>
            </w:r>
          </w:p>
        </w:tc>
        <w:tc>
          <w:tcPr>
            <w:tcW w:w="1935" w:type="dxa"/>
            <w:vMerge w:val="restart"/>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(二)实施检查</w:t>
            </w: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依照检查方案规定的时限、范围开展检查。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5</w:t>
            </w:r>
          </w:p>
        </w:tc>
        <w:tc>
          <w:tcPr>
            <w:tcW w:w="1935" w:type="dxa"/>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实施检查时应当出示执法身份证件、检查方案。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6</w:t>
            </w:r>
          </w:p>
        </w:tc>
        <w:tc>
          <w:tcPr>
            <w:tcW w:w="1935" w:type="dxa"/>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依法查阅资料、查看现场、听取当事人陈述申辩并取证。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7</w:t>
            </w:r>
          </w:p>
        </w:tc>
        <w:tc>
          <w:tcPr>
            <w:tcW w:w="1935" w:type="dxa"/>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实施检查应当不影响当事人的正常生产经营活动与生活。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8</w:t>
            </w:r>
          </w:p>
        </w:tc>
        <w:tc>
          <w:tcPr>
            <w:tcW w:w="1935" w:type="dxa"/>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依法告知当事人检查中发现的违法行为及处理意见,对不服处理意见的,可以依法申请行政复议或提起行政诉讼。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9</w:t>
            </w:r>
          </w:p>
        </w:tc>
        <w:tc>
          <w:tcPr>
            <w:tcW w:w="1935" w:type="dxa"/>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对检查中发现的违法行为应当予以制止和纠正。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10</w:t>
            </w:r>
          </w:p>
        </w:tc>
        <w:tc>
          <w:tcPr>
            <w:tcW w:w="1935" w:type="dxa"/>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实施行政检查中不得乱收费、乱罚款、乱摊派,严禁吃、拿、卡、要。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auto"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11</w:t>
            </w:r>
          </w:p>
        </w:tc>
        <w:tc>
          <w:tcPr>
            <w:tcW w:w="1935" w:type="dxa"/>
            <w:vMerge w:val="continue"/>
            <w:tcBorders>
              <w:top w:val="nil"/>
              <w:left w:val="nil"/>
              <w:bottom w:val="single" w:color="auto" w:sz="6" w:space="0"/>
              <w:right w:val="single" w:color="auto" w:sz="6" w:space="0"/>
            </w:tcBorders>
            <w:shd w:val="clear" w:color="auto" w:fill="FFFFFF"/>
            <w:tcMar>
              <w:top w:w="150" w:type="dxa"/>
              <w:left w:w="150" w:type="dxa"/>
              <w:bottom w:w="150" w:type="dxa"/>
              <w:right w:w="150" w:type="dxa"/>
            </w:tcMar>
            <w:vAlign w:val="center"/>
          </w:tcPr>
          <w:p>
            <w:pPr>
              <w:rPr>
                <w:rFonts w:hint="default" w:ascii="Times New Roman" w:hAnsi="Times New Roman" w:cs="Times New Roman"/>
                <w:sz w:val="20"/>
                <w:szCs w:val="20"/>
              </w:rPr>
            </w:pPr>
          </w:p>
        </w:tc>
        <w:tc>
          <w:tcPr>
            <w:tcW w:w="5895" w:type="dxa"/>
            <w:gridSpan w:val="2"/>
            <w:tcBorders>
              <w:top w:val="single" w:color="auto" w:sz="6" w:space="0"/>
              <w:left w:val="nil"/>
              <w:bottom w:val="single" w:color="auto"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不得放弃、推诿、拖延、拒绝履行检查职责。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gridSpan w:val="2"/>
            <w:tcBorders>
              <w:top w:val="single" w:color="auto" w:sz="6" w:space="0"/>
              <w:left w:val="single" w:color="000000" w:sz="6" w:space="0"/>
              <w:bottom w:val="single" w:color="000000"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12</w:t>
            </w:r>
          </w:p>
        </w:tc>
        <w:tc>
          <w:tcPr>
            <w:tcW w:w="1935" w:type="dxa"/>
            <w:tcBorders>
              <w:top w:val="single" w:color="auto" w:sz="6" w:space="0"/>
              <w:left w:val="nil"/>
              <w:bottom w:val="single" w:color="000000" w:sz="6" w:space="0"/>
              <w:right w:val="single" w:color="auto"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Style w:val="15"/>
                <w:rFonts w:hint="eastAsia" w:ascii="宋体" w:hAnsi="宋体" w:eastAsia="宋体" w:cs="宋体"/>
                <w:b/>
                <w:bCs w:val="0"/>
                <w:i w:val="0"/>
                <w:iCs w:val="0"/>
                <w:caps w:val="0"/>
                <w:color w:val="323232"/>
                <w:spacing w:val="0"/>
                <w:sz w:val="18"/>
                <w:szCs w:val="18"/>
                <w:bdr w:val="none" w:color="auto" w:sz="0" w:space="0"/>
              </w:rPr>
              <w:t>(三)事后监管</w:t>
            </w:r>
          </w:p>
        </w:tc>
        <w:tc>
          <w:tcPr>
            <w:tcW w:w="5895" w:type="dxa"/>
            <w:gridSpan w:val="2"/>
            <w:tcBorders>
              <w:top w:val="single" w:color="auto" w:sz="6" w:space="0"/>
              <w:left w:val="nil"/>
              <w:bottom w:val="single" w:color="000000" w:sz="6" w:space="0"/>
              <w:right w:val="single" w:color="000000" w:sz="6" w:space="0"/>
            </w:tcBorders>
            <w:shd w:val="clear" w:color="auto" w:fill="FFFFFF"/>
            <w:tcMar>
              <w:top w:w="150" w:type="dxa"/>
              <w:left w:w="150" w:type="dxa"/>
              <w:bottom w:w="150" w:type="dxa"/>
              <w:right w:w="150" w:type="dxa"/>
            </w:tcMar>
            <w:vAlign w:val="center"/>
          </w:tcPr>
          <w:p>
            <w:pPr>
              <w:pStyle w:val="14"/>
              <w:keepNext w:val="0"/>
              <w:keepLines w:val="0"/>
              <w:widowControl/>
              <w:suppressLineNumbers w:val="0"/>
              <w:spacing w:before="0" w:beforeAutospacing="0" w:after="150" w:afterAutospacing="0" w:line="480" w:lineRule="atLeast"/>
              <w:ind w:left="0" w:right="0"/>
              <w:jc w:val="center"/>
              <w:rPr>
                <w:rFonts w:hint="eastAsia" w:ascii="宋体" w:hAnsi="宋体" w:eastAsia="宋体" w:cs="宋体"/>
                <w:color w:val="323232"/>
                <w:kern w:val="0"/>
                <w:sz w:val="18"/>
                <w:szCs w:val="18"/>
                <w:bdr w:val="none" w:color="auto" w:sz="0" w:space="0"/>
              </w:rPr>
            </w:pPr>
            <w:r>
              <w:rPr>
                <w:rFonts w:hint="eastAsia" w:ascii="宋体" w:hAnsi="宋体" w:eastAsia="宋体" w:cs="宋体"/>
                <w:i w:val="0"/>
                <w:iCs w:val="0"/>
                <w:caps w:val="0"/>
                <w:color w:val="323232"/>
                <w:spacing w:val="0"/>
                <w:kern w:val="0"/>
                <w:sz w:val="18"/>
                <w:szCs w:val="18"/>
                <w:bdr w:val="none" w:color="auto" w:sz="0" w:space="0"/>
              </w:rPr>
              <w:t xml:space="preserve">  对检查情况进行汇总、分类、归档备查,并跟踪监测。 </w:t>
            </w:r>
          </w:p>
        </w:tc>
      </w:tr>
    </w:tbl>
    <w:p>
      <w:pPr>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sectPr>
      <w:pgSz w:w="16838" w:h="11906" w:orient="landscape"/>
      <w:pgMar w:top="1800" w:right="1440" w:bottom="180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compressPunctuation"/>
  <w:footnotePr>
    <w:footnote w:id="0"/>
    <w:footnote w:id="1"/>
  </w:foot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617F73"/>
    <w:rsid w:val="714E74A3"/>
    <w:rsid w:val="78C40D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uiPriority w:val="99"/>
  </w:style>
  <w:style w:type="table" w:default="1" w:styleId="10">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widowControl/>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customStyle="1" w:styleId="12">
    <w:name w:val="16"/>
    <w:basedOn w:val="11"/>
    <w:uiPriority w:val="0"/>
    <w:rPr>
      <w:rFonts w:hint="default" w:ascii="Times New Roman" w:hAnsi="Times New Roman" w:cs="Times New Roman"/>
      <w:color w:val="0000FF"/>
      <w:u w:val="single"/>
    </w:rPr>
  </w:style>
  <w:style w:type="character" w:customStyle="1" w:styleId="13">
    <w:name w:val="10"/>
    <w:basedOn w:val="11"/>
    <w:uiPriority w:val="0"/>
    <w:rPr>
      <w:rFonts w:hint="default" w:ascii="Times New Roman" w:hAnsi="Times New Roman" w:cs="Times New Roman"/>
    </w:rPr>
  </w:style>
  <w:style w:type="paragraph" w:customStyle="1" w:styleId="14">
    <w:name w:val="普通(网站) Char"/>
    <w:basedOn w:val="1"/>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customStyle="1" w:styleId="15">
    <w:name w:val="15"/>
    <w:basedOn w:val="11"/>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TotalTime>3</TotalTime>
  <ScaleCrop>false</ScaleCrop>
  <LinksUpToDate>false</LinksUpToDate>
  <Application>WPS Office_11.1.0.10667_F1E327BC-269C-435d-A152-05C5408002CA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2021-07-23T04:56:26Z</dcterms:created>
  <dc:creator>lenovo</dc:creator>
  <cp:lastModifiedBy>lenovo</cp:lastModifiedBy>
  <dcterms:modified xsi:type="dcterms:W3CDTF">2021-07-23T04:59:55Z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0A9D501FA1D0487C90D7A77C4DA50C3B</vt:lpwstr>
  </property>
</Properties>
</file>