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72"/>
        </w:rPr>
      </w:pPr>
      <w:r>
        <w:rPr>
          <w:rFonts w:hint="eastAsia" w:ascii="方正小标宋简体" w:eastAsia="方正小标宋简体"/>
          <w:sz w:val="56"/>
          <w:szCs w:val="72"/>
        </w:rPr>
        <w:t>大兴区财政局2019年度决算公开报表及说明</w:t>
      </w:r>
    </w:p>
    <w:p>
      <w:pPr>
        <w:spacing w:line="620" w:lineRule="exact"/>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目 录</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第一部分2019年度部门决算报表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一、收入支出决算总表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二、收入决算表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三、支出决算表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四、财政拨款收入支出决算总表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五、一般公共预算财政拨款支出决算表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六、一般公共预算财政拨款基本支出决算表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七、政府性基金预算财政拨款收入支出决算表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八、政府性基金预算财政拨款基本支出决算表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九、财政拨款“三公”经费支出决算表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十、政府采购情况表</w:t>
      </w:r>
    </w:p>
    <w:p>
      <w:pPr>
        <w:snapToGrid w:val="0"/>
        <w:spacing w:line="560" w:lineRule="exact"/>
        <w:rPr>
          <w:rFonts w:ascii="仿宋_GB2312" w:eastAsia="仿宋_GB2312" w:cs="宋体" w:hAnsiTheme="minorEastAsia"/>
          <w:bCs/>
          <w:color w:val="000000"/>
          <w:spacing w:val="20"/>
          <w:kern w:val="0"/>
          <w:sz w:val="32"/>
          <w:szCs w:val="32"/>
        </w:rPr>
      </w:pPr>
      <w:r>
        <w:rPr>
          <w:rFonts w:hint="eastAsia" w:ascii="仿宋_GB2312" w:eastAsia="仿宋_GB2312" w:cs="宋体" w:hAnsiTheme="minorEastAsia"/>
          <w:bCs/>
          <w:color w:val="000000"/>
          <w:spacing w:val="20"/>
          <w:kern w:val="0"/>
          <w:sz w:val="32"/>
          <w:szCs w:val="32"/>
        </w:rPr>
        <w:t>十一、政府购买服务财政拨款情况表</w:t>
      </w:r>
    </w:p>
    <w:p>
      <w:pPr>
        <w:snapToGrid w:val="0"/>
        <w:spacing w:line="560" w:lineRule="exact"/>
        <w:rPr>
          <w:rFonts w:ascii="仿宋_GB2312" w:eastAsia="仿宋_GB2312" w:cs="宋体" w:hAnsiTheme="minorEastAsia"/>
          <w:b/>
          <w:bCs/>
          <w:color w:val="000000"/>
          <w:spacing w:val="20"/>
          <w:kern w:val="0"/>
          <w:sz w:val="32"/>
          <w:szCs w:val="32"/>
        </w:rPr>
      </w:pPr>
      <w:r>
        <w:rPr>
          <w:rFonts w:hint="eastAsia" w:ascii="仿宋_GB2312" w:eastAsia="仿宋_GB2312" w:cs="宋体" w:hAnsiTheme="minorEastAsia"/>
          <w:b/>
          <w:bCs/>
          <w:color w:val="000000"/>
          <w:spacing w:val="20"/>
          <w:kern w:val="0"/>
          <w:sz w:val="32"/>
          <w:szCs w:val="32"/>
        </w:rPr>
        <w:t>第二部分2019年度部门决算报表说明</w:t>
      </w:r>
    </w:p>
    <w:p>
      <w:pPr>
        <w:snapToGrid w:val="0"/>
        <w:spacing w:line="560" w:lineRule="exact"/>
        <w:rPr>
          <w:rFonts w:ascii="仿宋_GB2312" w:eastAsia="仿宋_GB2312" w:cs="宋体" w:hAnsiTheme="minorEastAsia"/>
          <w:b/>
          <w:bCs/>
          <w:color w:val="000000"/>
          <w:spacing w:val="20"/>
          <w:kern w:val="0"/>
          <w:sz w:val="32"/>
          <w:szCs w:val="32"/>
        </w:rPr>
      </w:pPr>
    </w:p>
    <w:p>
      <w:pPr>
        <w:spacing w:line="240" w:lineRule="atLeast"/>
        <w:ind w:left="210" w:leftChars="100"/>
        <w:jc w:val="center"/>
        <w:rPr>
          <w:rFonts w:ascii="方正小标宋简体" w:hAnsi="宋体" w:eastAsia="方正小标宋简体" w:cs="宋体"/>
          <w:bCs/>
          <w:color w:val="000000"/>
          <w:kern w:val="0"/>
          <w:sz w:val="48"/>
          <w:szCs w:val="44"/>
        </w:rPr>
      </w:pPr>
      <w:r>
        <w:rPr>
          <w:rFonts w:hint="eastAsia" w:ascii="方正小标宋简体" w:hAnsi="宋体" w:eastAsia="方正小标宋简体" w:cs="宋体"/>
          <w:bCs/>
          <w:color w:val="000000"/>
          <w:kern w:val="0"/>
          <w:sz w:val="48"/>
          <w:szCs w:val="44"/>
        </w:rPr>
        <w:t>第一部分2019年度部门决算公开报表</w:t>
      </w:r>
    </w:p>
    <w:p>
      <w:pPr>
        <w:tabs>
          <w:tab w:val="left" w:pos="2310"/>
          <w:tab w:val="center" w:pos="6979"/>
          <w:tab w:val="center" w:pos="7285"/>
        </w:tabs>
        <w:snapToGrid w:val="0"/>
        <w:spacing w:line="240" w:lineRule="atLeast"/>
        <w:jc w:val="left"/>
        <w:rPr>
          <w:rFonts w:ascii="宋体" w:hAnsi="宋体" w:cs="宋体"/>
          <w:b/>
          <w:bCs/>
          <w:kern w:val="0"/>
          <w:sz w:val="32"/>
          <w:szCs w:val="28"/>
        </w:rPr>
      </w:pPr>
      <w:r>
        <w:rPr>
          <w:rFonts w:ascii="宋体" w:hAnsi="宋体" w:cs="Arial"/>
          <w:b/>
          <w:bCs/>
          <w:color w:val="000000"/>
          <w:kern w:val="0"/>
          <w:sz w:val="32"/>
          <w:szCs w:val="28"/>
        </w:rPr>
        <w:tab/>
      </w:r>
      <w:r>
        <w:rPr>
          <w:rFonts w:ascii="宋体" w:hAnsi="宋体" w:cs="Arial"/>
          <w:b/>
          <w:bCs/>
          <w:color w:val="000000"/>
          <w:kern w:val="0"/>
          <w:sz w:val="32"/>
          <w:szCs w:val="28"/>
        </w:rPr>
        <w:tab/>
      </w: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收入支出决算总表</w:t>
      </w:r>
    </w:p>
    <w:tbl>
      <w:tblPr>
        <w:tblStyle w:val="7"/>
        <w:tblW w:w="14786" w:type="dxa"/>
        <w:jc w:val="center"/>
        <w:tblInd w:w="0" w:type="dxa"/>
        <w:tblLayout w:type="fixed"/>
        <w:tblCellMar>
          <w:top w:w="0" w:type="dxa"/>
          <w:left w:w="108" w:type="dxa"/>
          <w:bottom w:w="0" w:type="dxa"/>
          <w:right w:w="108" w:type="dxa"/>
        </w:tblCellMar>
      </w:tblPr>
      <w:tblGrid>
        <w:gridCol w:w="1642"/>
        <w:gridCol w:w="2555"/>
        <w:gridCol w:w="1606"/>
        <w:gridCol w:w="160"/>
        <w:gridCol w:w="1446"/>
        <w:gridCol w:w="319"/>
        <w:gridCol w:w="1286"/>
        <w:gridCol w:w="733"/>
        <w:gridCol w:w="873"/>
        <w:gridCol w:w="639"/>
        <w:gridCol w:w="967"/>
        <w:gridCol w:w="798"/>
        <w:gridCol w:w="880"/>
        <w:gridCol w:w="882"/>
      </w:tblGrid>
      <w:tr>
        <w:tblPrEx>
          <w:tblLayout w:type="fixed"/>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ind w:right="-604" w:rightChars="-288"/>
              <w:jc w:val="left"/>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7"/>
              <w:tblW w:w="12727" w:type="dxa"/>
              <w:jc w:val="center"/>
              <w:tblInd w:w="0" w:type="dxa"/>
              <w:tblLayout w:type="fixed"/>
              <w:tblCellMar>
                <w:top w:w="0" w:type="dxa"/>
                <w:left w:w="108" w:type="dxa"/>
                <w:bottom w:w="0" w:type="dxa"/>
                <w:right w:w="108" w:type="dxa"/>
              </w:tblCellMar>
            </w:tblPr>
            <w:tblGrid>
              <w:gridCol w:w="3857"/>
              <w:gridCol w:w="2616"/>
              <w:gridCol w:w="3419"/>
              <w:gridCol w:w="2835"/>
            </w:tblGrid>
            <w:tr>
              <w:tblPrEx>
                <w:tblLayout w:type="fixed"/>
              </w:tblPrEx>
              <w:trPr>
                <w:cantSplit/>
                <w:trHeight w:val="255" w:hRule="exact"/>
                <w:jc w:val="center"/>
              </w:trPr>
              <w:tc>
                <w:tcPr>
                  <w:tcW w:w="6473"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w:t>
                  </w:r>
                </w:p>
              </w:tc>
              <w:tc>
                <w:tcPr>
                  <w:tcW w:w="6254" w:type="dxa"/>
                  <w:gridSpan w:val="2"/>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w:t>
                  </w:r>
                </w:p>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2616"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835"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kern w:val="0"/>
                      <w:sz w:val="18"/>
                      <w:szCs w:val="18"/>
                    </w:rPr>
                  </w:pPr>
                  <w:r>
                    <w:rPr>
                      <w:rFonts w:hint="eastAsia" w:ascii="宋体" w:hAnsi="宋体" w:cs="宋体"/>
                      <w:b/>
                      <w:kern w:val="0"/>
                      <w:sz w:val="18"/>
                      <w:szCs w:val="18"/>
                    </w:rPr>
                    <w:t>决算数</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8,255.65</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7,225.13</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single" w:color="000000" w:sz="8" w:space="0"/>
                    <w:bottom w:val="single" w:color="000000" w:sz="8" w:space="0"/>
                    <w:right w:val="single" w:color="000000" w:sz="8"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26.70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2616" w:type="dxa"/>
                  <w:tcBorders>
                    <w:top w:val="single" w:color="000000" w:sz="8"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single" w:color="000000" w:sz="8" w:space="0"/>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835" w:type="dxa"/>
                  <w:tcBorders>
                    <w:top w:val="single" w:color="000000" w:sz="8" w:space="0"/>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430.86</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220.54</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317.20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36.25</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419"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本年收入合计</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8,255.65</w:t>
                  </w:r>
                </w:p>
              </w:tc>
              <w:tc>
                <w:tcPr>
                  <w:tcW w:w="3419" w:type="dxa"/>
                  <w:tcBorders>
                    <w:top w:val="nil"/>
                    <w:left w:val="nil"/>
                    <w:bottom w:val="single" w:color="auto" w:sz="4" w:space="0"/>
                    <w:right w:val="single" w:color="auto" w:sz="4"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8,256.68</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61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2835"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nil"/>
                    <w:left w:val="single" w:color="auto" w:sz="4" w:space="0"/>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616" w:type="dxa"/>
                  <w:tcBorders>
                    <w:top w:val="single" w:color="auto" w:sz="4" w:space="0"/>
                    <w:left w:val="single" w:color="auto" w:sz="4" w:space="0"/>
                    <w:bottom w:val="single" w:color="000000" w:sz="8" w:space="0"/>
                    <w:right w:val="single" w:color="auto" w:sz="4" w:space="0"/>
                  </w:tcBorders>
                  <w:vAlign w:val="center"/>
                </w:tcPr>
                <w:p>
                  <w:pPr>
                    <w:jc w:val="right"/>
                    <w:rPr>
                      <w:rFonts w:ascii="宋体" w:hAnsi="宋体" w:cs="Arial"/>
                      <w:sz w:val="20"/>
                      <w:szCs w:val="20"/>
                    </w:rPr>
                  </w:pPr>
                  <w:r>
                    <w:rPr>
                      <w:rFonts w:hint="eastAsia" w:cs="Arial"/>
                      <w:sz w:val="20"/>
                      <w:szCs w:val="20"/>
                    </w:rPr>
                    <w:t>36.25</w:t>
                  </w:r>
                </w:p>
              </w:tc>
              <w:tc>
                <w:tcPr>
                  <w:tcW w:w="3419" w:type="dxa"/>
                  <w:tcBorders>
                    <w:top w:val="nil"/>
                    <w:left w:val="nil"/>
                    <w:bottom w:val="single" w:color="000000"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2835" w:type="dxa"/>
                  <w:tcBorders>
                    <w:top w:val="nil"/>
                    <w:left w:val="nil"/>
                    <w:bottom w:val="single" w:color="000000" w:sz="8" w:space="0"/>
                    <w:right w:val="single" w:color="auto" w:sz="4" w:space="0"/>
                  </w:tcBorders>
                  <w:vAlign w:val="center"/>
                </w:tcPr>
                <w:p>
                  <w:pPr>
                    <w:jc w:val="right"/>
                    <w:rPr>
                      <w:rFonts w:ascii="宋体" w:hAnsi="宋体" w:cs="Arial"/>
                      <w:sz w:val="20"/>
                      <w:szCs w:val="20"/>
                    </w:rPr>
                  </w:pPr>
                  <w:r>
                    <w:rPr>
                      <w:rFonts w:hint="eastAsia" w:cs="Arial"/>
                      <w:sz w:val="20"/>
                      <w:szCs w:val="20"/>
                    </w:rPr>
                    <w:t>35.22</w:t>
                  </w:r>
                </w:p>
              </w:tc>
            </w:tr>
            <w:tr>
              <w:tblPrEx>
                <w:tblLayout w:type="fixed"/>
                <w:tblCellMar>
                  <w:top w:w="0" w:type="dxa"/>
                  <w:left w:w="108" w:type="dxa"/>
                  <w:bottom w:w="0" w:type="dxa"/>
                  <w:right w:w="108" w:type="dxa"/>
                </w:tblCellMar>
              </w:tblPrEx>
              <w:trPr>
                <w:cantSplit/>
                <w:trHeight w:val="255" w:hRule="exact"/>
                <w:jc w:val="center"/>
              </w:trPr>
              <w:tc>
                <w:tcPr>
                  <w:tcW w:w="3857"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收入总计</w:t>
                  </w:r>
                </w:p>
              </w:tc>
              <w:tc>
                <w:tcPr>
                  <w:tcW w:w="261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8,291.90</w:t>
                  </w:r>
                </w:p>
              </w:tc>
              <w:tc>
                <w:tcPr>
                  <w:tcW w:w="3419" w:type="dxa"/>
                  <w:tcBorders>
                    <w:top w:val="single" w:color="000000" w:sz="8" w:space="0"/>
                    <w:left w:val="single" w:color="000000" w:sz="8" w:space="0"/>
                    <w:bottom w:val="single" w:color="000000" w:sz="8" w:space="0"/>
                    <w:right w:val="single" w:color="000000" w:sz="8" w:space="0"/>
                  </w:tcBorders>
                  <w:vAlign w:val="bottom"/>
                </w:tcPr>
                <w:p>
                  <w:pPr>
                    <w:widowControl/>
                    <w:jc w:val="center"/>
                    <w:rPr>
                      <w:rFonts w:ascii="宋体" w:hAnsi="宋体" w:cs="宋体"/>
                      <w:b/>
                      <w:kern w:val="0"/>
                      <w:sz w:val="18"/>
                      <w:szCs w:val="18"/>
                    </w:rPr>
                  </w:pPr>
                  <w:r>
                    <w:rPr>
                      <w:rFonts w:hint="eastAsia" w:ascii="宋体" w:hAnsi="宋体" w:cs="宋体"/>
                      <w:b/>
                      <w:kern w:val="0"/>
                      <w:sz w:val="18"/>
                      <w:szCs w:val="18"/>
                    </w:rPr>
                    <w:t>支出总计</w:t>
                  </w:r>
                </w:p>
              </w:tc>
              <w:tc>
                <w:tcPr>
                  <w:tcW w:w="283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Arial"/>
                      <w:sz w:val="20"/>
                      <w:szCs w:val="20"/>
                    </w:rPr>
                  </w:pPr>
                  <w:r>
                    <w:rPr>
                      <w:rFonts w:hint="eastAsia" w:cs="Arial"/>
                      <w:sz w:val="20"/>
                      <w:szCs w:val="20"/>
                    </w:rPr>
                    <w:t>8,291.90</w:t>
                  </w:r>
                </w:p>
              </w:tc>
            </w:tr>
          </w:tbl>
          <w:p>
            <w:pPr>
              <w:widowControl/>
              <w:jc w:val="left"/>
              <w:rPr>
                <w:b/>
              </w:rPr>
            </w:pPr>
          </w:p>
          <w:p>
            <w:pPr>
              <w:widowControl/>
              <w:jc w:val="left"/>
              <w:rPr>
                <w:b/>
              </w:rPr>
            </w:pPr>
          </w:p>
        </w:tc>
      </w:tr>
      <w:tr>
        <w:tblPrEx>
          <w:tblLayout w:type="fixed"/>
          <w:tblCellMar>
            <w:top w:w="0" w:type="dxa"/>
            <w:left w:w="108" w:type="dxa"/>
            <w:bottom w:w="0" w:type="dxa"/>
            <w:right w:w="108" w:type="dxa"/>
          </w:tblCellMar>
        </w:tblPrEx>
        <w:trPr>
          <w:gridAfter w:val="1"/>
          <w:wAfter w:w="882" w:type="dxa"/>
          <w:trHeight w:val="375" w:hRule="atLeast"/>
          <w:jc w:val="center"/>
        </w:trPr>
        <w:tc>
          <w:tcPr>
            <w:tcW w:w="13904" w:type="dxa"/>
            <w:gridSpan w:val="13"/>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收入决算表</w:t>
            </w:r>
          </w:p>
        </w:tc>
      </w:tr>
      <w:tr>
        <w:tblPrEx>
          <w:tblLayout w:type="fixed"/>
          <w:tblCellMar>
            <w:top w:w="0" w:type="dxa"/>
            <w:left w:w="108" w:type="dxa"/>
            <w:bottom w:w="0" w:type="dxa"/>
            <w:right w:w="108" w:type="dxa"/>
          </w:tblCellMar>
        </w:tblPrEx>
        <w:trPr>
          <w:trHeight w:val="375" w:hRule="atLeast"/>
          <w:jc w:val="center"/>
        </w:trPr>
        <w:tc>
          <w:tcPr>
            <w:tcW w:w="14786" w:type="dxa"/>
            <w:gridSpan w:val="14"/>
            <w:tcBorders>
              <w:top w:val="single" w:color="FFFFFF" w:sz="4" w:space="0"/>
              <w:left w:val="single" w:color="FFFFFF" w:sz="4" w:space="0"/>
              <w:bottom w:val="single" w:color="FFFFFF" w:sz="4" w:space="0"/>
              <w:right w:val="single" w:color="FFFFFF" w:sz="4" w:space="0"/>
            </w:tcBorders>
            <w:vAlign w:val="bottom"/>
          </w:tcPr>
          <w:tbl>
            <w:tblPr>
              <w:tblStyle w:val="7"/>
              <w:tblW w:w="14620" w:type="dxa"/>
              <w:tblInd w:w="0" w:type="dxa"/>
              <w:tblLayout w:type="fixed"/>
              <w:tblCellMar>
                <w:top w:w="0" w:type="dxa"/>
                <w:left w:w="108" w:type="dxa"/>
                <w:bottom w:w="0" w:type="dxa"/>
                <w:right w:w="108" w:type="dxa"/>
              </w:tblCellMar>
            </w:tblPr>
            <w:tblGrid>
              <w:gridCol w:w="1266"/>
              <w:gridCol w:w="1974"/>
              <w:gridCol w:w="11"/>
              <w:gridCol w:w="1275"/>
              <w:gridCol w:w="1701"/>
              <w:gridCol w:w="1418"/>
              <w:gridCol w:w="850"/>
              <w:gridCol w:w="1134"/>
              <w:gridCol w:w="1276"/>
              <w:gridCol w:w="1276"/>
              <w:gridCol w:w="1134"/>
              <w:gridCol w:w="1305"/>
            </w:tblGrid>
            <w:tr>
              <w:tblPrEx>
                <w:tblLayout w:type="fixed"/>
                <w:tblCellMar>
                  <w:top w:w="0" w:type="dxa"/>
                  <w:left w:w="108" w:type="dxa"/>
                  <w:bottom w:w="0" w:type="dxa"/>
                  <w:right w:w="108" w:type="dxa"/>
                </w:tblCellMar>
              </w:tblPrEx>
              <w:trPr>
                <w:trHeight w:val="435" w:hRule="atLeast"/>
              </w:trPr>
              <w:tc>
                <w:tcPr>
                  <w:tcW w:w="14620" w:type="dxa"/>
                  <w:gridSpan w:val="12"/>
                  <w:tcBorders>
                    <w:top w:val="single" w:color="FFFFFF" w:sz="8" w:space="0"/>
                    <w:left w:val="single" w:color="FFFFFF" w:sz="8" w:space="0"/>
                    <w:bottom w:val="nil"/>
                    <w:right w:val="single" w:color="FFFFFF"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sz w:val="20"/>
                    </w:rPr>
                    <w:t>单位</w:t>
                  </w:r>
                  <w:r>
                    <w:rPr>
                      <w:sz w:val="20"/>
                    </w:rPr>
                    <w:t>：万元</w:t>
                  </w:r>
                  <w:r>
                    <w:rPr>
                      <w:rFonts w:hint="eastAsia"/>
                      <w:sz w:val="20"/>
                    </w:rPr>
                    <w:t>（保留2位小数）</w:t>
                  </w:r>
                </w:p>
              </w:tc>
            </w:tr>
            <w:tr>
              <w:tblPrEx>
                <w:tblLayout w:type="fixed"/>
                <w:tblCellMar>
                  <w:top w:w="0" w:type="dxa"/>
                  <w:left w:w="108" w:type="dxa"/>
                  <w:bottom w:w="0" w:type="dxa"/>
                  <w:right w:w="108" w:type="dxa"/>
                </w:tblCellMar>
              </w:tblPrEx>
              <w:trPr>
                <w:trHeight w:val="270" w:hRule="atLeast"/>
              </w:trPr>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12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本年收入合计</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一般公共预算财政拨款收入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政府性基金预算财政拨款收入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上级补助收入</w:t>
                  </w:r>
                </w:p>
              </w:tc>
              <w:tc>
                <w:tcPr>
                  <w:tcW w:w="241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事业收入</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经营收入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附属单位上缴收入</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trPr>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支出功能分类科目编码</w:t>
                  </w:r>
                </w:p>
              </w:tc>
              <w:tc>
                <w:tcPr>
                  <w:tcW w:w="19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410"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64" w:firstLineChars="147"/>
                    <w:jc w:val="left"/>
                    <w:rPr>
                      <w:rFonts w:ascii="宋体" w:hAnsi="宋体" w:cs="宋体"/>
                      <w:b/>
                      <w:color w:val="000000"/>
                      <w:kern w:val="0"/>
                      <w:sz w:val="18"/>
                      <w:szCs w:val="18"/>
                    </w:rPr>
                  </w:pPr>
                  <w:r>
                    <w:rPr>
                      <w:rFonts w:hint="eastAsia" w:ascii="宋体" w:hAnsi="宋体" w:cs="宋体"/>
                      <w:b/>
                      <w:color w:val="000000"/>
                      <w:kern w:val="0"/>
                      <w:sz w:val="18"/>
                      <w:szCs w:val="18"/>
                    </w:rPr>
                    <w:t>小计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其中：</w:t>
                  </w:r>
                </w:p>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教育收费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126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类款项</w:t>
                  </w:r>
                </w:p>
              </w:tc>
              <w:tc>
                <w:tcPr>
                  <w:tcW w:w="1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Layout w:type="fixed"/>
                <w:tblCellMar>
                  <w:top w:w="0" w:type="dxa"/>
                  <w:left w:w="108" w:type="dxa"/>
                  <w:bottom w:w="0" w:type="dxa"/>
                  <w:right w:w="108" w:type="dxa"/>
                </w:tblCellMar>
              </w:tblPrEx>
              <w:trPr>
                <w:trHeight w:val="405" w:hRule="atLeast"/>
              </w:trPr>
              <w:tc>
                <w:tcPr>
                  <w:tcW w:w="126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b/>
                      <w:color w:val="000000"/>
                      <w:kern w:val="0"/>
                      <w:sz w:val="20"/>
                      <w:szCs w:val="20"/>
                      <w:lang w:bidi="ar"/>
                    </w:rPr>
                    <w:t>8,255.65</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b/>
                      <w:color w:val="000000"/>
                      <w:kern w:val="0"/>
                      <w:sz w:val="20"/>
                      <w:szCs w:val="20"/>
                      <w:lang w:bidi="ar"/>
                    </w:rPr>
                    <w:t>8,255.65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201</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一般公共服务支出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7,260.35</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7,260.35</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20106</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财政事务</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7,260.35</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7,260.35</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2010601</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行政运行</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2,702.36</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2,702.36</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2010607</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信息化建设</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1,401.68</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1,401.68</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2010608</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财政委托业务支出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1,386.62</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1,386.62</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2010650</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事业运行</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1,243.75</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1,243.75</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2010699</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其他财政事务支出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525.94</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525.94</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205</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教育支出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26.70</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26.70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20508</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进修及培训</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26.70</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26.70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2050803</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培训支出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26.70</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26.70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208</w:t>
                  </w:r>
                </w:p>
              </w:tc>
              <w:tc>
                <w:tcPr>
                  <w:tcW w:w="197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社会保障和就业支出</w:t>
                  </w:r>
                </w:p>
              </w:tc>
              <w:tc>
                <w:tcPr>
                  <w:tcW w:w="128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430.86</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430.86</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20805</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行政事业单位离退休</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430.86</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430.86</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2080501</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归口管理的行政单位离退休</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31.38</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31.38</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2080505</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机关事业单位基本养老保险缴费支出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285.34</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285.34</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2080506</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机关事业单位职业年金缴费支出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114.14</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114.14</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210</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卫生健康支出</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220.54</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220.54</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21011</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b/>
                      <w:bCs/>
                      <w:sz w:val="20"/>
                      <w:szCs w:val="20"/>
                    </w:rPr>
                  </w:pPr>
                  <w:r>
                    <w:rPr>
                      <w:rFonts w:hint="eastAsia" w:ascii="宋体" w:hAnsi="宋体" w:cs="宋体"/>
                      <w:b/>
                      <w:color w:val="000000"/>
                      <w:kern w:val="0"/>
                      <w:sz w:val="20"/>
                      <w:szCs w:val="20"/>
                      <w:lang w:bidi="ar"/>
                    </w:rPr>
                    <w:t>行政事业单位医疗</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220.54</w:t>
                  </w: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b/>
                      <w:bCs/>
                      <w:sz w:val="20"/>
                      <w:szCs w:val="20"/>
                    </w:rPr>
                  </w:pPr>
                  <w:r>
                    <w:rPr>
                      <w:rFonts w:hint="eastAsia" w:ascii="宋体" w:hAnsi="宋体" w:cs="宋体"/>
                      <w:b/>
                      <w:color w:val="000000"/>
                      <w:kern w:val="0"/>
                      <w:sz w:val="20"/>
                      <w:szCs w:val="20"/>
                      <w:lang w:bidi="ar"/>
                    </w:rPr>
                    <w:t>220.54</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850"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276"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c>
                <w:tcPr>
                  <w:tcW w:w="1305" w:type="dxa"/>
                  <w:tcBorders>
                    <w:top w:val="nil"/>
                    <w:left w:val="nil"/>
                    <w:bottom w:val="single" w:color="auto" w:sz="4" w:space="0"/>
                    <w:right w:val="single" w:color="auto" w:sz="4" w:space="0"/>
                  </w:tcBorders>
                  <w:shd w:val="clear" w:color="auto" w:fill="auto"/>
                  <w:vAlign w:val="center"/>
                </w:tcPr>
                <w:p>
                  <w:pPr>
                    <w:jc w:val="right"/>
                    <w:rPr>
                      <w:rFonts w:ascii="宋体" w:hAnsi="宋体" w:cs="Arial"/>
                      <w:b/>
                      <w:bCs/>
                      <w:sz w:val="20"/>
                      <w:szCs w:val="20"/>
                    </w:rPr>
                  </w:pPr>
                  <w:r>
                    <w:rPr>
                      <w:rFonts w:hint="eastAsia" w:cs="Arial"/>
                      <w:b/>
                      <w:bCs/>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2101101</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行政单位医疗</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108.16</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108.16</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2101102</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Arial"/>
                      <w:sz w:val="20"/>
                      <w:szCs w:val="20"/>
                    </w:rPr>
                  </w:pPr>
                  <w:r>
                    <w:rPr>
                      <w:rFonts w:hint="eastAsia" w:ascii="宋体" w:hAnsi="宋体" w:cs="宋体"/>
                      <w:color w:val="000000"/>
                      <w:kern w:val="0"/>
                      <w:sz w:val="20"/>
                      <w:szCs w:val="20"/>
                      <w:lang w:bidi="ar"/>
                    </w:rPr>
                    <w:t xml:space="preserve">  事业单位医疗</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76.32</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Arial"/>
                      <w:sz w:val="20"/>
                      <w:szCs w:val="20"/>
                    </w:rPr>
                  </w:pPr>
                  <w:r>
                    <w:rPr>
                      <w:rFonts w:hint="eastAsia" w:ascii="宋体" w:hAnsi="宋体" w:cs="宋体"/>
                      <w:color w:val="000000"/>
                      <w:kern w:val="0"/>
                      <w:sz w:val="20"/>
                      <w:szCs w:val="20"/>
                      <w:lang w:bidi="ar"/>
                    </w:rPr>
                    <w:t>76.32</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color w:val="000000"/>
                      <w:kern w:val="0"/>
                      <w:sz w:val="20"/>
                      <w:szCs w:val="20"/>
                      <w:lang w:bidi="ar"/>
                    </w:rPr>
                    <w:t>2101103</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color w:val="000000"/>
                      <w:kern w:val="0"/>
                      <w:sz w:val="20"/>
                      <w:szCs w:val="20"/>
                      <w:lang w:bidi="ar"/>
                    </w:rPr>
                    <w:t xml:space="preserve">  公务员医疗补助</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color w:val="000000"/>
                      <w:kern w:val="0"/>
                      <w:sz w:val="20"/>
                      <w:szCs w:val="20"/>
                      <w:lang w:bidi="ar"/>
                    </w:rPr>
                    <w:t>36.06</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color w:val="000000"/>
                      <w:kern w:val="0"/>
                      <w:sz w:val="20"/>
                      <w:szCs w:val="20"/>
                      <w:lang w:bidi="ar"/>
                    </w:rPr>
                    <w:t>36.06</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b/>
                      <w:color w:val="000000"/>
                      <w:kern w:val="0"/>
                      <w:sz w:val="20"/>
                      <w:szCs w:val="20"/>
                      <w:lang w:bidi="ar"/>
                    </w:rPr>
                    <w:t>221</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b/>
                      <w:color w:val="000000"/>
                      <w:kern w:val="0"/>
                      <w:sz w:val="20"/>
                      <w:szCs w:val="20"/>
                      <w:lang w:bidi="ar"/>
                    </w:rPr>
                    <w:t>住房保障支出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b/>
                      <w:color w:val="000000"/>
                      <w:kern w:val="0"/>
                      <w:sz w:val="20"/>
                      <w:szCs w:val="20"/>
                      <w:lang w:bidi="ar"/>
                    </w:rPr>
                    <w:t>317.20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b/>
                      <w:color w:val="000000"/>
                      <w:kern w:val="0"/>
                      <w:sz w:val="20"/>
                      <w:szCs w:val="20"/>
                      <w:lang w:bidi="ar"/>
                    </w:rPr>
                    <w:t>317.20</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b/>
                      <w:color w:val="000000"/>
                      <w:kern w:val="0"/>
                      <w:sz w:val="20"/>
                      <w:szCs w:val="20"/>
                      <w:lang w:bidi="ar"/>
                    </w:rPr>
                    <w:t>22102</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b/>
                      <w:color w:val="000000"/>
                      <w:kern w:val="0"/>
                      <w:sz w:val="20"/>
                      <w:szCs w:val="20"/>
                      <w:lang w:bidi="ar"/>
                    </w:rPr>
                    <w:t>住房改革支出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b/>
                      <w:color w:val="000000"/>
                      <w:kern w:val="0"/>
                      <w:sz w:val="20"/>
                      <w:szCs w:val="20"/>
                      <w:lang w:bidi="ar"/>
                    </w:rPr>
                    <w:t>317.20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b/>
                      <w:color w:val="000000"/>
                      <w:kern w:val="0"/>
                      <w:sz w:val="20"/>
                      <w:szCs w:val="20"/>
                      <w:lang w:bidi="ar"/>
                    </w:rPr>
                    <w:t>317.20</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r>
            <w:tr>
              <w:tblPrEx>
                <w:tblLayout w:type="fixed"/>
                <w:tblCellMar>
                  <w:top w:w="0" w:type="dxa"/>
                  <w:left w:w="108" w:type="dxa"/>
                  <w:bottom w:w="0" w:type="dxa"/>
                  <w:right w:w="108" w:type="dxa"/>
                </w:tblCellMar>
              </w:tblPrEx>
              <w:trPr>
                <w:trHeight w:val="405"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color w:val="000000"/>
                      <w:kern w:val="0"/>
                      <w:sz w:val="20"/>
                      <w:szCs w:val="20"/>
                      <w:lang w:bidi="ar"/>
                    </w:rPr>
                    <w:t>2210203</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Arial"/>
                      <w:sz w:val="20"/>
                      <w:szCs w:val="20"/>
                    </w:rPr>
                  </w:pPr>
                  <w:r>
                    <w:rPr>
                      <w:rFonts w:hint="eastAsia" w:ascii="宋体" w:hAnsi="宋体" w:cs="宋体"/>
                      <w:color w:val="000000"/>
                      <w:kern w:val="0"/>
                      <w:sz w:val="20"/>
                      <w:szCs w:val="20"/>
                      <w:lang w:bidi="ar"/>
                    </w:rPr>
                    <w:t xml:space="preserve">  购房补贴</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color w:val="000000"/>
                      <w:kern w:val="0"/>
                      <w:sz w:val="20"/>
                      <w:szCs w:val="20"/>
                      <w:lang w:bidi="ar"/>
                    </w:rPr>
                    <w:t>317.20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cs="Arial"/>
                      <w:sz w:val="20"/>
                      <w:szCs w:val="20"/>
                    </w:rPr>
                  </w:pPr>
                  <w:r>
                    <w:rPr>
                      <w:rFonts w:hint="eastAsia" w:ascii="宋体" w:hAnsi="宋体" w:cs="宋体"/>
                      <w:color w:val="000000"/>
                      <w:kern w:val="0"/>
                      <w:sz w:val="20"/>
                      <w:szCs w:val="20"/>
                      <w:lang w:bidi="ar"/>
                    </w:rPr>
                    <w:t>317.20</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c>
                <w:tcPr>
                  <w:tcW w:w="1305" w:type="dxa"/>
                  <w:tcBorders>
                    <w:top w:val="single" w:color="auto" w:sz="4" w:space="0"/>
                    <w:left w:val="nil"/>
                    <w:bottom w:val="single" w:color="auto" w:sz="4" w:space="0"/>
                    <w:right w:val="single" w:color="auto" w:sz="4" w:space="0"/>
                  </w:tcBorders>
                  <w:shd w:val="clear" w:color="auto" w:fill="auto"/>
                  <w:vAlign w:val="center"/>
                </w:tcPr>
                <w:p>
                  <w:pPr>
                    <w:jc w:val="right"/>
                    <w:rPr>
                      <w:rFonts w:cs="Arial"/>
                      <w:sz w:val="20"/>
                      <w:szCs w:val="20"/>
                    </w:rPr>
                  </w:pPr>
                  <w:r>
                    <w:rPr>
                      <w:rFonts w:hint="eastAsia" w:cs="Arial"/>
                      <w:sz w:val="20"/>
                      <w:szCs w:val="20"/>
                    </w:rPr>
                    <w:t>0.00</w:t>
                  </w:r>
                </w:p>
              </w:tc>
            </w:tr>
          </w:tbl>
          <w:p>
            <w:pPr>
              <w:widowControl/>
              <w:rPr>
                <w:rFonts w:ascii="宋体" w:hAnsi="宋体" w:cs="宋体"/>
                <w:b/>
                <w:bCs/>
                <w:kern w:val="0"/>
                <w:sz w:val="28"/>
                <w:szCs w:val="28"/>
              </w:rPr>
            </w:pPr>
          </w:p>
          <w:p>
            <w:pPr>
              <w:widowControl/>
              <w:jc w:val="center"/>
              <w:rPr>
                <w:rFonts w:ascii="宋体" w:hAnsi="宋体" w:cs="Arial"/>
                <w:b/>
                <w:bCs/>
                <w:color w:val="000000"/>
                <w:kern w:val="0"/>
                <w:sz w:val="32"/>
                <w:szCs w:val="28"/>
              </w:rPr>
            </w:pPr>
          </w:p>
          <w:p>
            <w:pPr>
              <w:widowControl/>
              <w:jc w:val="center"/>
              <w:rPr>
                <w:rFonts w:ascii="宋体" w:hAnsi="宋体" w:cs="Arial"/>
                <w:b/>
                <w:bCs/>
                <w:color w:val="000000"/>
                <w:kern w:val="0"/>
                <w:sz w:val="32"/>
                <w:szCs w:val="28"/>
              </w:rPr>
            </w:pPr>
          </w:p>
          <w:p>
            <w:pPr>
              <w:widowControl/>
              <w:jc w:val="center"/>
              <w:rPr>
                <w:rFonts w:ascii="宋体" w:hAnsi="宋体" w:cs="Arial"/>
                <w:b/>
                <w:bCs/>
                <w:color w:val="000000"/>
                <w:kern w:val="0"/>
                <w:sz w:val="32"/>
                <w:szCs w:val="28"/>
              </w:rPr>
            </w:pPr>
          </w:p>
          <w:p>
            <w:pPr>
              <w:widowControl/>
              <w:jc w:val="center"/>
              <w:rPr>
                <w:rFonts w:ascii="宋体" w:hAnsi="宋体" w:cs="Arial"/>
                <w:b/>
                <w:bCs/>
                <w:color w:val="000000"/>
                <w:kern w:val="0"/>
                <w:sz w:val="32"/>
                <w:szCs w:val="28"/>
              </w:rPr>
            </w:pPr>
          </w:p>
          <w:p>
            <w:pPr>
              <w:widowControl/>
              <w:jc w:val="center"/>
              <w:rPr>
                <w:rFonts w:ascii="宋体" w:hAnsi="宋体" w:cs="Arial"/>
                <w:b/>
                <w:bCs/>
                <w:color w:val="000000"/>
                <w:kern w:val="0"/>
                <w:sz w:val="32"/>
                <w:szCs w:val="28"/>
              </w:rPr>
            </w:pPr>
          </w:p>
          <w:p>
            <w:pPr>
              <w:widowControl/>
              <w:jc w:val="center"/>
              <w:rPr>
                <w:rFonts w:ascii="宋体" w:hAnsi="宋体" w:cs="Arial"/>
                <w:b/>
                <w:bCs/>
                <w:color w:val="000000"/>
                <w:kern w:val="0"/>
                <w:sz w:val="32"/>
                <w:szCs w:val="28"/>
              </w:rPr>
            </w:pPr>
          </w:p>
          <w:p>
            <w:pPr>
              <w:widowControl/>
              <w:jc w:val="center"/>
              <w:rPr>
                <w:rFonts w:ascii="宋体" w:hAnsi="宋体" w:cs="宋体"/>
                <w:b/>
                <w:bCs/>
                <w:kern w:val="0"/>
                <w:sz w:val="28"/>
                <w:szCs w:val="28"/>
              </w:rPr>
            </w:pP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支出决算表</w:t>
            </w:r>
          </w:p>
        </w:tc>
      </w:tr>
      <w:tr>
        <w:tblPrEx>
          <w:tblLayout w:type="fixed"/>
          <w:tblCellMar>
            <w:top w:w="0" w:type="dxa"/>
            <w:left w:w="108" w:type="dxa"/>
            <w:bottom w:w="0" w:type="dxa"/>
            <w:right w:w="108" w:type="dxa"/>
          </w:tblCellMar>
        </w:tblPrEx>
        <w:trPr>
          <w:trHeight w:val="375" w:hRule="atLeast"/>
          <w:jc w:val="center"/>
        </w:trPr>
        <w:tc>
          <w:tcPr>
            <w:tcW w:w="14786" w:type="dxa"/>
            <w:gridSpan w:val="14"/>
            <w:tcBorders>
              <w:top w:val="single" w:color="FFFFFF" w:sz="4" w:space="0"/>
              <w:left w:val="single" w:color="FFFFFF" w:sz="4" w:space="0"/>
              <w:bottom w:val="single" w:color="FFFFFF" w:sz="4" w:space="0"/>
              <w:right w:val="single" w:color="FFFFFF" w:sz="4" w:space="0"/>
            </w:tcBorders>
            <w:vAlign w:val="bottom"/>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1642"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3"/>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Layout w:type="fixed"/>
          <w:tblCellMar>
            <w:top w:w="0" w:type="dxa"/>
            <w:left w:w="108" w:type="dxa"/>
            <w:bottom w:w="0" w:type="dxa"/>
            <w:right w:w="108" w:type="dxa"/>
          </w:tblCellMar>
        </w:tblPrEx>
        <w:trPr>
          <w:trHeight w:val="599" w:hRule="atLeast"/>
          <w:jc w:val="center"/>
        </w:trPr>
        <w:tc>
          <w:tcPr>
            <w:tcW w:w="41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201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5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经营支出</w:t>
            </w:r>
          </w:p>
        </w:tc>
        <w:tc>
          <w:tcPr>
            <w:tcW w:w="17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对附属单位补助支出</w:t>
            </w:r>
          </w:p>
        </w:tc>
      </w:tr>
      <w:tr>
        <w:tblPrEx>
          <w:tblLayout w:type="fixed"/>
          <w:tblCellMar>
            <w:top w:w="0" w:type="dxa"/>
            <w:left w:w="108" w:type="dxa"/>
            <w:bottom w:w="0" w:type="dxa"/>
            <w:right w:w="108" w:type="dxa"/>
          </w:tblCellMar>
        </w:tblPrEx>
        <w:trPr>
          <w:trHeight w:val="312" w:hRule="atLeast"/>
          <w:jc w:val="center"/>
        </w:trPr>
        <w:tc>
          <w:tcPr>
            <w:tcW w:w="16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0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0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1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01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jc w:val="center"/>
        </w:trPr>
        <w:tc>
          <w:tcPr>
            <w:tcW w:w="16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1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jc w:val="center"/>
        </w:trPr>
        <w:tc>
          <w:tcPr>
            <w:tcW w:w="16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8,256.68</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4,914.71</w:t>
            </w:r>
          </w:p>
        </w:tc>
        <w:tc>
          <w:tcPr>
            <w:tcW w:w="2019"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3,341.97</w:t>
            </w:r>
          </w:p>
        </w:tc>
        <w:tc>
          <w:tcPr>
            <w:tcW w:w="151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201</w:t>
            </w:r>
          </w:p>
        </w:tc>
        <w:tc>
          <w:tcPr>
            <w:tcW w:w="25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一般公共服务支出</w:t>
            </w:r>
          </w:p>
        </w:tc>
        <w:tc>
          <w:tcPr>
            <w:tcW w:w="17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7,225.13</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3,946.11</w:t>
            </w:r>
          </w:p>
        </w:tc>
        <w:tc>
          <w:tcPr>
            <w:tcW w:w="2019"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3,279.02</w:t>
            </w:r>
          </w:p>
        </w:tc>
        <w:tc>
          <w:tcPr>
            <w:tcW w:w="151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20106</w:t>
            </w:r>
          </w:p>
        </w:tc>
        <w:tc>
          <w:tcPr>
            <w:tcW w:w="25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财政事务</w:t>
            </w:r>
          </w:p>
        </w:tc>
        <w:tc>
          <w:tcPr>
            <w:tcW w:w="17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7,225.13</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3,946.11</w:t>
            </w:r>
          </w:p>
        </w:tc>
        <w:tc>
          <w:tcPr>
            <w:tcW w:w="2019"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3,279.02</w:t>
            </w:r>
          </w:p>
        </w:tc>
        <w:tc>
          <w:tcPr>
            <w:tcW w:w="151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nil"/>
              <w:left w:val="single" w:color="auto" w:sz="4" w:space="0"/>
              <w:bottom w:val="single" w:color="000000" w:sz="8"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2010601</w:t>
            </w:r>
          </w:p>
        </w:tc>
        <w:tc>
          <w:tcPr>
            <w:tcW w:w="2555" w:type="dxa"/>
            <w:tcBorders>
              <w:top w:val="nil"/>
              <w:left w:val="nil"/>
              <w:bottom w:val="single" w:color="000000" w:sz="8"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行政运行</w:t>
            </w:r>
          </w:p>
        </w:tc>
        <w:tc>
          <w:tcPr>
            <w:tcW w:w="1766"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2,702.36</w:t>
            </w:r>
          </w:p>
        </w:tc>
        <w:tc>
          <w:tcPr>
            <w:tcW w:w="1765"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2,702.36</w:t>
            </w:r>
          </w:p>
        </w:tc>
        <w:tc>
          <w:tcPr>
            <w:tcW w:w="2019"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2010607</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信息化建设</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1,401.68</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1,401.68</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2010608</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财政委托业务支出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1,386.62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1,386.62</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2010650</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事业运行</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1,243.75</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1,243.75</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2010699</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其他财政事务支出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490.72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490.72</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205</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教育支出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20508</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进修及培训</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2050803</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培训支出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208</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社会保障和就业支出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20805</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行政事业单位离退休</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归口管理的行政单位离退休</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31.38</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31.38</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2080505</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机关事业单位基本养老保险缴费支出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285.34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285.34</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2080506</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机关事业单位职业年金缴费支出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114.14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114.14</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210</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卫生健康支出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21011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行政事业单位医疗</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行政单位医疗</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108.16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108.16</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2101102</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事业单位医疗</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76.32</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76.32</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2101103</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公务员医疗补助</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36.06</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36.06</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住房保障支出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22102</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住房改革支出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2210203</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购房补贴</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229</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22999</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trHeight w:val="450" w:hRule="atLeast"/>
          <w:jc w:val="center"/>
        </w:trPr>
        <w:tc>
          <w:tcPr>
            <w:tcW w:w="1642"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2299901</w:t>
            </w:r>
          </w:p>
        </w:tc>
        <w:tc>
          <w:tcPr>
            <w:tcW w:w="255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其他支出</w:t>
            </w:r>
          </w:p>
        </w:tc>
        <w:tc>
          <w:tcPr>
            <w:tcW w:w="176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01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151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5"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1762"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bl>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Arial"/>
          <w:b/>
          <w:bCs/>
          <w:color w:val="000000"/>
          <w:kern w:val="0"/>
          <w:sz w:val="32"/>
          <w:szCs w:val="28"/>
        </w:rPr>
      </w:pPr>
    </w:p>
    <w:p>
      <w:pPr>
        <w:tabs>
          <w:tab w:val="center" w:pos="6979"/>
        </w:tabs>
        <w:spacing w:line="380" w:lineRule="exact"/>
        <w:jc w:val="center"/>
        <w:rPr>
          <w:rFonts w:ascii="宋体" w:hAnsi="宋体" w:cs="Arial"/>
          <w:b/>
          <w:bCs/>
          <w:color w:val="000000"/>
          <w:kern w:val="0"/>
          <w:sz w:val="32"/>
          <w:szCs w:val="28"/>
        </w:rPr>
      </w:pPr>
    </w:p>
    <w:p>
      <w:pPr>
        <w:tabs>
          <w:tab w:val="center" w:pos="6979"/>
        </w:tabs>
        <w:spacing w:line="380" w:lineRule="exact"/>
        <w:jc w:val="center"/>
        <w:rPr>
          <w:rFonts w:ascii="宋体" w:hAnsi="宋体" w:cs="Arial"/>
          <w:b/>
          <w:bCs/>
          <w:color w:val="000000"/>
          <w:kern w:val="0"/>
          <w:sz w:val="32"/>
          <w:szCs w:val="28"/>
        </w:rPr>
      </w:pPr>
    </w:p>
    <w:p>
      <w:pPr>
        <w:tabs>
          <w:tab w:val="center" w:pos="6979"/>
        </w:tabs>
        <w:spacing w:line="380" w:lineRule="exact"/>
        <w:jc w:val="center"/>
        <w:rPr>
          <w:rFonts w:ascii="宋体" w:hAnsi="宋体" w:cs="Arial"/>
          <w:b/>
          <w:bCs/>
          <w:color w:val="000000"/>
          <w:kern w:val="0"/>
          <w:sz w:val="32"/>
          <w:szCs w:val="28"/>
        </w:rPr>
      </w:pPr>
    </w:p>
    <w:p>
      <w:pPr>
        <w:tabs>
          <w:tab w:val="center" w:pos="6979"/>
        </w:tabs>
        <w:spacing w:line="380" w:lineRule="exact"/>
        <w:jc w:val="center"/>
        <w:rPr>
          <w:rFonts w:ascii="宋体" w:hAnsi="宋体" w:cs="Arial"/>
          <w:b/>
          <w:bCs/>
          <w:color w:val="000000"/>
          <w:kern w:val="0"/>
          <w:sz w:val="32"/>
          <w:szCs w:val="28"/>
        </w:rPr>
      </w:pPr>
    </w:p>
    <w:p>
      <w:pPr>
        <w:tabs>
          <w:tab w:val="center" w:pos="6979"/>
        </w:tabs>
        <w:spacing w:line="380" w:lineRule="exact"/>
        <w:jc w:val="center"/>
        <w:rPr>
          <w:rFonts w:ascii="宋体" w:hAnsi="宋体" w:cs="宋体"/>
          <w:b/>
          <w:bCs/>
          <w:kern w:val="0"/>
          <w:sz w:val="32"/>
          <w:szCs w:val="28"/>
        </w:rPr>
      </w:pP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财政拨款收入支出决算总表</w:t>
      </w:r>
    </w:p>
    <w:p>
      <w:pPr>
        <w:ind w:left="-1050" w:leftChars="-500" w:right="-604" w:rightChars="-288"/>
        <w:rPr>
          <w:sz w:val="20"/>
        </w:rPr>
      </w:pP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r>
        <w:rPr>
          <w:rFonts w:hint="eastAsia"/>
          <w:sz w:val="20"/>
        </w:rPr>
        <w:t>（保留2位小数）</w:t>
      </w:r>
    </w:p>
    <w:tbl>
      <w:tblPr>
        <w:tblStyle w:val="7"/>
        <w:tblW w:w="14142" w:type="dxa"/>
        <w:tblInd w:w="220" w:type="dxa"/>
        <w:tblLayout w:type="fixed"/>
        <w:tblCellMar>
          <w:top w:w="0" w:type="dxa"/>
          <w:left w:w="108" w:type="dxa"/>
          <w:bottom w:w="0" w:type="dxa"/>
          <w:right w:w="108" w:type="dxa"/>
        </w:tblCellMar>
      </w:tblPr>
      <w:tblGrid>
        <w:gridCol w:w="2518"/>
        <w:gridCol w:w="1985"/>
        <w:gridCol w:w="3118"/>
        <w:gridCol w:w="2126"/>
        <w:gridCol w:w="2127"/>
        <w:gridCol w:w="2268"/>
      </w:tblGrid>
      <w:tr>
        <w:tblPrEx>
          <w:tblLayout w:type="fixed"/>
          <w:tblCellMar>
            <w:top w:w="0" w:type="dxa"/>
            <w:left w:w="108" w:type="dxa"/>
            <w:bottom w:w="0" w:type="dxa"/>
            <w:right w:w="108" w:type="dxa"/>
          </w:tblCellMar>
        </w:tblPrEx>
        <w:trPr>
          <w:trHeight w:val="255"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收     入</w:t>
            </w:r>
          </w:p>
        </w:tc>
        <w:tc>
          <w:tcPr>
            <w:tcW w:w="963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     出</w:t>
            </w:r>
          </w:p>
        </w:tc>
      </w:tr>
      <w:tr>
        <w:tblPrEx>
          <w:tblLayout w:type="fixed"/>
          <w:tblCellMar>
            <w:top w:w="0" w:type="dxa"/>
            <w:left w:w="108" w:type="dxa"/>
            <w:bottom w:w="0" w:type="dxa"/>
            <w:right w:w="108" w:type="dxa"/>
          </w:tblCellMar>
        </w:tblPrEx>
        <w:trPr>
          <w:trHeight w:val="585" w:hRule="exact"/>
        </w:trPr>
        <w:tc>
          <w:tcPr>
            <w:tcW w:w="2518" w:type="dxa"/>
            <w:tcBorders>
              <w:top w:val="nil"/>
              <w:left w:val="single" w:color="auto" w:sz="4" w:space="0"/>
              <w:bottom w:val="single" w:color="auto" w:sz="4" w:space="0"/>
              <w:right w:val="single" w:color="000000" w:sz="8"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ind w:firstLine="529" w:firstLineChars="294"/>
              <w:rPr>
                <w:rFonts w:ascii="宋体" w:hAnsi="宋体" w:cs="宋体"/>
                <w:b/>
                <w:kern w:val="0"/>
                <w:sz w:val="18"/>
                <w:szCs w:val="18"/>
              </w:rPr>
            </w:pPr>
            <w:r>
              <w:rPr>
                <w:rFonts w:hint="eastAsia" w:ascii="宋体" w:hAnsi="宋体" w:cs="宋体"/>
                <w:b/>
                <w:kern w:val="0"/>
                <w:sz w:val="18"/>
                <w:szCs w:val="18"/>
              </w:rPr>
              <w:t>决算数</w:t>
            </w:r>
          </w:p>
        </w:tc>
        <w:tc>
          <w:tcPr>
            <w:tcW w:w="3118" w:type="dxa"/>
            <w:tcBorders>
              <w:top w:val="nil"/>
              <w:left w:val="single" w:color="000000" w:sz="8"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项目（按功能分类）</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一般公共预算财政拨款决算数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政府性基金预算财政拨款决算数</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8,255.65</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7,225.13</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7,225.13</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宋体"/>
                <w:kern w:val="0"/>
                <w:sz w:val="18"/>
                <w:szCs w:val="18"/>
              </w:rPr>
            </w:pP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宋体"/>
                <w:kern w:val="0"/>
                <w:sz w:val="18"/>
                <w:szCs w:val="18"/>
              </w:rPr>
            </w:pP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s="宋体"/>
                <w:kern w:val="0"/>
                <w:sz w:val="18"/>
                <w:szCs w:val="18"/>
              </w:rPr>
            </w:pPr>
          </w:p>
        </w:tc>
        <w:tc>
          <w:tcPr>
            <w:tcW w:w="3118" w:type="dxa"/>
            <w:tcBorders>
              <w:top w:val="nil"/>
              <w:left w:val="single" w:color="000000" w:sz="8" w:space="0"/>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8"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430.86</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430.86</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220.54</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220.54</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3118" w:type="dxa"/>
            <w:tcBorders>
              <w:top w:val="nil"/>
              <w:left w:val="nil"/>
              <w:bottom w:val="single" w:color="auto" w:sz="4" w:space="0"/>
              <w:right w:val="single" w:color="auto" w:sz="4" w:space="0"/>
            </w:tcBorders>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98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r>
              <w:rPr>
                <w:rFonts w:hint="eastAsia" w:ascii="宋体" w:hAnsi="宋体" w:cs="宋体"/>
                <w:color w:val="000000"/>
                <w:kern w:val="0"/>
                <w:sz w:val="20"/>
                <w:szCs w:val="20"/>
                <w:lang w:bidi="ar"/>
              </w:rPr>
              <w:t>8,255.65</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8,256.68</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8,256.68</w:t>
            </w:r>
          </w:p>
        </w:tc>
        <w:tc>
          <w:tcPr>
            <w:tcW w:w="2268"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35.22</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35.22</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35.22</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35.22</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31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127"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268"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收入总计</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8,291.90</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支出总计</w:t>
            </w:r>
          </w:p>
        </w:tc>
        <w:tc>
          <w:tcPr>
            <w:tcW w:w="2126"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8,291.90</w:t>
            </w:r>
          </w:p>
        </w:tc>
        <w:tc>
          <w:tcPr>
            <w:tcW w:w="2127"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8,291.90</w:t>
            </w:r>
          </w:p>
        </w:tc>
        <w:tc>
          <w:tcPr>
            <w:tcW w:w="2268"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bl>
    <w:p>
      <w:pPr>
        <w:tabs>
          <w:tab w:val="center" w:pos="6979"/>
        </w:tabs>
        <w:jc w:val="center"/>
        <w:rPr>
          <w:rFonts w:ascii="宋体" w:hAnsi="宋体" w:cs="宋体"/>
          <w:b/>
          <w:bCs/>
          <w:kern w:val="0"/>
          <w:sz w:val="28"/>
          <w:szCs w:val="28"/>
        </w:rPr>
      </w:pPr>
    </w:p>
    <w:p>
      <w:pPr>
        <w:tabs>
          <w:tab w:val="center" w:pos="6979"/>
        </w:tabs>
        <w:jc w:val="center"/>
        <w:rPr>
          <w:rFonts w:ascii="仿宋_GB2312" w:eastAsia="仿宋_GB2312"/>
          <w:b/>
          <w:sz w:val="36"/>
          <w:szCs w:val="32"/>
        </w:rPr>
      </w:pP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一般公共预算财政拨款支出决算表</w:t>
      </w:r>
    </w:p>
    <w:tbl>
      <w:tblPr>
        <w:tblStyle w:val="7"/>
        <w:tblW w:w="14263" w:type="dxa"/>
        <w:tblInd w:w="675" w:type="dxa"/>
        <w:tblLayout w:type="fixed"/>
        <w:tblCellMar>
          <w:top w:w="0" w:type="dxa"/>
          <w:left w:w="108" w:type="dxa"/>
          <w:bottom w:w="0" w:type="dxa"/>
          <w:right w:w="108" w:type="dxa"/>
        </w:tblCellMar>
      </w:tblPr>
      <w:tblGrid>
        <w:gridCol w:w="2393"/>
        <w:gridCol w:w="1142"/>
        <w:gridCol w:w="2986"/>
        <w:gridCol w:w="236"/>
        <w:gridCol w:w="2174"/>
        <w:gridCol w:w="269"/>
        <w:gridCol w:w="2140"/>
        <w:gridCol w:w="2353"/>
        <w:gridCol w:w="570"/>
      </w:tblGrid>
      <w:tr>
        <w:tblPrEx>
          <w:tblLayout w:type="fixed"/>
          <w:tblCellMar>
            <w:top w:w="0" w:type="dxa"/>
            <w:left w:w="108" w:type="dxa"/>
            <w:bottom w:w="0" w:type="dxa"/>
            <w:right w:w="108" w:type="dxa"/>
          </w:tblCellMar>
        </w:tblPrEx>
        <w:trPr>
          <w:trHeight w:val="399" w:hRule="atLeast"/>
        </w:trPr>
        <w:tc>
          <w:tcPr>
            <w:tcW w:w="3535" w:type="dxa"/>
            <w:gridSpan w:val="2"/>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p>
        </w:tc>
        <w:tc>
          <w:tcPr>
            <w:tcW w:w="2986"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6"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063" w:type="dxa"/>
            <w:gridSpan w:val="3"/>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sz w:val="20"/>
              </w:rPr>
              <w:t>单位</w:t>
            </w:r>
            <w:r>
              <w:rPr>
                <w:sz w:val="20"/>
              </w:rPr>
              <w:t>：万元</w:t>
            </w:r>
            <w:r>
              <w:rPr>
                <w:rFonts w:hint="eastAsia"/>
                <w:sz w:val="20"/>
              </w:rPr>
              <w:t>（保留2位小数）</w:t>
            </w:r>
          </w:p>
        </w:tc>
      </w:tr>
      <w:tr>
        <w:tblPrEx>
          <w:tblLayout w:type="fixed"/>
          <w:tblCellMar>
            <w:top w:w="0" w:type="dxa"/>
            <w:left w:w="108" w:type="dxa"/>
            <w:bottom w:w="0" w:type="dxa"/>
            <w:right w:w="108" w:type="dxa"/>
          </w:tblCellMar>
        </w:tblPrEx>
        <w:trPr>
          <w:gridAfter w:val="1"/>
          <w:wAfter w:w="570" w:type="dxa"/>
          <w:trHeight w:val="551" w:hRule="atLeast"/>
        </w:trPr>
        <w:tc>
          <w:tcPr>
            <w:tcW w:w="65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2410"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合计</w:t>
            </w:r>
          </w:p>
        </w:tc>
        <w:tc>
          <w:tcPr>
            <w:tcW w:w="2409" w:type="dxa"/>
            <w:gridSpan w:val="2"/>
            <w:vMerge w:val="restart"/>
            <w:tcBorders>
              <w:top w:val="single" w:color="auto" w:sz="4" w:space="0"/>
              <w:left w:val="nil"/>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2353"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b/>
                <w:kern w:val="0"/>
                <w:sz w:val="18"/>
                <w:szCs w:val="18"/>
              </w:rPr>
              <w:t>项目支出</w:t>
            </w:r>
          </w:p>
        </w:tc>
      </w:tr>
      <w:tr>
        <w:tblPrEx>
          <w:tblLayout w:type="fixed"/>
          <w:tblCellMar>
            <w:top w:w="0" w:type="dxa"/>
            <w:left w:w="108" w:type="dxa"/>
            <w:bottom w:w="0" w:type="dxa"/>
            <w:right w:w="108" w:type="dxa"/>
          </w:tblCellMar>
        </w:tblPrEx>
        <w:trPr>
          <w:gridAfter w:val="1"/>
          <w:wAfter w:w="570" w:type="dxa"/>
          <w:trHeight w:val="742" w:hRule="atLeast"/>
        </w:trPr>
        <w:tc>
          <w:tcPr>
            <w:tcW w:w="23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4128" w:type="dxa"/>
            <w:gridSpan w:val="2"/>
            <w:tcBorders>
              <w:top w:val="nil"/>
              <w:left w:val="nil"/>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241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409"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c>
          <w:tcPr>
            <w:tcW w:w="2353"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18"/>
                <w:szCs w:val="18"/>
              </w:rPr>
            </w:pPr>
          </w:p>
        </w:tc>
      </w:tr>
      <w:tr>
        <w:tblPrEx>
          <w:tblLayout w:type="fixed"/>
          <w:tblCellMar>
            <w:top w:w="0" w:type="dxa"/>
            <w:left w:w="108" w:type="dxa"/>
            <w:bottom w:w="0" w:type="dxa"/>
            <w:right w:w="108" w:type="dxa"/>
          </w:tblCellMar>
        </w:tblPrEx>
        <w:trPr>
          <w:gridAfter w:val="1"/>
          <w:wAfter w:w="570" w:type="dxa"/>
          <w:trHeight w:val="399" w:hRule="atLeast"/>
        </w:trPr>
        <w:tc>
          <w:tcPr>
            <w:tcW w:w="239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412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4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12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410"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8,256.68</w:t>
            </w:r>
          </w:p>
        </w:tc>
        <w:tc>
          <w:tcPr>
            <w:tcW w:w="2409"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4,914.71</w:t>
            </w:r>
          </w:p>
        </w:tc>
        <w:tc>
          <w:tcPr>
            <w:tcW w:w="235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3,341.97</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201</w:t>
            </w:r>
          </w:p>
        </w:tc>
        <w:tc>
          <w:tcPr>
            <w:tcW w:w="412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一般公共服务支出</w:t>
            </w:r>
          </w:p>
        </w:tc>
        <w:tc>
          <w:tcPr>
            <w:tcW w:w="2410"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7,225.13</w:t>
            </w:r>
          </w:p>
        </w:tc>
        <w:tc>
          <w:tcPr>
            <w:tcW w:w="2409"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3,946.11</w:t>
            </w:r>
          </w:p>
        </w:tc>
        <w:tc>
          <w:tcPr>
            <w:tcW w:w="235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3,279.02</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20106</w:t>
            </w:r>
          </w:p>
        </w:tc>
        <w:tc>
          <w:tcPr>
            <w:tcW w:w="4128"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财政事务</w:t>
            </w:r>
          </w:p>
        </w:tc>
        <w:tc>
          <w:tcPr>
            <w:tcW w:w="2410"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7,225.13</w:t>
            </w:r>
          </w:p>
        </w:tc>
        <w:tc>
          <w:tcPr>
            <w:tcW w:w="2409"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3,946.11</w:t>
            </w:r>
          </w:p>
        </w:tc>
        <w:tc>
          <w:tcPr>
            <w:tcW w:w="235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3,279.02</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nil"/>
              <w:left w:val="single" w:color="auto" w:sz="4" w:space="0"/>
              <w:bottom w:val="single" w:color="000000" w:sz="8"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2010601</w:t>
            </w:r>
          </w:p>
        </w:tc>
        <w:tc>
          <w:tcPr>
            <w:tcW w:w="4128" w:type="dxa"/>
            <w:gridSpan w:val="2"/>
            <w:tcBorders>
              <w:top w:val="nil"/>
              <w:left w:val="nil"/>
              <w:bottom w:val="single" w:color="000000" w:sz="8"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行政运行</w:t>
            </w:r>
          </w:p>
        </w:tc>
        <w:tc>
          <w:tcPr>
            <w:tcW w:w="2410" w:type="dxa"/>
            <w:gridSpan w:val="2"/>
            <w:tcBorders>
              <w:top w:val="nil"/>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2,702.36</w:t>
            </w:r>
          </w:p>
        </w:tc>
        <w:tc>
          <w:tcPr>
            <w:tcW w:w="2409" w:type="dxa"/>
            <w:gridSpan w:val="2"/>
            <w:tcBorders>
              <w:top w:val="single" w:color="auto" w:sz="4" w:space="0"/>
              <w:left w:val="nil"/>
              <w:bottom w:val="single" w:color="000000" w:sz="8"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2,702.36</w:t>
            </w:r>
          </w:p>
        </w:tc>
        <w:tc>
          <w:tcPr>
            <w:tcW w:w="2353"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2010607</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信息化建设</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1,401.68</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1,401.68</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2010608</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财政委托业务支出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1,386.62</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1,386.62</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2010650</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事业运行</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1,243.75</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1,243.75</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2010699</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其他财政事务支出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490.72</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490.72</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205</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教育支出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20508</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进修及培训</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26.70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2050803</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培训支出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26.70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208</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社会保障和就业支出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20805</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行政事业单位离退休</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430.86</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2080501</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归口管理的行政单位离退休</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31.38</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31.38</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2080505</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机关事业单位基本养老保险缴费支出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285.34</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285.34</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2080506</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机关事业单位职业年金缴费支出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114.14</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114.14</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210</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卫生健康支出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21011</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行政事业单位医疗</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220.54</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2101101</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行政单位医疗</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108.16</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108.16</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2101102</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事业单位医疗</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76.32</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76.32</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2101103</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公务员医疗补助</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36.06</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36.06</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221</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住房保障支出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22102</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住房改革支出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317.20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2210203</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购房补贴</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317.20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229</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其他支出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22999</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b/>
                <w:color w:val="000000"/>
                <w:kern w:val="0"/>
                <w:sz w:val="20"/>
                <w:szCs w:val="20"/>
                <w:lang w:bidi="ar"/>
              </w:rPr>
              <w:t>其他支出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b/>
                <w:color w:val="000000"/>
                <w:kern w:val="0"/>
                <w:sz w:val="20"/>
                <w:szCs w:val="20"/>
                <w:lang w:bidi="ar"/>
              </w:rPr>
              <w:t>36.25</w:t>
            </w:r>
          </w:p>
        </w:tc>
      </w:tr>
      <w:tr>
        <w:tblPrEx>
          <w:tblLayout w:type="fixed"/>
        </w:tblPrEx>
        <w:trPr>
          <w:gridAfter w:val="1"/>
          <w:wAfter w:w="570" w:type="dxa"/>
          <w:trHeight w:val="399" w:hRule="atLeast"/>
        </w:trPr>
        <w:tc>
          <w:tcPr>
            <w:tcW w:w="2393"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2299901</w:t>
            </w:r>
          </w:p>
        </w:tc>
        <w:tc>
          <w:tcPr>
            <w:tcW w:w="4128" w:type="dxa"/>
            <w:gridSpan w:val="2"/>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其他支出</w:t>
            </w:r>
          </w:p>
        </w:tc>
        <w:tc>
          <w:tcPr>
            <w:tcW w:w="2410"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c>
          <w:tcPr>
            <w:tcW w:w="2409"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0.00</w:t>
            </w:r>
          </w:p>
        </w:tc>
        <w:tc>
          <w:tcPr>
            <w:tcW w:w="2353" w:type="dxa"/>
            <w:tcBorders>
              <w:top w:val="single" w:color="auto" w:sz="4" w:space="0"/>
              <w:left w:val="single" w:color="000000" w:sz="8" w:space="0"/>
              <w:bottom w:val="single" w:color="auto" w:sz="4" w:space="0"/>
              <w:right w:val="single" w:color="auto" w:sz="4" w:space="0"/>
            </w:tcBorders>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lang w:bidi="ar"/>
              </w:rPr>
              <w:t>36.25</w:t>
            </w:r>
          </w:p>
        </w:tc>
      </w:tr>
    </w:tbl>
    <w:p>
      <w:pPr>
        <w:spacing w:line="620" w:lineRule="exact"/>
        <w:jc w:val="center"/>
        <w:rPr>
          <w:rFonts w:ascii="黑体" w:hAnsi="宋体" w:eastAsia="黑体" w:cs="宋体"/>
          <w:b/>
          <w:bCs/>
          <w:color w:val="000000"/>
          <w:kern w:val="0"/>
          <w:sz w:val="32"/>
          <w:szCs w:val="32"/>
        </w:rPr>
      </w:pPr>
    </w:p>
    <w:p>
      <w:pPr>
        <w:spacing w:line="620" w:lineRule="exact"/>
        <w:jc w:val="center"/>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ind w:firstLine="4144" w:firstLineChars="1295"/>
        <w:jc w:val="left"/>
        <w:rPr>
          <w:rFonts w:ascii="黑体" w:hAnsi="宋体" w:eastAsia="黑体" w:cs="宋体"/>
          <w:b/>
          <w:bCs/>
          <w:color w:val="000000"/>
          <w:kern w:val="0"/>
          <w:sz w:val="32"/>
          <w:szCs w:val="32"/>
        </w:rPr>
      </w:pPr>
    </w:p>
    <w:p>
      <w:pPr>
        <w:tabs>
          <w:tab w:val="center" w:pos="6979"/>
        </w:tabs>
        <w:adjustRightInd w:val="0"/>
        <w:snapToGrid w:val="0"/>
        <w:spacing w:line="240" w:lineRule="atLeast"/>
        <w:jc w:val="center"/>
        <w:rPr>
          <w:rFonts w:ascii="宋体" w:hAnsi="宋体" w:cs="Arial"/>
          <w:b/>
          <w:bCs/>
          <w:color w:val="000000"/>
          <w:kern w:val="0"/>
          <w:sz w:val="32"/>
          <w:szCs w:val="28"/>
        </w:r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大兴区财政局2019年</w:t>
      </w:r>
      <w:r>
        <w:rPr>
          <w:rFonts w:hint="eastAsia" w:cs="宋体" w:asciiTheme="minorEastAsia" w:hAnsiTheme="minorEastAsia" w:eastAsiaTheme="minorEastAsia"/>
          <w:b/>
          <w:bCs/>
          <w:color w:val="000000"/>
          <w:kern w:val="0"/>
          <w:sz w:val="32"/>
          <w:szCs w:val="32"/>
        </w:rPr>
        <w:t>一般公共预算财政拨款基本支出决算表</w:t>
      </w:r>
    </w:p>
    <w:p>
      <w:pPr>
        <w:spacing w:line="620" w:lineRule="exact"/>
        <w:rPr>
          <w:rFonts w:cs="宋体" w:asciiTheme="minorEastAsia" w:hAnsiTheme="minorEastAsia" w:eastAsiaTheme="minorEastAsia"/>
          <w:b/>
          <w:bCs/>
          <w:color w:val="000000"/>
          <w:kern w:val="0"/>
          <w:sz w:val="32"/>
          <w:szCs w:val="32"/>
        </w:rPr>
      </w:pPr>
    </w:p>
    <w:tbl>
      <w:tblPr>
        <w:tblStyle w:val="7"/>
        <w:tblW w:w="14190" w:type="dxa"/>
        <w:tblInd w:w="93" w:type="dxa"/>
        <w:tblLayout w:type="fixed"/>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157"/>
        <w:gridCol w:w="2111"/>
        <w:gridCol w:w="1559"/>
      </w:tblGrid>
      <w:tr>
        <w:tblPrEx>
          <w:tblLayout w:type="fixed"/>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3670" w:type="dxa"/>
            <w:gridSpan w:val="2"/>
            <w:tcBorders>
              <w:top w:val="nil"/>
              <w:left w:val="nil"/>
              <w:bottom w:val="single" w:color="000000" w:sz="8" w:space="0"/>
              <w:right w:val="nil"/>
            </w:tcBorders>
            <w:shd w:val="clear" w:color="auto" w:fill="auto"/>
            <w:vAlign w:val="bottom"/>
          </w:tcPr>
          <w:p>
            <w:pPr>
              <w:widowControl/>
              <w:jc w:val="right"/>
              <w:rPr>
                <w:rFonts w:ascii="宋体" w:hAnsi="宋体" w:cs="宋体"/>
                <w:color w:val="000000"/>
                <w:kern w:val="0"/>
                <w:sz w:val="18"/>
                <w:szCs w:val="20"/>
              </w:rPr>
            </w:pPr>
            <w:r>
              <w:rPr>
                <w:rFonts w:hint="eastAsia"/>
                <w:sz w:val="20"/>
              </w:rPr>
              <w:t>单位</w:t>
            </w:r>
            <w:r>
              <w:rPr>
                <w:sz w:val="20"/>
              </w:rPr>
              <w:t>：万元</w:t>
            </w:r>
            <w:r>
              <w:rPr>
                <w:rFonts w:hint="eastAsia"/>
                <w:sz w:val="20"/>
              </w:rPr>
              <w:t>（保留2位小数）</w:t>
            </w:r>
          </w:p>
        </w:tc>
      </w:tr>
      <w:tr>
        <w:tblPrEx>
          <w:tblLayout w:type="fixed"/>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9"/>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Layout w:type="fixed"/>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Layout w:type="fixed"/>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4,080.07</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488.69</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550.02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16.41</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2,608.33</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0.22</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285.35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0.59</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114.14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15.67</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220.54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14.73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103.44</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15.24</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198.25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191.77</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345.95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0.59</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1.13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30.12</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2.38</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0.04</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0.63</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52.85</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43.96</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8.30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313.45</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123.28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jc w:val="right"/>
              <w:rPr>
                <w:rFonts w:ascii="宋体" w:hAnsi="宋体" w:cs="宋体"/>
                <w:color w:val="000000"/>
                <w:kern w:val="0"/>
                <w:sz w:val="18"/>
                <w:szCs w:val="18"/>
              </w:rPr>
            </w:pP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jc w:val="right"/>
              <w:rPr>
                <w:rFonts w:ascii="宋体" w:hAnsi="宋体" w:cs="宋体"/>
                <w:color w:val="000000"/>
                <w:kern w:val="0"/>
                <w:sz w:val="18"/>
                <w:szCs w:val="18"/>
              </w:rPr>
            </w:pP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3.28</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b/>
                <w:bCs/>
                <w:color w:val="000000"/>
                <w:kern w:val="0"/>
                <w:sz w:val="18"/>
                <w:szCs w:val="18"/>
              </w:rPr>
            </w:pPr>
            <w:r>
              <w:rPr>
                <w:rFonts w:hint="eastAsia" w:ascii="宋体" w:hAnsi="宋体" w:cs="宋体"/>
                <w:b/>
                <w:color w:val="000000"/>
                <w:kern w:val="0"/>
                <w:sz w:val="20"/>
                <w:szCs w:val="20"/>
                <w:lang w:bidi="ar"/>
              </w:rPr>
              <w:t>4,426.02</w:t>
            </w:r>
          </w:p>
        </w:tc>
        <w:tc>
          <w:tcPr>
            <w:tcW w:w="7711"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宋体" w:hAnsi="宋体" w:cs="宋体"/>
                <w:b/>
                <w:bCs/>
                <w:color w:val="000000"/>
                <w:kern w:val="0"/>
                <w:sz w:val="20"/>
                <w:szCs w:val="20"/>
              </w:rPr>
            </w:pPr>
            <w:r>
              <w:rPr>
                <w:rFonts w:hint="eastAsia" w:ascii="宋体" w:hAnsi="宋体" w:cs="宋体"/>
                <w:b/>
                <w:color w:val="000000"/>
                <w:kern w:val="0"/>
                <w:sz w:val="20"/>
                <w:szCs w:val="20"/>
                <w:lang w:bidi="ar"/>
              </w:rPr>
              <w:t>488.69</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tabs>
          <w:tab w:val="center" w:pos="6979"/>
        </w:tabs>
        <w:jc w:val="center"/>
        <w:rPr>
          <w:rFonts w:ascii="黑体" w:hAnsi="宋体" w:eastAsia="黑体" w:cs="宋体"/>
          <w:b/>
          <w:bCs/>
          <w:color w:val="000000"/>
          <w:kern w:val="0"/>
          <w:sz w:val="32"/>
          <w:szCs w:val="32"/>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大兴区财政局2019年</w:t>
      </w:r>
      <w:r>
        <w:rPr>
          <w:rFonts w:hint="eastAsia" w:ascii="宋体" w:hAnsi="宋体" w:cs="宋体"/>
          <w:b/>
          <w:bCs/>
          <w:kern w:val="0"/>
          <w:sz w:val="32"/>
          <w:szCs w:val="28"/>
        </w:rPr>
        <w:t>政府性基金预算财政拨款收入支出决算表</w:t>
      </w:r>
    </w:p>
    <w:p>
      <w:pPr>
        <w:tabs>
          <w:tab w:val="center" w:pos="6979"/>
        </w:tabs>
        <w:jc w:val="center"/>
        <w:rPr>
          <w:rFonts w:ascii="仿宋_GB2312" w:eastAsia="仿宋_GB2312"/>
          <w:b/>
          <w:sz w:val="36"/>
          <w:szCs w:val="32"/>
        </w:rPr>
      </w:pPr>
    </w:p>
    <w:tbl>
      <w:tblPr>
        <w:tblStyle w:val="7"/>
        <w:tblW w:w="13672" w:type="dxa"/>
        <w:tblInd w:w="534" w:type="dxa"/>
        <w:tblLayout w:type="fixed"/>
        <w:tblCellMar>
          <w:top w:w="0" w:type="dxa"/>
          <w:left w:w="108" w:type="dxa"/>
          <w:bottom w:w="0" w:type="dxa"/>
          <w:right w:w="108" w:type="dxa"/>
        </w:tblCellMar>
      </w:tblPr>
      <w:tblGrid>
        <w:gridCol w:w="2229"/>
        <w:gridCol w:w="271"/>
        <w:gridCol w:w="2177"/>
        <w:gridCol w:w="1560"/>
        <w:gridCol w:w="1417"/>
        <w:gridCol w:w="1341"/>
        <w:gridCol w:w="1494"/>
        <w:gridCol w:w="1276"/>
        <w:gridCol w:w="1907"/>
      </w:tblGrid>
      <w:tr>
        <w:tblPrEx>
          <w:tblLayout w:type="fixed"/>
          <w:tblCellMar>
            <w:top w:w="0" w:type="dxa"/>
            <w:left w:w="108" w:type="dxa"/>
            <w:bottom w:w="0" w:type="dxa"/>
            <w:right w:w="108" w:type="dxa"/>
          </w:tblCellMar>
        </w:tblPrEx>
        <w:trPr>
          <w:trHeight w:val="289" w:hRule="atLeast"/>
        </w:trPr>
        <w:tc>
          <w:tcPr>
            <w:tcW w:w="2500" w:type="dxa"/>
            <w:gridSpan w:val="2"/>
            <w:tcBorders>
              <w:top w:val="single" w:color="FFFFFF" w:sz="8" w:space="0"/>
              <w:left w:val="single" w:color="FFFFFF" w:sz="8" w:space="0"/>
              <w:bottom w:val="nil"/>
              <w:right w:val="single" w:color="FFFFFF"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  </w:t>
            </w:r>
          </w:p>
        </w:tc>
        <w:tc>
          <w:tcPr>
            <w:tcW w:w="2177" w:type="dxa"/>
            <w:tcBorders>
              <w:top w:val="single" w:color="FFFFFF" w:sz="8" w:space="0"/>
              <w:left w:val="nil"/>
              <w:bottom w:val="nil"/>
              <w:right w:val="single" w:color="FFFFFF"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560" w:type="dxa"/>
            <w:tcBorders>
              <w:top w:val="single" w:color="FFFFFF" w:sz="8" w:space="0"/>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018" w:type="dxa"/>
            <w:gridSpan w:val="4"/>
            <w:tcBorders>
              <w:top w:val="single" w:color="FFFFFF" w:sz="8" w:space="0"/>
              <w:left w:val="single" w:color="FFFFFF" w:sz="8" w:space="0"/>
              <w:bottom w:val="single" w:color="000000" w:sz="8" w:space="0"/>
              <w:right w:val="single" w:color="FFFFFF"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　</w:t>
            </w:r>
          </w:p>
          <w:p>
            <w:pPr>
              <w:widowControl/>
              <w:ind w:firstLine="3400" w:firstLineChars="1700"/>
              <w:rPr>
                <w:rFonts w:ascii="宋体" w:hAnsi="宋体" w:cs="宋体"/>
                <w:kern w:val="0"/>
                <w:sz w:val="18"/>
                <w:szCs w:val="18"/>
              </w:rPr>
            </w:pPr>
            <w:r>
              <w:rPr>
                <w:rFonts w:hint="eastAsia"/>
                <w:sz w:val="20"/>
              </w:rPr>
              <w:t>单位：万元（保留2位小数）</w:t>
            </w:r>
          </w:p>
        </w:tc>
      </w:tr>
      <w:tr>
        <w:tblPrEx>
          <w:tblLayout w:type="fixed"/>
          <w:tblCellMar>
            <w:top w:w="0" w:type="dxa"/>
            <w:left w:w="108" w:type="dxa"/>
            <w:bottom w:w="0" w:type="dxa"/>
            <w:right w:w="108" w:type="dxa"/>
          </w:tblCellMar>
        </w:tblPrEx>
        <w:trPr>
          <w:trHeight w:val="289" w:hRule="atLeast"/>
        </w:trPr>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项        目</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本年收入</w:t>
            </w:r>
          </w:p>
        </w:tc>
        <w:tc>
          <w:tcPr>
            <w:tcW w:w="411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w:t>
            </w:r>
          </w:p>
        </w:tc>
        <w:tc>
          <w:tcPr>
            <w:tcW w:w="190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支出功能分类科目编码</w:t>
            </w: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科目名称</w:t>
            </w: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小计</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基本支出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项目支出</w:t>
            </w:r>
          </w:p>
        </w:tc>
        <w:tc>
          <w:tcPr>
            <w:tcW w:w="1907" w:type="dxa"/>
            <w:vMerge w:val="continue"/>
            <w:tcBorders>
              <w:top w:val="single" w:color="000000" w:sz="8"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222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类款项</w:t>
            </w: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222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20"/>
                <w:szCs w:val="20"/>
                <w:lang w:bidi="ar"/>
              </w:rPr>
              <w:t>0.00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20"/>
                <w:szCs w:val="20"/>
                <w:lang w:bidi="ar"/>
              </w:rPr>
              <w:t>0.00</w:t>
            </w:r>
          </w:p>
        </w:tc>
        <w:tc>
          <w:tcPr>
            <w:tcW w:w="13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20"/>
                <w:szCs w:val="20"/>
                <w:lang w:bidi="ar"/>
              </w:rPr>
              <w:t>0.00</w:t>
            </w: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20"/>
                <w:szCs w:val="20"/>
                <w:lang w:bidi="ar"/>
              </w:rPr>
              <w:t>0.00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20"/>
                <w:szCs w:val="20"/>
                <w:lang w:bidi="ar"/>
              </w:rPr>
              <w:t>0.00</w:t>
            </w: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auto" w:sz="4" w:space="0"/>
              <w:right w:val="single" w:color="auto" w:sz="4" w:space="0"/>
            </w:tcBorders>
            <w:shd w:val="clear" w:color="auto" w:fill="auto"/>
            <w:vAlign w:val="center"/>
          </w:tcPr>
          <w:p>
            <w:pPr>
              <w:widowControl/>
              <w:ind w:right="360"/>
              <w:jc w:val="left"/>
              <w:rPr>
                <w:rFonts w:ascii="宋体" w:hAnsi="宋体" w:cs="宋体"/>
                <w:kern w:val="0"/>
                <w:sz w:val="18"/>
                <w:szCs w:val="18"/>
              </w:rPr>
            </w:pPr>
          </w:p>
        </w:tc>
        <w:tc>
          <w:tcPr>
            <w:tcW w:w="244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2229" w:type="dxa"/>
            <w:tcBorders>
              <w:top w:val="nil"/>
              <w:left w:val="single" w:color="auto" w:sz="4" w:space="0"/>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2448" w:type="dxa"/>
            <w:gridSpan w:val="2"/>
            <w:tcBorders>
              <w:top w:val="nil"/>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560" w:type="dxa"/>
            <w:tcBorders>
              <w:top w:val="nil"/>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417" w:type="dxa"/>
            <w:tcBorders>
              <w:top w:val="nil"/>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341" w:type="dxa"/>
            <w:tcBorders>
              <w:top w:val="nil"/>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494" w:type="dxa"/>
            <w:tcBorders>
              <w:top w:val="single" w:color="auto" w:sz="4" w:space="0"/>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276" w:type="dxa"/>
            <w:tcBorders>
              <w:top w:val="single" w:color="auto" w:sz="4" w:space="0"/>
              <w:left w:val="nil"/>
              <w:bottom w:val="single" w:color="000000" w:sz="8" w:space="0"/>
              <w:right w:val="single" w:color="auto" w:sz="4" w:space="0"/>
            </w:tcBorders>
            <w:shd w:val="clear" w:color="auto" w:fill="auto"/>
            <w:vAlign w:val="center"/>
          </w:tcPr>
          <w:p>
            <w:pPr>
              <w:widowControl/>
              <w:jc w:val="left"/>
              <w:rPr>
                <w:rFonts w:ascii="宋体" w:hAnsi="宋体" w:cs="宋体"/>
                <w:kern w:val="0"/>
                <w:sz w:val="18"/>
                <w:szCs w:val="18"/>
              </w:rPr>
            </w:pPr>
          </w:p>
        </w:tc>
        <w:tc>
          <w:tcPr>
            <w:tcW w:w="1907" w:type="dxa"/>
            <w:tcBorders>
              <w:top w:val="nil"/>
              <w:left w:val="nil"/>
              <w:bottom w:val="single" w:color="000000" w:sz="8"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22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rPr>
          <w:rFonts w:ascii="宋体" w:hAnsi="宋体" w:cs="宋体"/>
          <w:b/>
          <w:bCs/>
          <w:kern w:val="0"/>
          <w:sz w:val="28"/>
          <w:szCs w:val="28"/>
        </w:rPr>
        <w:sectPr>
          <w:pgSz w:w="16838" w:h="11906" w:orient="landscape"/>
          <w:pgMar w:top="1134" w:right="1134" w:bottom="1021" w:left="1134" w:header="851" w:footer="992" w:gutter="0"/>
          <w:cols w:space="720" w:num="1"/>
          <w:docGrid w:type="linesAndChars" w:linePitch="312" w:charSpace="0"/>
        </w:sectPr>
      </w:pPr>
    </w:p>
    <w:p>
      <w:pPr>
        <w:tabs>
          <w:tab w:val="center" w:pos="6979"/>
        </w:tabs>
        <w:adjustRightInd w:val="0"/>
        <w:snapToGrid w:val="0"/>
        <w:spacing w:line="240" w:lineRule="atLeast"/>
        <w:jc w:val="center"/>
        <w:rPr>
          <w:rFonts w:cs="宋体" w:asciiTheme="minorEastAsia" w:hAnsiTheme="minorEastAsia" w:eastAsiaTheme="minorEastAsia"/>
          <w:b/>
          <w:bCs/>
          <w:color w:val="000000"/>
          <w:kern w:val="0"/>
          <w:sz w:val="32"/>
          <w:szCs w:val="32"/>
        </w:rPr>
      </w:pPr>
      <w:r>
        <w:rPr>
          <w:rFonts w:hint="eastAsia" w:ascii="宋体" w:hAnsi="宋体" w:cs="Arial"/>
          <w:b/>
          <w:bCs/>
          <w:color w:val="000000"/>
          <w:kern w:val="0"/>
          <w:sz w:val="32"/>
          <w:szCs w:val="28"/>
        </w:rPr>
        <w:t>大兴区财政局2019年</w:t>
      </w:r>
      <w:r>
        <w:rPr>
          <w:rFonts w:hint="eastAsia" w:cs="宋体" w:asciiTheme="minorEastAsia" w:hAnsiTheme="minorEastAsia" w:eastAsiaTheme="minorEastAsia"/>
          <w:b/>
          <w:bCs/>
          <w:color w:val="000000"/>
          <w:kern w:val="0"/>
          <w:sz w:val="32"/>
          <w:szCs w:val="32"/>
        </w:rPr>
        <w:t>政府性基金预算财政拨款基本支出决算表</w:t>
      </w:r>
    </w:p>
    <w:p>
      <w:pPr>
        <w:spacing w:line="620" w:lineRule="exact"/>
        <w:ind w:left="424" w:hanging="422" w:hangingChars="132"/>
        <w:rPr>
          <w:rFonts w:ascii="黑体" w:hAnsi="宋体" w:eastAsia="黑体" w:cs="宋体"/>
          <w:b/>
          <w:bCs/>
          <w:color w:val="000000"/>
          <w:kern w:val="0"/>
          <w:sz w:val="32"/>
          <w:szCs w:val="32"/>
        </w:rPr>
      </w:pPr>
    </w:p>
    <w:tbl>
      <w:tblPr>
        <w:tblStyle w:val="7"/>
        <w:tblW w:w="14190" w:type="dxa"/>
        <w:tblInd w:w="93" w:type="dxa"/>
        <w:tblLayout w:type="fixed"/>
        <w:tblCellMar>
          <w:top w:w="0" w:type="dxa"/>
          <w:left w:w="108" w:type="dxa"/>
          <w:bottom w:w="0" w:type="dxa"/>
          <w:right w:w="108" w:type="dxa"/>
        </w:tblCellMar>
      </w:tblPr>
      <w:tblGrid>
        <w:gridCol w:w="866"/>
        <w:gridCol w:w="2835"/>
        <w:gridCol w:w="139"/>
        <w:gridCol w:w="1080"/>
        <w:gridCol w:w="765"/>
        <w:gridCol w:w="315"/>
        <w:gridCol w:w="1812"/>
        <w:gridCol w:w="548"/>
        <w:gridCol w:w="1080"/>
        <w:gridCol w:w="923"/>
        <w:gridCol w:w="2268"/>
        <w:gridCol w:w="1559"/>
      </w:tblGrid>
      <w:tr>
        <w:tblPrEx>
          <w:tblLayout w:type="fixed"/>
          <w:tblCellMar>
            <w:top w:w="0" w:type="dxa"/>
            <w:left w:w="108" w:type="dxa"/>
            <w:bottom w:w="0" w:type="dxa"/>
            <w:right w:w="108" w:type="dxa"/>
          </w:tblCellMar>
        </w:tblPrEx>
        <w:trPr>
          <w:trHeight w:val="285" w:hRule="atLeast"/>
        </w:trPr>
        <w:tc>
          <w:tcPr>
            <w:tcW w:w="3840" w:type="dxa"/>
            <w:gridSpan w:val="3"/>
            <w:tcBorders>
              <w:top w:val="nil"/>
              <w:left w:val="nil"/>
              <w:bottom w:val="single" w:color="000000" w:sz="8" w:space="0"/>
              <w:right w:val="nil"/>
            </w:tcBorders>
            <w:shd w:val="clear" w:color="auto" w:fill="auto"/>
            <w:vAlign w:val="center"/>
          </w:tcPr>
          <w:p>
            <w:pPr>
              <w:widowControl/>
              <w:jc w:val="left"/>
              <w:rPr>
                <w:rFonts w:ascii="宋体" w:hAnsi="宋体" w:cs="宋体"/>
                <w:color w:val="000000"/>
                <w:kern w:val="0"/>
                <w:sz w:val="18"/>
                <w:szCs w:val="20"/>
              </w:rPr>
            </w:pPr>
            <w:r>
              <w:rPr>
                <w:rFonts w:hint="eastAsia" w:ascii="宋体" w:hAnsi="宋体" w:cs="宋体"/>
                <w:color w:val="000000"/>
                <w:kern w:val="0"/>
                <w:sz w:val="18"/>
                <w:szCs w:val="20"/>
              </w:rPr>
              <w:t xml:space="preserve">                                                                                                                         </w:t>
            </w:r>
          </w:p>
        </w:tc>
        <w:tc>
          <w:tcPr>
            <w:tcW w:w="108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108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236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1080" w:type="dxa"/>
            <w:tcBorders>
              <w:top w:val="nil"/>
              <w:left w:val="nil"/>
              <w:bottom w:val="nil"/>
              <w:right w:val="nil"/>
            </w:tcBorders>
            <w:shd w:val="clear" w:color="auto" w:fill="auto"/>
            <w:vAlign w:val="bottom"/>
          </w:tcPr>
          <w:p>
            <w:pPr>
              <w:widowControl/>
              <w:jc w:val="left"/>
              <w:rPr>
                <w:rFonts w:ascii="宋体" w:hAnsi="宋体" w:cs="宋体"/>
                <w:color w:val="000000"/>
                <w:kern w:val="0"/>
                <w:sz w:val="18"/>
                <w:szCs w:val="20"/>
              </w:rPr>
            </w:pPr>
          </w:p>
        </w:tc>
        <w:tc>
          <w:tcPr>
            <w:tcW w:w="4750" w:type="dxa"/>
            <w:gridSpan w:val="3"/>
            <w:tcBorders>
              <w:top w:val="nil"/>
              <w:left w:val="nil"/>
              <w:bottom w:val="nil"/>
              <w:right w:val="nil"/>
            </w:tcBorders>
            <w:shd w:val="clear" w:color="auto" w:fill="auto"/>
            <w:vAlign w:val="bottom"/>
          </w:tcPr>
          <w:p>
            <w:pPr>
              <w:widowControl/>
              <w:ind w:right="360" w:firstLine="2070" w:firstLineChars="1150"/>
              <w:rPr>
                <w:rFonts w:ascii="宋体" w:hAnsi="宋体" w:cs="宋体"/>
                <w:color w:val="000000"/>
                <w:kern w:val="0"/>
                <w:sz w:val="18"/>
                <w:szCs w:val="20"/>
              </w:rPr>
            </w:pP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Layout w:type="fixed"/>
          <w:tblCellMar>
            <w:top w:w="0" w:type="dxa"/>
            <w:left w:w="108" w:type="dxa"/>
            <w:bottom w:w="0" w:type="dxa"/>
            <w:right w:w="108" w:type="dxa"/>
          </w:tblCellMar>
        </w:tblPrEx>
        <w:trPr>
          <w:trHeight w:val="405" w:hRule="atLeast"/>
        </w:trPr>
        <w:tc>
          <w:tcPr>
            <w:tcW w:w="4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人员经费</w:t>
            </w:r>
          </w:p>
        </w:tc>
        <w:tc>
          <w:tcPr>
            <w:tcW w:w="9270" w:type="dxa"/>
            <w:gridSpan w:val="8"/>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公用经费</w:t>
            </w:r>
          </w:p>
        </w:tc>
      </w:tr>
      <w:tr>
        <w:tblPrEx>
          <w:tblLayout w:type="fixed"/>
          <w:tblCellMar>
            <w:top w:w="0" w:type="dxa"/>
            <w:left w:w="108" w:type="dxa"/>
            <w:bottom w:w="0" w:type="dxa"/>
            <w:right w:w="108" w:type="dxa"/>
          </w:tblCellMar>
        </w:tblPrEx>
        <w:trPr>
          <w:trHeight w:val="312" w:hRule="atLeast"/>
        </w:trPr>
        <w:tc>
          <w:tcPr>
            <w:tcW w:w="866"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8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21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7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127"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628"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92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科目编码</w:t>
            </w:r>
          </w:p>
        </w:tc>
        <w:tc>
          <w:tcPr>
            <w:tcW w:w="226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科目名称</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r>
      <w:tr>
        <w:tblPrEx>
          <w:tblLayout w:type="fixed"/>
          <w:tblCellMar>
            <w:top w:w="0" w:type="dxa"/>
            <w:left w:w="108" w:type="dxa"/>
            <w:bottom w:w="0" w:type="dxa"/>
            <w:right w:w="108" w:type="dxa"/>
          </w:tblCellMar>
        </w:tblPrEx>
        <w:trPr>
          <w:trHeight w:val="312" w:hRule="atLeast"/>
        </w:trPr>
        <w:tc>
          <w:tcPr>
            <w:tcW w:w="866"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83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219"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765"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127"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628" w:type="dxa"/>
            <w:gridSpan w:val="2"/>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92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2268"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房屋建筑物购建</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专用设备购置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31005</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基础设施建设</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31006</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大型修缮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31007</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信息网络及软件购置更新</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31008</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物资储备</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31009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土地补偿</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31010</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安置补助</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其他社保保障缴费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地上附着物和青苗补偿</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30212</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拆迁补偿</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30213</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31013</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31019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其他交通工具购置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31021</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文物和陈列品购置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30301</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31022</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无形资产购置</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31099</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30303</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30304</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30224</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30225</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30306</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30226</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30307</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30227</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30308</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30228</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30229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30310</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30399</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30240</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866"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c>
          <w:tcPr>
            <w:tcW w:w="76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30299</w:t>
            </w:r>
          </w:p>
        </w:tc>
        <w:tc>
          <w:tcPr>
            <w:tcW w:w="2127"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628"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20"/>
                <w:lang w:bidi="ar"/>
              </w:rPr>
              <w:t>0.00</w:t>
            </w:r>
          </w:p>
        </w:tc>
        <w:tc>
          <w:tcPr>
            <w:tcW w:w="923"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6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0" w:hRule="atLeast"/>
        </w:trPr>
        <w:tc>
          <w:tcPr>
            <w:tcW w:w="37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人员支出合计</w:t>
            </w:r>
          </w:p>
        </w:tc>
        <w:tc>
          <w:tcPr>
            <w:tcW w:w="1219" w:type="dxa"/>
            <w:gridSpan w:val="2"/>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color w:val="000000"/>
                <w:kern w:val="0"/>
                <w:sz w:val="20"/>
                <w:szCs w:val="20"/>
                <w:lang w:bidi="ar"/>
              </w:rPr>
              <w:t>0.00</w:t>
            </w:r>
          </w:p>
        </w:tc>
        <w:tc>
          <w:tcPr>
            <w:tcW w:w="7711" w:type="dxa"/>
            <w:gridSpan w:val="7"/>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公用支出合计</w:t>
            </w:r>
          </w:p>
        </w:tc>
        <w:tc>
          <w:tcPr>
            <w:tcW w:w="1559"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color w:val="000000"/>
                <w:kern w:val="0"/>
                <w:sz w:val="20"/>
                <w:szCs w:val="20"/>
                <w:lang w:bidi="ar"/>
              </w:rPr>
              <w:t>0.00</w:t>
            </w:r>
          </w:p>
        </w:tc>
      </w:tr>
    </w:tbl>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tbl>
      <w:tblPr>
        <w:tblStyle w:val="7"/>
        <w:tblpPr w:leftFromText="180" w:rightFromText="180" w:vertAnchor="text" w:horzAnchor="margin" w:tblpXSpec="center" w:tblpY="428"/>
        <w:tblW w:w="10720" w:type="dxa"/>
        <w:tblInd w:w="0" w:type="dxa"/>
        <w:tblLayout w:type="fixed"/>
        <w:tblCellMar>
          <w:top w:w="0" w:type="dxa"/>
          <w:left w:w="108" w:type="dxa"/>
          <w:bottom w:w="0" w:type="dxa"/>
          <w:right w:w="108" w:type="dxa"/>
        </w:tblCellMar>
      </w:tblPr>
      <w:tblGrid>
        <w:gridCol w:w="3280"/>
        <w:gridCol w:w="2480"/>
        <w:gridCol w:w="2480"/>
        <w:gridCol w:w="2480"/>
      </w:tblGrid>
      <w:tr>
        <w:tblPrEx>
          <w:tblLayout w:type="fixed"/>
          <w:tblCellMar>
            <w:top w:w="0" w:type="dxa"/>
            <w:left w:w="108" w:type="dxa"/>
            <w:bottom w:w="0" w:type="dxa"/>
            <w:right w:w="108" w:type="dxa"/>
          </w:tblCellMar>
        </w:tblPrEx>
        <w:trPr>
          <w:trHeight w:val="750" w:hRule="atLeast"/>
        </w:trPr>
        <w:tc>
          <w:tcPr>
            <w:tcW w:w="10720" w:type="dxa"/>
            <w:gridSpan w:val="4"/>
            <w:tcBorders>
              <w:top w:val="nil"/>
              <w:left w:val="nil"/>
              <w:bottom w:val="nil"/>
              <w:right w:val="nil"/>
            </w:tcBorders>
            <w:shd w:val="clear" w:color="auto" w:fill="auto"/>
            <w:vAlign w:val="center"/>
          </w:tcPr>
          <w:p>
            <w:pPr>
              <w:jc w:val="center"/>
              <w:rPr>
                <w:rFonts w:cs="Arial"/>
                <w:b/>
                <w:bCs/>
                <w:sz w:val="28"/>
                <w:szCs w:val="28"/>
              </w:rPr>
            </w:pPr>
          </w:p>
          <w:p>
            <w:pPr>
              <w:jc w:val="center"/>
              <w:rPr>
                <w:rFonts w:cs="Arial"/>
                <w:b/>
                <w:bCs/>
                <w:sz w:val="28"/>
                <w:szCs w:val="28"/>
              </w:rPr>
            </w:pPr>
          </w:p>
          <w:p>
            <w:pPr>
              <w:jc w:val="center"/>
              <w:rPr>
                <w:rFonts w:cs="Arial"/>
                <w:b/>
                <w:bCs/>
                <w:sz w:val="32"/>
                <w:szCs w:val="28"/>
              </w:rPr>
            </w:pPr>
          </w:p>
          <w:p>
            <w:pPr>
              <w:jc w:val="center"/>
              <w:rPr>
                <w:rFonts w:ascii="宋体" w:hAnsi="宋体" w:cs="Arial"/>
                <w:b/>
                <w:bCs/>
                <w:sz w:val="28"/>
                <w:szCs w:val="28"/>
              </w:rPr>
            </w:pPr>
            <w:r>
              <w:rPr>
                <w:rFonts w:hint="eastAsia" w:ascii="宋体" w:hAnsi="宋体" w:cs="Arial"/>
                <w:b/>
                <w:bCs/>
                <w:color w:val="000000"/>
                <w:kern w:val="0"/>
                <w:sz w:val="32"/>
                <w:szCs w:val="28"/>
              </w:rPr>
              <w:t>大兴区财政局2019年</w:t>
            </w:r>
            <w:r>
              <w:rPr>
                <w:rFonts w:hint="eastAsia" w:cs="Arial"/>
                <w:b/>
                <w:bCs/>
                <w:sz w:val="32"/>
                <w:szCs w:val="28"/>
              </w:rPr>
              <w:t>财政拨款“三公”经费支出决算表</w:t>
            </w:r>
          </w:p>
        </w:tc>
      </w:tr>
      <w:tr>
        <w:tblPrEx>
          <w:tblLayout w:type="fixed"/>
          <w:tblCellMar>
            <w:top w:w="0" w:type="dxa"/>
            <w:left w:w="108" w:type="dxa"/>
            <w:bottom w:w="0" w:type="dxa"/>
            <w:right w:w="108" w:type="dxa"/>
          </w:tblCellMar>
        </w:tblPrEx>
        <w:trPr>
          <w:trHeight w:val="900" w:hRule="atLeast"/>
        </w:trPr>
        <w:tc>
          <w:tcPr>
            <w:tcW w:w="3280" w:type="dxa"/>
            <w:tcBorders>
              <w:top w:val="nil"/>
              <w:left w:val="nil"/>
              <w:bottom w:val="nil"/>
              <w:right w:val="nil"/>
            </w:tcBorders>
            <w:shd w:val="clear" w:color="auto" w:fill="auto"/>
            <w:vAlign w:val="bottom"/>
          </w:tcPr>
          <w:p>
            <w:pPr>
              <w:rPr>
                <w:rFonts w:ascii="宋体" w:hAnsi="宋体" w:cs="Arial"/>
                <w:sz w:val="18"/>
                <w:szCs w:val="18"/>
              </w:rPr>
            </w:pPr>
          </w:p>
        </w:tc>
        <w:tc>
          <w:tcPr>
            <w:tcW w:w="2480" w:type="dxa"/>
            <w:tcBorders>
              <w:top w:val="nil"/>
              <w:left w:val="nil"/>
              <w:bottom w:val="nil"/>
              <w:right w:val="nil"/>
            </w:tcBorders>
            <w:shd w:val="clear" w:color="auto" w:fill="auto"/>
            <w:vAlign w:val="bottom"/>
          </w:tcPr>
          <w:p>
            <w:pPr>
              <w:rPr>
                <w:rFonts w:ascii="Arial" w:hAnsi="Arial" w:cs="Arial"/>
                <w:sz w:val="20"/>
                <w:szCs w:val="20"/>
              </w:rPr>
            </w:pPr>
          </w:p>
        </w:tc>
        <w:tc>
          <w:tcPr>
            <w:tcW w:w="2480" w:type="dxa"/>
            <w:tcBorders>
              <w:top w:val="nil"/>
              <w:left w:val="nil"/>
              <w:bottom w:val="nil"/>
              <w:right w:val="nil"/>
            </w:tcBorders>
            <w:shd w:val="clear" w:color="auto" w:fill="auto"/>
            <w:vAlign w:val="bottom"/>
          </w:tcPr>
          <w:p>
            <w:pPr>
              <w:rPr>
                <w:rFonts w:ascii="Arial" w:hAnsi="Arial" w:cs="Arial"/>
                <w:sz w:val="20"/>
                <w:szCs w:val="20"/>
              </w:rPr>
            </w:pPr>
          </w:p>
        </w:tc>
        <w:tc>
          <w:tcPr>
            <w:tcW w:w="2480" w:type="dxa"/>
            <w:tcBorders>
              <w:top w:val="nil"/>
              <w:left w:val="nil"/>
              <w:bottom w:val="nil"/>
              <w:right w:val="nil"/>
            </w:tcBorders>
            <w:shd w:val="clear" w:color="auto" w:fill="auto"/>
            <w:vAlign w:val="bottom"/>
          </w:tcPr>
          <w:p>
            <w:pPr>
              <w:tabs>
                <w:tab w:val="center" w:pos="6979"/>
              </w:tabs>
              <w:ind w:firstLine="11600" w:firstLineChars="5800"/>
              <w:jc w:val="left"/>
              <w:rPr>
                <w:rFonts w:ascii="仿宋_GB2312" w:eastAsia="仿宋_GB2312"/>
                <w:sz w:val="18"/>
                <w:szCs w:val="18"/>
              </w:rPr>
            </w:pPr>
            <w:r>
              <w:rPr>
                <w:rFonts w:hint="eastAsia" w:cs="Arial"/>
                <w:sz w:val="20"/>
                <w:szCs w:val="20"/>
              </w:rPr>
              <w:t>单</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p>
            <w:pPr>
              <w:jc w:val="right"/>
              <w:rPr>
                <w:rFonts w:ascii="宋体" w:hAnsi="宋体" w:cs="Arial"/>
                <w:sz w:val="20"/>
                <w:szCs w:val="20"/>
              </w:rPr>
            </w:pPr>
          </w:p>
        </w:tc>
      </w:tr>
      <w:tr>
        <w:tblPrEx>
          <w:tblLayout w:type="fixed"/>
          <w:tblCellMar>
            <w:top w:w="0" w:type="dxa"/>
            <w:left w:w="108" w:type="dxa"/>
            <w:bottom w:w="0" w:type="dxa"/>
            <w:right w:w="108" w:type="dxa"/>
          </w:tblCellMar>
        </w:tblPrEx>
        <w:trPr>
          <w:trHeight w:val="851" w:hRule="atLeast"/>
        </w:trPr>
        <w:tc>
          <w:tcPr>
            <w:tcW w:w="328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项    目</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2019年初预算数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2019年预算调整数</w:t>
            </w:r>
          </w:p>
        </w:tc>
        <w:tc>
          <w:tcPr>
            <w:tcW w:w="248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Arial"/>
                <w:b/>
                <w:bCs/>
                <w:szCs w:val="20"/>
              </w:rPr>
            </w:pPr>
            <w:r>
              <w:rPr>
                <w:rFonts w:hint="eastAsia" w:cs="Arial"/>
                <w:b/>
                <w:bCs/>
                <w:szCs w:val="20"/>
              </w:rPr>
              <w:t>2019年决算数</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Arial"/>
                <w:b/>
                <w:bCs/>
                <w:sz w:val="20"/>
                <w:szCs w:val="20"/>
              </w:rPr>
            </w:pPr>
            <w:r>
              <w:rPr>
                <w:rFonts w:hint="eastAsia" w:cs="Arial"/>
                <w:b/>
                <w:bCs/>
                <w:sz w:val="20"/>
                <w:szCs w:val="20"/>
              </w:rPr>
              <w:t>合    计</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b/>
                <w:bCs/>
                <w:szCs w:val="21"/>
              </w:rPr>
            </w:pPr>
            <w:r>
              <w:rPr>
                <w:rFonts w:hint="eastAsia" w:ascii="宋体" w:hAnsi="宋体" w:cs="宋体"/>
                <w:color w:val="000000"/>
                <w:kern w:val="0"/>
                <w:sz w:val="20"/>
                <w:szCs w:val="20"/>
                <w:lang w:bidi="ar"/>
              </w:rPr>
              <w:t>16.82</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b/>
                <w:bCs/>
                <w:szCs w:val="21"/>
              </w:rPr>
            </w:pP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b/>
                <w:bCs/>
                <w:szCs w:val="21"/>
              </w:rPr>
            </w:pPr>
            <w:r>
              <w:rPr>
                <w:rFonts w:hint="eastAsia" w:ascii="宋体" w:hAnsi="宋体" w:cs="宋体"/>
                <w:color w:val="000000"/>
                <w:kern w:val="0"/>
                <w:sz w:val="20"/>
                <w:szCs w:val="20"/>
                <w:lang w:bidi="ar"/>
              </w:rPr>
              <w:t>8.30</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1．因公出国（境）费用</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2．公务接待费</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2.42</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3．公务用车费</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14.40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8.30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8.30</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其中：（1）公务用车运行维护费</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14.40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8.30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8.30</w:t>
            </w:r>
          </w:p>
        </w:tc>
      </w:tr>
      <w:tr>
        <w:tblPrEx>
          <w:tblLayout w:type="fixed"/>
          <w:tblCellMar>
            <w:top w:w="0" w:type="dxa"/>
            <w:left w:w="108" w:type="dxa"/>
            <w:bottom w:w="0" w:type="dxa"/>
            <w:right w:w="108" w:type="dxa"/>
          </w:tblCellMar>
        </w:tblPrEx>
        <w:trPr>
          <w:trHeight w:val="851" w:hRule="atLeast"/>
        </w:trPr>
        <w:tc>
          <w:tcPr>
            <w:tcW w:w="3280"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Arial"/>
                <w:sz w:val="20"/>
                <w:szCs w:val="20"/>
              </w:rPr>
            </w:pPr>
            <w:r>
              <w:rPr>
                <w:rFonts w:hint="eastAsia" w:cs="Arial"/>
                <w:sz w:val="20"/>
                <w:szCs w:val="20"/>
              </w:rPr>
              <w:t xml:space="preserve">        （2）公务用车购置</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c>
          <w:tcPr>
            <w:tcW w:w="248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cs="Arial"/>
                <w:szCs w:val="21"/>
              </w:rPr>
            </w:pPr>
            <w:r>
              <w:rPr>
                <w:rFonts w:hint="eastAsia" w:ascii="宋体" w:hAnsi="宋体" w:cs="宋体"/>
                <w:color w:val="000000"/>
                <w:kern w:val="0"/>
                <w:sz w:val="20"/>
                <w:szCs w:val="20"/>
                <w:lang w:bidi="ar"/>
              </w:rPr>
              <w:t>0.00</w:t>
            </w:r>
          </w:p>
        </w:tc>
      </w:tr>
    </w:tbl>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p>
    <w:p>
      <w:pPr>
        <w:spacing w:line="620" w:lineRule="exact"/>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 xml:space="preserve">                </w:t>
      </w:r>
    </w:p>
    <w:p>
      <w:pPr>
        <w:spacing w:line="620" w:lineRule="exact"/>
        <w:rPr>
          <w:rFonts w:ascii="黑体" w:hAnsi="宋体" w:eastAsia="黑体" w:cs="宋体"/>
          <w:b/>
          <w:bCs/>
          <w:color w:val="000000"/>
          <w:kern w:val="0"/>
          <w:sz w:val="32"/>
          <w:szCs w:val="32"/>
        </w:rPr>
      </w:pPr>
    </w:p>
    <w:p>
      <w:pPr>
        <w:tabs>
          <w:tab w:val="center" w:pos="6979"/>
        </w:tabs>
        <w:jc w:val="center"/>
        <w:rPr>
          <w:rFonts w:ascii="宋体" w:hAnsi="宋体" w:cs="宋体"/>
          <w:b/>
          <w:bCs/>
          <w:kern w:val="0"/>
          <w:sz w:val="32"/>
          <w:szCs w:val="28"/>
        </w:rPr>
      </w:pPr>
      <w:r>
        <w:rPr>
          <w:rFonts w:hint="eastAsia" w:ascii="宋体" w:hAnsi="宋体" w:cs="Arial"/>
          <w:b/>
          <w:bCs/>
          <w:color w:val="000000"/>
          <w:kern w:val="0"/>
          <w:sz w:val="32"/>
          <w:szCs w:val="28"/>
        </w:rPr>
        <w:t xml:space="preserve">  大兴区财政局2019年</w:t>
      </w:r>
      <w:r>
        <w:rPr>
          <w:rFonts w:hint="eastAsia" w:ascii="宋体" w:hAnsi="宋体" w:cs="宋体"/>
          <w:b/>
          <w:bCs/>
          <w:kern w:val="0"/>
          <w:sz w:val="32"/>
          <w:szCs w:val="28"/>
        </w:rPr>
        <w:t>政府采购情况表</w:t>
      </w:r>
    </w:p>
    <w:p>
      <w:pPr>
        <w:tabs>
          <w:tab w:val="center" w:pos="6979"/>
        </w:tabs>
        <w:ind w:firstLine="1800" w:firstLineChars="1000"/>
        <w:jc w:val="left"/>
        <w:rPr>
          <w:rFonts w:ascii="宋体" w:hAnsi="宋体" w:cs="宋体"/>
          <w:bCs/>
          <w:kern w:val="0"/>
          <w:sz w:val="18"/>
          <w:szCs w:val="18"/>
        </w:rPr>
      </w:pP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p>
    <w:p>
      <w:pPr>
        <w:tabs>
          <w:tab w:val="center" w:pos="6979"/>
        </w:tabs>
        <w:ind w:firstLine="10440" w:firstLineChars="5800"/>
        <w:jc w:val="left"/>
        <w:rPr>
          <w:rFonts w:ascii="仿宋_GB2312" w:eastAsia="仿宋_GB2312"/>
          <w:sz w:val="18"/>
          <w:szCs w:val="18"/>
        </w:rPr>
      </w:pP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bl>
      <w:tblPr>
        <w:tblStyle w:val="7"/>
        <w:tblW w:w="11116" w:type="dxa"/>
        <w:jc w:val="center"/>
        <w:tblInd w:w="413" w:type="dxa"/>
        <w:tblLayout w:type="fixed"/>
        <w:tblCellMar>
          <w:top w:w="0" w:type="dxa"/>
          <w:left w:w="108" w:type="dxa"/>
          <w:bottom w:w="0" w:type="dxa"/>
          <w:right w:w="108" w:type="dxa"/>
        </w:tblCellMar>
      </w:tblPr>
      <w:tblGrid>
        <w:gridCol w:w="8273"/>
        <w:gridCol w:w="2843"/>
      </w:tblGrid>
      <w:tr>
        <w:tblPrEx>
          <w:tblLayout w:type="fixed"/>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Cs w:val="21"/>
              </w:rPr>
            </w:pPr>
            <w:r>
              <w:rPr>
                <w:rFonts w:hint="eastAsia" w:ascii="宋体" w:hAnsi="宋体" w:cs="宋体"/>
                <w:b/>
                <w:kern w:val="0"/>
                <w:szCs w:val="21"/>
              </w:rPr>
              <w:t>决算数</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223.11</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216.01</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10</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219.18</w:t>
            </w:r>
          </w:p>
        </w:tc>
      </w:tr>
      <w:tr>
        <w:tblPrEx>
          <w:tblLayout w:type="fixed"/>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Cs w:val="21"/>
              </w:rPr>
            </w:pPr>
            <w:r>
              <w:rPr>
                <w:rFonts w:hint="eastAsia" w:ascii="宋体" w:hAnsi="宋体" w:cs="宋体"/>
                <w:color w:val="000000"/>
                <w:kern w:val="0"/>
                <w:sz w:val="20"/>
                <w:szCs w:val="20"/>
                <w:lang w:bidi="ar"/>
              </w:rPr>
              <w:t>219.18</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7"/>
        <w:tblpPr w:leftFromText="180" w:rightFromText="180" w:horzAnchor="margin" w:tblpXSpec="center" w:tblpY="240"/>
        <w:tblW w:w="10595" w:type="dxa"/>
        <w:tblInd w:w="0" w:type="dxa"/>
        <w:tblLayout w:type="fixed"/>
        <w:tblCellMar>
          <w:top w:w="0" w:type="dxa"/>
          <w:left w:w="108" w:type="dxa"/>
          <w:bottom w:w="0" w:type="dxa"/>
          <w:right w:w="108" w:type="dxa"/>
        </w:tblCellMar>
      </w:tblPr>
      <w:tblGrid>
        <w:gridCol w:w="2960"/>
        <w:gridCol w:w="3760"/>
        <w:gridCol w:w="3875"/>
      </w:tblGrid>
      <w:tr>
        <w:tblPrEx>
          <w:tblLayout w:type="fixed"/>
          <w:tblCellMar>
            <w:top w:w="0" w:type="dxa"/>
            <w:left w:w="108" w:type="dxa"/>
            <w:bottom w:w="0" w:type="dxa"/>
            <w:right w:w="108" w:type="dxa"/>
          </w:tblCellMar>
        </w:tblPrEx>
        <w:trPr>
          <w:trHeight w:val="1092" w:hRule="atLeast"/>
        </w:trPr>
        <w:tc>
          <w:tcPr>
            <w:tcW w:w="10595" w:type="dxa"/>
            <w:gridSpan w:val="3"/>
            <w:tcBorders>
              <w:top w:val="nil"/>
              <w:left w:val="nil"/>
              <w:bottom w:val="nil"/>
              <w:right w:val="nil"/>
            </w:tcBorders>
            <w:shd w:val="clear" w:color="auto" w:fill="auto"/>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32"/>
                <w:szCs w:val="28"/>
              </w:rPr>
              <w:t xml:space="preserve"> 大兴区财政局2019年政府购买服务支出情况表</w:t>
            </w:r>
          </w:p>
        </w:tc>
      </w:tr>
      <w:tr>
        <w:tblPrEx>
          <w:tblLayout w:type="fixed"/>
          <w:tblCellMar>
            <w:top w:w="0" w:type="dxa"/>
            <w:left w:w="108" w:type="dxa"/>
            <w:bottom w:w="0" w:type="dxa"/>
            <w:right w:w="108" w:type="dxa"/>
          </w:tblCellMar>
        </w:tblPrEx>
        <w:trPr>
          <w:trHeight w:val="648" w:hRule="atLeast"/>
        </w:trPr>
        <w:tc>
          <w:tcPr>
            <w:tcW w:w="10595" w:type="dxa"/>
            <w:gridSpan w:val="3"/>
            <w:tcBorders>
              <w:top w:val="nil"/>
              <w:left w:val="nil"/>
              <w:bottom w:val="single" w:color="auto" w:sz="4" w:space="0"/>
              <w:right w:val="nil"/>
            </w:tcBorders>
            <w:shd w:val="clear" w:color="auto" w:fill="auto"/>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r>
              <w:rPr>
                <w:rFonts w:hint="eastAsia" w:ascii="宋体" w:hAnsi="宋体" w:cs="宋体"/>
                <w:bCs/>
                <w:kern w:val="0"/>
                <w:sz w:val="18"/>
                <w:szCs w:val="18"/>
              </w:rPr>
              <w:t>(保留2位小数)</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b/>
                <w:color w:val="000000"/>
                <w:kern w:val="0"/>
                <w:sz w:val="18"/>
                <w:szCs w:val="18"/>
              </w:rPr>
            </w:pPr>
            <w:r>
              <w:rPr>
                <w:rFonts w:hint="eastAsia" w:ascii="宋体" w:hAnsi="宋体" w:cs="宋体"/>
                <w:b/>
                <w:color w:val="000000"/>
                <w:kern w:val="0"/>
                <w:sz w:val="20"/>
                <w:szCs w:val="20"/>
                <w:lang w:bidi="ar"/>
              </w:rPr>
              <w:t>一级目录</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b/>
                <w:color w:val="000000"/>
                <w:kern w:val="0"/>
                <w:sz w:val="18"/>
                <w:szCs w:val="18"/>
              </w:rPr>
            </w:pPr>
            <w:r>
              <w:rPr>
                <w:rFonts w:hint="eastAsia" w:ascii="宋体" w:hAnsi="宋体" w:cs="宋体"/>
                <w:b/>
                <w:color w:val="000000"/>
                <w:kern w:val="0"/>
                <w:sz w:val="20"/>
                <w:szCs w:val="20"/>
                <w:lang w:bidi="ar"/>
              </w:rPr>
              <w:t>二级目录</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b/>
                <w:color w:val="000000"/>
                <w:kern w:val="0"/>
                <w:sz w:val="18"/>
                <w:szCs w:val="18"/>
              </w:rPr>
            </w:pPr>
            <w:r>
              <w:rPr>
                <w:rFonts w:hint="eastAsia" w:ascii="宋体" w:hAnsi="宋体" w:cs="宋体"/>
                <w:b/>
                <w:color w:val="000000"/>
                <w:kern w:val="0"/>
                <w:sz w:val="20"/>
                <w:szCs w:val="20"/>
                <w:lang w:bidi="ar"/>
              </w:rPr>
              <w:t>决算数</w:t>
            </w:r>
          </w:p>
        </w:tc>
      </w:tr>
      <w:tr>
        <w:tblPrEx>
          <w:tblLayout w:type="fixed"/>
          <w:tblCellMar>
            <w:top w:w="0" w:type="dxa"/>
            <w:left w:w="108" w:type="dxa"/>
            <w:bottom w:w="0" w:type="dxa"/>
            <w:right w:w="108" w:type="dxa"/>
          </w:tblCellMar>
        </w:tblPrEx>
        <w:trPr>
          <w:trHeight w:val="648" w:hRule="atLeast"/>
        </w:trPr>
        <w:tc>
          <w:tcPr>
            <w:tcW w:w="6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b/>
                <w:color w:val="000000"/>
                <w:kern w:val="0"/>
                <w:sz w:val="18"/>
                <w:szCs w:val="18"/>
              </w:rPr>
            </w:pPr>
            <w:r>
              <w:rPr>
                <w:rFonts w:hint="eastAsia" w:ascii="宋体" w:hAnsi="宋体" w:cs="宋体"/>
                <w:b/>
                <w:color w:val="000000"/>
                <w:kern w:val="0"/>
                <w:sz w:val="20"/>
                <w:szCs w:val="20"/>
                <w:lang w:bidi="ar"/>
              </w:rPr>
              <w:t>合计</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b/>
                <w:color w:val="000000"/>
                <w:kern w:val="0"/>
                <w:sz w:val="18"/>
                <w:szCs w:val="18"/>
              </w:rPr>
            </w:pPr>
            <w:r>
              <w:rPr>
                <w:rFonts w:hint="eastAsia" w:ascii="宋体" w:hAnsi="宋体" w:cs="宋体"/>
                <w:b/>
                <w:color w:val="000000"/>
                <w:kern w:val="0"/>
                <w:sz w:val="20"/>
                <w:szCs w:val="20"/>
                <w:lang w:bidi="ar"/>
              </w:rPr>
              <w:t>1,510.17</w:t>
            </w:r>
          </w:p>
        </w:tc>
      </w:tr>
      <w:tr>
        <w:tblPrEx>
          <w:tblLayout w:type="fixed"/>
          <w:tblCellMar>
            <w:top w:w="0" w:type="dxa"/>
            <w:left w:w="108" w:type="dxa"/>
            <w:bottom w:w="0" w:type="dxa"/>
            <w:right w:w="108" w:type="dxa"/>
          </w:tblCellMar>
        </w:tblPrEx>
        <w:trPr>
          <w:trHeight w:val="343" w:hRule="atLeast"/>
        </w:trPr>
        <w:tc>
          <w:tcPr>
            <w:tcW w:w="2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基本公共服务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教育</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20"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就业</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人才服务</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31"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社会保险</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社会救助</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16"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养老服务</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扶贫济困</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13"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优抚安置</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19" w:hRule="atLeast"/>
        </w:trPr>
        <w:tc>
          <w:tcPr>
            <w:tcW w:w="2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残疾人福利</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医疗</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17"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公共卫生</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人口和计划生育</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食品药品</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文化</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体育</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公共安全</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科技推广</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住房保障</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环境治理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农业</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水利</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生态保护</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公共信息</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城市维护</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交通运输</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外事</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社会管理性服务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社区建设</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社会组织建设和管理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社会工作服务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法律援助</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防灾救灾</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人民调解</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社区矫正</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流动人口管理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安置帮教</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志愿服务运营管理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公共公益宣传</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行业管理与协调性服务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行业职业资格和水平测试管理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行业规范</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行业投诉处理</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行业规划</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行业调查</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行业统计分析</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行业标准制修订</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900" w:firstLineChars="450"/>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技术性服务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技术评审鉴定评估</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检验检疫检测</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监测服务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政府履职所需辅助性服务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法律服务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5.00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课题研究和社会调查</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财务会计审计服务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1,438.39</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会议和展览</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监督检查</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工程服务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项目评审评估</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绩效评价</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咨询</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6.78</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技术业务培训</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机关信息系统建设和维护</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60.00</w:t>
            </w:r>
          </w:p>
        </w:tc>
      </w:tr>
      <w:tr>
        <w:tblPrEx>
          <w:tblLayout w:type="fixed"/>
          <w:tblCellMar>
            <w:top w:w="0" w:type="dxa"/>
            <w:left w:w="108" w:type="dxa"/>
            <w:bottom w:w="0" w:type="dxa"/>
            <w:right w:w="108" w:type="dxa"/>
          </w:tblCellMar>
        </w:tblPrEx>
        <w:trPr>
          <w:trHeight w:val="409" w:hRule="atLeast"/>
        </w:trPr>
        <w:tc>
          <w:tcPr>
            <w:tcW w:w="29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后勤服务</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409"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其他服务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其他适宜有社会力量承担的服务事项</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Arial"/>
                <w:color w:val="000000"/>
                <w:kern w:val="0"/>
                <w:sz w:val="18"/>
                <w:szCs w:val="18"/>
              </w:rPr>
            </w:pPr>
            <w:r>
              <w:rPr>
                <w:rFonts w:hint="eastAsia" w:ascii="宋体" w:hAnsi="宋体" w:cs="宋体"/>
                <w:color w:val="000000"/>
                <w:kern w:val="0"/>
                <w:sz w:val="20"/>
                <w:szCs w:val="20"/>
                <w:lang w:bidi="ar"/>
              </w:rPr>
              <w:t>0.00</w:t>
            </w:r>
          </w:p>
        </w:tc>
      </w:tr>
    </w:tbl>
    <w:p>
      <w:pPr>
        <w:snapToGrid w:val="0"/>
        <w:spacing w:before="100" w:beforeAutospacing="1" w:after="100" w:afterAutospacing="1" w:line="240" w:lineRule="atLeast"/>
        <w:ind w:firstLine="3520" w:firstLineChars="800"/>
        <w:rPr>
          <w:rFonts w:ascii="方正小标宋简体" w:hAnsi="文星标宋" w:eastAsia="方正小标宋简体" w:cs="Tahoma"/>
          <w:color w:val="000000"/>
          <w:sz w:val="44"/>
          <w:szCs w:val="44"/>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rPr>
          <w:rFonts w:ascii="方正小标宋简体" w:hAnsi="文星标宋" w:eastAsia="方正小标宋简体" w:cs="Tahoma"/>
          <w:color w:val="000000"/>
          <w:sz w:val="52"/>
          <w:szCs w:val="52"/>
        </w:rPr>
      </w:pPr>
    </w:p>
    <w:p>
      <w:pPr>
        <w:snapToGrid w:val="0"/>
        <w:spacing w:before="100" w:beforeAutospacing="1" w:after="100" w:afterAutospacing="1" w:line="240" w:lineRule="atLeast"/>
        <w:jc w:val="center"/>
        <w:rPr>
          <w:rFonts w:ascii="方正小标宋简体" w:hAnsi="文星标宋" w:eastAsia="方正小标宋简体" w:cs="Tahoma"/>
          <w:color w:val="000000"/>
          <w:sz w:val="52"/>
          <w:szCs w:val="52"/>
        </w:rPr>
      </w:pPr>
      <w:r>
        <w:rPr>
          <w:rFonts w:hint="eastAsia" w:ascii="方正小标宋简体" w:hAnsi="文星标宋" w:eastAsia="方正小标宋简体" w:cs="Tahoma"/>
          <w:color w:val="000000"/>
          <w:sz w:val="52"/>
          <w:szCs w:val="52"/>
        </w:rPr>
        <w:t>第二部分 2019年度部门决算情况说明</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一、主要职能</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贯彻落实国家、北京市关于财政、财务、会计管理的法律、法规、规章和政策，编制并组织实施中长期财政计划;参与制定重大经济决策和政策，研究提出运用财税政策对经济运行实施调控和综合平衡本区财力的建议;拟订和执行区与镇、国家与企业的财政分配政策;完善鼓励公益事业发展的财税政策。</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（二）负责本区财政筹融资和政府债务监督管理工作;管理外国政府和国际金融组织对本区的贷款业务;贯彻执行政府国内债务管理的制度和政策;制定政府性债务管理办法，拟订政府防范债务风险的措施。</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承担本区各项财政收支管理的责任，编制年度预决算草案并组织执行;受区政府委托，向大兴区人民代表大会报告预算及其执行情况，向大兴区人大常委会报告决算;组织制定经费开支标准、定额，负责审批部门（单位）的年度预决算;完善转移支付制度。</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（四）负责政府非税收入管理;负责政府性基金管理，按规定管理行政事业性收费;管理财政票据；制定彩票管理有关办法，负责彩票资金管理和彩票市场监管的有关工作。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（五）组织制定本区国库管理制度、国库集中收付制度，指导和监督本区国库业务，负责国库现金管理的有关工作。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（六）负责管理、指导本区的政府采购工作；依法制定本区政府采购的规章制度;对本区政府采购活动及集中采购机构进行监督检查;负责党政机关、财政拨款事业单位汽车定编工作。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（七）研究制定本区财政监督制度和政策，拟订财政监督检查工作规划和实施方案;监督财政资金运行和财政收支情况;组织协调重大和专项财政监督检查。</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（八）负责制定本区行政事业单位国有资产管理制度和办法，按照规定管理行政事业单位国有资产，执行全市统一规定的开支标准和支出政策。</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（九）依法负责本区国有资本经营预算相关工作，收取区本级企业国有资本收益，组织实施企业财务制度，参与拟订企业国有资产管理相关制度。</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十）负责办理和监督本区财政的经济发展支出、政府性投资项目的财政拨款，参与拟订建设投资的有关政策，贯彻执行基本建设财务制度，负责有关政策性补贴和专项储备资金财政管理工作；承担财政投资评审管理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十一）会同有关部门管理本区财政社会保障和就业及医疗卫生支出，贯彻执行社会保障资金的财务管理制度，组织实施对社会保障资金使用的财政监督。确保国家安排的安全生产专项资金专款专用，并安排配套资金，做好特大生产安全事故的经费保障。    </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（十二）负责管理本区会计工作，监督和规范会计行为，贯彻落实会计管理的规章制度并监督执行；组织和管理本区会计人员的继续教育，组织会计专业技术资格的报名、考试工作;依据国家发展改革委 财政部《关于改革全国性职业资格考试收费标准管理方式的通知》（发改价格【2015】1217号）和《关于全国会计专业技术资格考试考务费收费标准的通知》（会评【2017】1号）文件要求，收取会计考试报名费;负责本区代理记账审批及管理工作;指导和监督会计电算化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（十三）参与全区的住房制度改革工作，对政府住房基金和住房公积金进行监督管理;负责管理并参与本区粮食风险基金管理工作。</w:t>
      </w:r>
    </w:p>
    <w:p>
      <w:pPr>
        <w:keepNext w:val="0"/>
        <w:keepLines w:val="0"/>
        <w:pageBreakBefore w:val="0"/>
        <w:widowControl/>
        <w:kinsoku/>
        <w:overflowPunct/>
        <w:topLinePunct w:val="0"/>
        <w:bidi w:val="0"/>
        <w:adjustRightInd w:val="0"/>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（十四）承办区政府交办的其他事项。 </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北京市大兴区财政局为行政机关单位，内设14个科室和4个参公单位部门以及财政局所属12个事业单位。实有在职人员146人，退休人员61人。</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二、部门决算单位构成</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从预算单位构成看，北京市大兴区财政局部门决算包括：本级部门和4个参公单位部门以及财政局所属12个事业单位。具体为: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（一）本级单位:北京市大兴区财政局，内设14个科室。</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（二）参照公务员管理的事业单位:北京市大兴区国库支付中心、北京市大兴区财政局财政监督检查所、北京市大兴区财政局绩效考评中心、北京市大兴区预算编审中心。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事业单位:北京市大兴区财政局机关服务中心、北京市大兴区财会人员教育中心、北京市大兴区工业开发区财政所、北京市大兴区观音寺街道财政所、北京市大兴区新媒体产业基地财政所、北京市大兴区财政局信息中心、北京市大兴区天宫院街道财政所、北京市大兴区兴丰街道办事处财政所、北京市大兴区林校路街道办事处财政所、北京市大兴区清源街道办事处财政所、北京市大兴区高米店街道财政所、北京市大兴区行政事业单位资产管理中心。</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黑体" w:hAnsi="文星标宋" w:eastAsia="黑体" w:cs="宋体"/>
          <w:bCs/>
          <w:color w:val="000000"/>
          <w:kern w:val="0"/>
          <w:sz w:val="32"/>
          <w:szCs w:val="32"/>
        </w:rPr>
      </w:pPr>
      <w:r>
        <w:rPr>
          <w:rFonts w:hint="eastAsia" w:ascii="黑体" w:hAnsi="文星标宋" w:eastAsia="黑体" w:cs="Tahoma"/>
          <w:color w:val="000000"/>
          <w:sz w:val="32"/>
          <w:szCs w:val="32"/>
        </w:rPr>
        <w:t>三、</w:t>
      </w:r>
      <w:r>
        <w:rPr>
          <w:rFonts w:hint="eastAsia" w:ascii="黑体" w:hAnsi="文星标宋" w:eastAsia="黑体" w:cs="宋体"/>
          <w:bCs/>
          <w:color w:val="000000"/>
          <w:kern w:val="0"/>
          <w:sz w:val="32"/>
          <w:szCs w:val="32"/>
        </w:rPr>
        <w:t>收入支出决算总体情况说明</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2019年度收、</w:t>
      </w:r>
      <w:r>
        <w:rPr>
          <w:rFonts w:ascii="仿宋_GB2312" w:eastAsia="仿宋_GB2312"/>
          <w:color w:val="000000"/>
          <w:sz w:val="32"/>
          <w:szCs w:val="32"/>
        </w:rPr>
        <w:t>支</w:t>
      </w:r>
      <w:r>
        <w:rPr>
          <w:rFonts w:hint="eastAsia" w:ascii="仿宋_GB2312" w:eastAsia="仿宋_GB2312"/>
          <w:color w:val="000000"/>
          <w:sz w:val="32"/>
          <w:szCs w:val="32"/>
        </w:rPr>
        <w:t>总计8291.9万元，</w:t>
      </w:r>
      <w:r>
        <w:rPr>
          <w:rFonts w:ascii="仿宋_GB2312" w:eastAsia="仿宋_GB2312"/>
          <w:color w:val="000000"/>
          <w:sz w:val="32"/>
          <w:szCs w:val="32"/>
        </w:rPr>
        <w:t>比上年增加</w:t>
      </w:r>
      <w:r>
        <w:rPr>
          <w:rFonts w:hint="eastAsia" w:ascii="仿宋_GB2312" w:eastAsia="仿宋_GB2312"/>
          <w:color w:val="000000"/>
          <w:sz w:val="32"/>
          <w:szCs w:val="32"/>
        </w:rPr>
        <w:t>1110.22万元，增长15.46%。</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收入决算</w:t>
      </w:r>
      <w:r>
        <w:rPr>
          <w:rFonts w:ascii="仿宋_GB2312" w:eastAsia="仿宋_GB2312"/>
          <w:color w:val="000000"/>
          <w:sz w:val="32"/>
          <w:szCs w:val="32"/>
        </w:rPr>
        <w:t>说明</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2019年度本年收入合计8291.9万元，</w:t>
      </w:r>
      <w:r>
        <w:rPr>
          <w:rFonts w:ascii="仿宋_GB2312" w:eastAsia="仿宋_GB2312"/>
          <w:color w:val="000000"/>
          <w:sz w:val="32"/>
          <w:szCs w:val="32"/>
        </w:rPr>
        <w:t>比上年增加</w:t>
      </w:r>
      <w:r>
        <w:rPr>
          <w:rFonts w:hint="eastAsia" w:ascii="仿宋_GB2312" w:eastAsia="仿宋_GB2312"/>
          <w:color w:val="000000"/>
          <w:sz w:val="32"/>
          <w:szCs w:val="32"/>
        </w:rPr>
        <w:t>1110.22万元，增长15.46%，其中：财政拨款收入8291.9万元，占收入合计的100%；无上级补助收入、事业收入、经营收入、附属单位上缴收入和其他收入。</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支出决算</w:t>
      </w:r>
      <w:r>
        <w:rPr>
          <w:rFonts w:ascii="仿宋_GB2312" w:eastAsia="仿宋_GB2312"/>
          <w:color w:val="000000"/>
          <w:sz w:val="32"/>
          <w:szCs w:val="32"/>
        </w:rPr>
        <w:t>说明</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2019年度本年支出合计8256.68万元，</w:t>
      </w:r>
      <w:r>
        <w:rPr>
          <w:rFonts w:ascii="仿宋_GB2312" w:eastAsia="仿宋_GB2312"/>
          <w:color w:val="000000"/>
          <w:sz w:val="32"/>
          <w:szCs w:val="32"/>
        </w:rPr>
        <w:t>比上年增加</w:t>
      </w:r>
      <w:r>
        <w:rPr>
          <w:rFonts w:hint="eastAsia" w:ascii="仿宋_GB2312" w:eastAsia="仿宋_GB2312"/>
          <w:color w:val="000000"/>
          <w:sz w:val="32"/>
          <w:szCs w:val="32"/>
        </w:rPr>
        <w:t>1111.25万元，增长15.55%，其中：基本支出4914.71万元，占支出合计的59.52%；项目支出3341.97万元，占支出合计的40.48%。无上缴上级支出、经营支出和对附属单位补助支出。</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黑体" w:hAnsi="文星标宋" w:eastAsia="黑体" w:cs="宋体"/>
          <w:bCs/>
          <w:color w:val="000000"/>
          <w:kern w:val="0"/>
          <w:sz w:val="32"/>
          <w:szCs w:val="32"/>
        </w:rPr>
      </w:pPr>
      <w:r>
        <w:rPr>
          <w:rFonts w:hint="eastAsia" w:ascii="黑体" w:hAnsi="文星标宋" w:eastAsia="黑体" w:cs="Tahoma"/>
          <w:color w:val="000000"/>
          <w:sz w:val="32"/>
          <w:szCs w:val="32"/>
        </w:rPr>
        <w:t>四、</w:t>
      </w:r>
      <w:r>
        <w:rPr>
          <w:rFonts w:ascii="黑体" w:hAnsi="文星标宋" w:eastAsia="黑体" w:cs="宋体"/>
          <w:bCs/>
          <w:color w:val="000000"/>
          <w:kern w:val="0"/>
          <w:sz w:val="32"/>
          <w:szCs w:val="32"/>
        </w:rPr>
        <w:t>财政拨款</w:t>
      </w:r>
      <w:r>
        <w:rPr>
          <w:rFonts w:hint="eastAsia" w:ascii="黑体" w:hAnsi="文星标宋" w:eastAsia="黑体" w:cs="宋体"/>
          <w:bCs/>
          <w:color w:val="000000"/>
          <w:kern w:val="0"/>
          <w:sz w:val="32"/>
          <w:szCs w:val="32"/>
        </w:rPr>
        <w:t>收入支出决算</w:t>
      </w:r>
      <w:r>
        <w:rPr>
          <w:rFonts w:ascii="黑体" w:hAnsi="文星标宋" w:eastAsia="黑体" w:cs="宋体"/>
          <w:bCs/>
          <w:color w:val="000000"/>
          <w:kern w:val="0"/>
          <w:sz w:val="32"/>
          <w:szCs w:val="32"/>
        </w:rPr>
        <w:t>总体情况说明</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2019年度财政拨款收、</w:t>
      </w:r>
      <w:r>
        <w:rPr>
          <w:rFonts w:ascii="仿宋_GB2312" w:eastAsia="仿宋_GB2312"/>
          <w:color w:val="000000"/>
          <w:sz w:val="32"/>
          <w:szCs w:val="32"/>
        </w:rPr>
        <w:t>支</w:t>
      </w:r>
      <w:r>
        <w:rPr>
          <w:rFonts w:hint="eastAsia" w:ascii="仿宋_GB2312" w:eastAsia="仿宋_GB2312"/>
          <w:color w:val="000000"/>
          <w:sz w:val="32"/>
          <w:szCs w:val="32"/>
        </w:rPr>
        <w:t>总计8291.9万元，比上年</w:t>
      </w:r>
      <w:r>
        <w:rPr>
          <w:rFonts w:ascii="仿宋_GB2312" w:eastAsia="仿宋_GB2312"/>
          <w:color w:val="000000"/>
          <w:sz w:val="32"/>
          <w:szCs w:val="32"/>
        </w:rPr>
        <w:t>增加</w:t>
      </w:r>
      <w:r>
        <w:rPr>
          <w:rFonts w:hint="eastAsia" w:ascii="仿宋_GB2312" w:eastAsia="仿宋_GB2312"/>
          <w:color w:val="000000"/>
          <w:sz w:val="32"/>
          <w:szCs w:val="32"/>
        </w:rPr>
        <w:t>1110.22万元，增长15.46%。主要原因：</w:t>
      </w:r>
      <w:r>
        <w:rPr>
          <w:rFonts w:hint="eastAsia" w:ascii="仿宋_GB2312" w:eastAsia="仿宋_GB2312"/>
          <w:color w:val="000000" w:themeColor="text1"/>
          <w:sz w:val="32"/>
          <w:szCs w:val="32"/>
        </w:rPr>
        <w:t>增加集中财务核算系统、</w:t>
      </w:r>
      <w:r>
        <w:rPr>
          <w:rFonts w:hint="eastAsia" w:ascii="仿宋_GB2312" w:hAnsi="仿宋_GB2312" w:eastAsia="仿宋_GB2312" w:cs="仿宋_GB2312"/>
          <w:bCs/>
          <w:color w:val="000000" w:themeColor="text1"/>
          <w:sz w:val="32"/>
          <w:szCs w:val="32"/>
        </w:rPr>
        <w:t>财政票据电子化升级</w:t>
      </w:r>
      <w:r>
        <w:rPr>
          <w:rFonts w:hint="eastAsia" w:ascii="仿宋_GB2312" w:eastAsia="仿宋_GB2312"/>
          <w:color w:val="000000" w:themeColor="text1"/>
          <w:sz w:val="32"/>
          <w:szCs w:val="32"/>
        </w:rPr>
        <w:t>项目等经费。</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黑体" w:eastAsia="黑体"/>
          <w:b/>
          <w:sz w:val="28"/>
          <w:szCs w:val="28"/>
        </w:rPr>
      </w:pPr>
      <w:r>
        <w:rPr>
          <w:rFonts w:hint="eastAsia" w:ascii="黑体" w:hAnsi="文星标宋" w:eastAsia="黑体" w:cs="Tahoma"/>
          <w:color w:val="000000"/>
          <w:sz w:val="32"/>
          <w:szCs w:val="32"/>
        </w:rPr>
        <w:t>五、</w:t>
      </w:r>
      <w:r>
        <w:rPr>
          <w:rFonts w:hint="eastAsia" w:ascii="黑体" w:hAnsi="文星标宋" w:eastAsia="黑体" w:cs="宋体"/>
          <w:bCs/>
          <w:color w:val="000000"/>
          <w:kern w:val="0"/>
          <w:sz w:val="32"/>
          <w:szCs w:val="32"/>
        </w:rPr>
        <w:t>一般公共预算财政拨款支出决算情况说明</w:t>
      </w:r>
    </w:p>
    <w:p>
      <w:pPr>
        <w:keepNext w:val="0"/>
        <w:keepLines w:val="0"/>
        <w:pageBreakBefore w:val="0"/>
        <w:kinsoku/>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themeColor="text1"/>
          <w:sz w:val="32"/>
          <w:szCs w:val="32"/>
        </w:rPr>
      </w:pPr>
      <w:r>
        <w:rPr>
          <w:rFonts w:hint="eastAsia" w:ascii="仿宋_GB2312" w:eastAsia="仿宋_GB2312"/>
          <w:color w:val="000000"/>
          <w:sz w:val="32"/>
          <w:szCs w:val="32"/>
        </w:rPr>
        <w:t>2019年度一般公共预算财政拨款支出8256.68万元，</w:t>
      </w:r>
      <w:r>
        <w:rPr>
          <w:rFonts w:hint="eastAsia" w:ascii="仿宋_GB2312" w:eastAsia="仿宋_GB2312"/>
          <w:color w:val="000000" w:themeColor="text1"/>
          <w:sz w:val="32"/>
          <w:szCs w:val="32"/>
        </w:rPr>
        <w:t>一般公共服务支出7225.13万元，占本年财政拨款支出87.51%；教育支出26.7万元，占本年财政拨款支出0.32%；社会保障和就业支出430.86万元，占本年财政拨款支出5.22%；卫生健康支出220.54万元，占本年财政拨款支出2.67%；住房保障支出317.2万元，占本年财政拨款支出3.84%；其他支出36.25万元，占本年财政拨款支出0.44%。</w:t>
      </w:r>
    </w:p>
    <w:p>
      <w:pPr>
        <w:keepNext w:val="0"/>
        <w:keepLines w:val="0"/>
        <w:pageBreakBefore w:val="0"/>
        <w:kinsoku/>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仿宋_GB2312" w:eastAsia="仿宋_GB2312"/>
          <w:color w:val="000000"/>
          <w:sz w:val="32"/>
          <w:szCs w:val="32"/>
        </w:rPr>
      </w:pPr>
      <w:r>
        <w:rPr>
          <w:rFonts w:hint="eastAsia" w:ascii="仿宋_GB2312" w:eastAsia="仿宋_GB2312"/>
          <w:color w:val="000000"/>
          <w:sz w:val="32"/>
          <w:szCs w:val="32"/>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1、“一般公共服务支出”2019年度决算7225.13万元，比2019年年初预算增加610.57万元，增长9.23%。其中：</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“财政事务”2019年度决算7225.13万元，比2019年年初预算增加610.57万元，增长9.23%。主要原因：政策性增人增资及年度绩效、项目经费增加。</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2、“教育支出”2019年度决算26.7万元，比2019年年初预算减少1.3万元，减少4.64%。其中：</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“进修及培训”2019年度决算26.7万元，比2019年年初预算减少1.3万元，减少4.64%。主要原因：厉行节约，培训经费减少。</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3、“社会保障和就业支出”2019年度决算430.86万元，比2019年年初预算减少130.34</w:t>
      </w:r>
      <w:r>
        <w:rPr>
          <w:rFonts w:hint="eastAsia" w:ascii="仿宋_GB2312" w:eastAsia="仿宋_GB2312"/>
          <w:sz w:val="32"/>
          <w:szCs w:val="32"/>
          <w:lang w:eastAsia="zh-CN"/>
        </w:rPr>
        <w:t>万</w:t>
      </w:r>
      <w:r>
        <w:rPr>
          <w:rFonts w:hint="eastAsia" w:ascii="仿宋_GB2312" w:eastAsia="仿宋_GB2312"/>
          <w:sz w:val="32"/>
          <w:szCs w:val="32"/>
        </w:rPr>
        <w:t>元，减少23.23%。其中：</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“行政事业单位离退休”2019年度决算430.86万元，比2019年年初预算减少130.34万元，减少23.23%，主要原因：在职转退休、社保基数调整。</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4、“卫生健康支出”2019年度决算220.54万元，比2019年年初预算增加76.32万元，增加52.92%，其中：</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“行政事业单位医疗”2019年度决算220.54万元，比2019年年初预算增加76.32万元，增加52.92%，主要原因：基数调整。</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5、“住房保障支出”2019年度决算317.2万元，比2019年年初预算增加317.2万元，增加100%，其中：</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“住房改革支出”2019年度决算317.2万元，比2019年年初预算增加317.2万元，增加100%，主要原因：2019年年初预算未安排，为年中追加经费。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6、“其他支出”2019年度决算36.25万元，此经费为2018年市级下达经费结转到2019年使用。</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黑体" w:hAnsi="文星标宋" w:eastAsia="黑体" w:cs="宋体"/>
          <w:bCs/>
          <w:color w:val="000000"/>
          <w:kern w:val="0"/>
          <w:sz w:val="32"/>
          <w:szCs w:val="32"/>
        </w:rPr>
      </w:pPr>
      <w:r>
        <w:rPr>
          <w:rFonts w:hint="eastAsia" w:ascii="黑体" w:hAnsi="文星标宋" w:eastAsia="黑体" w:cs="宋体"/>
          <w:bCs/>
          <w:color w:val="000000"/>
          <w:kern w:val="0"/>
          <w:sz w:val="32"/>
          <w:szCs w:val="32"/>
        </w:rPr>
        <w:t>六、财政拨款基本支出决算情况说明</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2019年本部门使用一般公共预算财政拨款安排基本支出</w:t>
      </w:r>
      <w:r>
        <w:rPr>
          <w:rFonts w:hint="eastAsia" w:ascii="仿宋_GB2312" w:eastAsia="仿宋_GB2312"/>
          <w:color w:val="000000"/>
          <w:sz w:val="32"/>
          <w:szCs w:val="32"/>
        </w:rPr>
        <w:t>4914.71</w:t>
      </w:r>
      <w:r>
        <w:rPr>
          <w:rFonts w:hint="eastAsia" w:ascii="仿宋_GB2312" w:eastAsia="仿宋_GB2312"/>
          <w:sz w:val="32"/>
          <w:szCs w:val="32"/>
        </w:rPr>
        <w:t>万元，使用政府性基金财政拨款安排基本支出0万元，其中：（1）工资福利支出4080.07万元，包括基本工资</w:t>
      </w:r>
      <w:r>
        <w:rPr>
          <w:rFonts w:ascii="仿宋_GB2312" w:eastAsia="仿宋_GB2312"/>
          <w:sz w:val="32"/>
          <w:szCs w:val="32"/>
        </w:rPr>
        <w:t>、津贴补贴、奖金、</w:t>
      </w:r>
      <w:r>
        <w:rPr>
          <w:rFonts w:hint="eastAsia" w:ascii="仿宋_GB2312" w:eastAsia="仿宋_GB2312"/>
          <w:sz w:val="32"/>
          <w:szCs w:val="32"/>
        </w:rPr>
        <w:t>机关事业单位基本养老保险</w:t>
      </w:r>
      <w:r>
        <w:rPr>
          <w:rFonts w:ascii="仿宋_GB2312" w:eastAsia="仿宋_GB2312"/>
          <w:sz w:val="32"/>
          <w:szCs w:val="32"/>
        </w:rPr>
        <w:t>缴费、</w:t>
      </w:r>
      <w:r>
        <w:rPr>
          <w:rFonts w:hint="eastAsia" w:ascii="仿宋_GB2312" w:eastAsia="仿宋_GB2312"/>
          <w:sz w:val="32"/>
          <w:szCs w:val="32"/>
        </w:rPr>
        <w:t>职业年金缴费、职工基本医疗保险缴费、公务员医疗补助缴费、其他社会保障缴费、住房公积金等</w:t>
      </w:r>
      <w:r>
        <w:rPr>
          <w:rFonts w:ascii="仿宋_GB2312" w:eastAsia="仿宋_GB2312"/>
          <w:sz w:val="32"/>
          <w:szCs w:val="32"/>
        </w:rPr>
        <w:t>支出</w:t>
      </w:r>
      <w:r>
        <w:rPr>
          <w:rFonts w:hint="eastAsia" w:ascii="仿宋_GB2312" w:eastAsia="仿宋_GB2312"/>
          <w:sz w:val="32"/>
          <w:szCs w:val="32"/>
        </w:rPr>
        <w:t>；（2）商品和服务支出488.69万元，包括</w:t>
      </w:r>
      <w:r>
        <w:rPr>
          <w:rFonts w:ascii="仿宋_GB2312" w:eastAsia="仿宋_GB2312"/>
          <w:sz w:val="32"/>
          <w:szCs w:val="32"/>
        </w:rPr>
        <w:t>办公费、印刷费、手续费、水费、电费、邮电费、取暖费、差旅费、维修（护）费、培训费、劳务费、工会经费、福利费、公务用车运行维护费、其他交通费、其他商品和服务</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rPr>
        <w:t>；（3）对个人和家庭补助支出345.95万元,包括</w:t>
      </w:r>
      <w:r>
        <w:rPr>
          <w:rFonts w:ascii="仿宋_GB2312" w:eastAsia="仿宋_GB2312"/>
          <w:sz w:val="32"/>
          <w:szCs w:val="32"/>
        </w:rPr>
        <w:t>退休费、生活补助、其他对个人和家庭的补助</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rPr>
        <w:t>。</w:t>
      </w:r>
    </w:p>
    <w:p>
      <w:pPr>
        <w:keepNext w:val="0"/>
        <w:keepLines w:val="0"/>
        <w:pageBreakBefore w:val="0"/>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七、政府性基金预算财政拨款支出决算情况说明</w:t>
      </w:r>
    </w:p>
    <w:p>
      <w:pPr>
        <w:keepNext w:val="0"/>
        <w:keepLines w:val="0"/>
        <w:pageBreakBefore w:val="0"/>
        <w:kinsoku/>
        <w:overflowPunct/>
        <w:topLinePunct w:val="0"/>
        <w:bidi w:val="0"/>
        <w:adjustRightInd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2019年度本部门未安排政府性基金预算财政拨款。</w:t>
      </w:r>
    </w:p>
    <w:p>
      <w:pPr>
        <w:keepNext w:val="0"/>
        <w:keepLines w:val="0"/>
        <w:pageBreakBefore w:val="0"/>
        <w:numPr>
          <w:ilvl w:val="0"/>
          <w:numId w:val="1"/>
        </w:numPr>
        <w:tabs>
          <w:tab w:val="center" w:pos="6979"/>
        </w:tabs>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政府性基金预算财政拨款基本支出决算表</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sz w:val="32"/>
          <w:szCs w:val="32"/>
        </w:rPr>
      </w:pPr>
      <w:r>
        <w:rPr>
          <w:rFonts w:hint="eastAsia" w:ascii="仿宋_GB2312" w:eastAsia="仿宋_GB2312"/>
          <w:sz w:val="32"/>
          <w:szCs w:val="32"/>
        </w:rPr>
        <w:t>2019年度本部门未安排政府性基金预算财政拨款。</w:t>
      </w:r>
    </w:p>
    <w:p>
      <w:pPr>
        <w:keepNext w:val="0"/>
        <w:keepLines w:val="0"/>
        <w:pageBreakBefore w:val="0"/>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九、财政拨款“三公”经费支出决算表的说明</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hAnsi="文星标宋" w:eastAsia="仿宋_GB2312" w:cs="Tahoma"/>
          <w:sz w:val="32"/>
          <w:szCs w:val="32"/>
        </w:rPr>
      </w:pPr>
      <w:r>
        <w:rPr>
          <w:rFonts w:hint="eastAsia" w:ascii="仿宋_GB2312" w:hAnsi="文星标宋" w:eastAsia="仿宋_GB2312" w:cs="Tahoma"/>
          <w:sz w:val="32"/>
          <w:szCs w:val="32"/>
        </w:rPr>
        <w:t>“三公”经费包括本部门所属1个行政单位、4个</w:t>
      </w:r>
      <w:r>
        <w:rPr>
          <w:rFonts w:ascii="仿宋_GB2312" w:hAnsi="文星标宋" w:eastAsia="仿宋_GB2312" w:cs="Tahoma"/>
          <w:sz w:val="32"/>
          <w:szCs w:val="32"/>
        </w:rPr>
        <w:t>参</w:t>
      </w:r>
      <w:r>
        <w:rPr>
          <w:rFonts w:hint="eastAsia" w:ascii="仿宋_GB2312" w:hAnsi="文星标宋" w:eastAsia="仿宋_GB2312" w:cs="Tahoma"/>
          <w:sz w:val="32"/>
          <w:szCs w:val="32"/>
        </w:rPr>
        <w:t>照</w:t>
      </w:r>
      <w:r>
        <w:rPr>
          <w:rFonts w:ascii="仿宋_GB2312" w:hAnsi="文星标宋" w:eastAsia="仿宋_GB2312" w:cs="Tahoma"/>
          <w:sz w:val="32"/>
          <w:szCs w:val="32"/>
        </w:rPr>
        <w:t>公务员法管理事业单位</w:t>
      </w:r>
      <w:r>
        <w:rPr>
          <w:rFonts w:hint="eastAsia" w:ascii="仿宋_GB2312" w:hAnsi="文星标宋" w:eastAsia="仿宋_GB2312" w:cs="Tahoma"/>
          <w:sz w:val="32"/>
          <w:szCs w:val="32"/>
        </w:rPr>
        <w:t>、12个事业单位。2019年“三公”经费财政拨款决算数8.3万元，比2019年“三公”经费财政拨款年初预算16.82万元减少8.52万元。其中：</w:t>
      </w:r>
    </w:p>
    <w:p>
      <w:pPr>
        <w:keepNext w:val="0"/>
        <w:keepLines w:val="0"/>
        <w:pageBreakBefore w:val="0"/>
        <w:numPr>
          <w:ilvl w:val="0"/>
          <w:numId w:val="2"/>
        </w:numPr>
        <w:kinsoku/>
        <w:overflowPunct/>
        <w:topLinePunct w:val="0"/>
        <w:bidi w:val="0"/>
        <w:snapToGrid/>
        <w:spacing w:line="560" w:lineRule="exact"/>
        <w:ind w:left="0" w:leftChars="0" w:right="0" w:rightChars="0" w:firstLine="640" w:firstLineChars="200"/>
        <w:textAlignment w:val="auto"/>
        <w:outlineLvl w:val="9"/>
        <w:rPr>
          <w:rFonts w:ascii="仿宋_GB2312" w:hAnsi="文星标宋" w:eastAsia="仿宋_GB2312" w:cs="Tahoma"/>
          <w:sz w:val="32"/>
          <w:szCs w:val="32"/>
        </w:rPr>
      </w:pPr>
      <w:r>
        <w:rPr>
          <w:rFonts w:hint="eastAsia" w:ascii="仿宋_GB2312" w:hAnsi="文星标宋" w:eastAsia="仿宋_GB2312" w:cs="Tahoma"/>
          <w:sz w:val="32"/>
          <w:szCs w:val="32"/>
        </w:rPr>
        <w:t>未发生因公出国（境）费用。</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hAnsi="文星标宋" w:eastAsia="仿宋_GB2312" w:cs="Tahoma"/>
          <w:sz w:val="32"/>
          <w:szCs w:val="32"/>
        </w:rPr>
      </w:pPr>
      <w:r>
        <w:rPr>
          <w:rFonts w:hint="eastAsia" w:ascii="仿宋_GB2312" w:hAnsi="文星标宋" w:eastAsia="仿宋_GB2312" w:cs="Tahoma"/>
          <w:sz w:val="32"/>
          <w:szCs w:val="32"/>
        </w:rPr>
        <w:t>2.公务接待费。2019年决算数0万元，比2019年年初预算数2.42万元减少2.42万元。主要原因：</w:t>
      </w:r>
      <w:r>
        <w:rPr>
          <w:rFonts w:hint="eastAsia" w:ascii="仿宋_GB2312" w:eastAsia="仿宋_GB2312"/>
          <w:sz w:val="32"/>
          <w:szCs w:val="32"/>
        </w:rPr>
        <w:t>厉行节约,严控“三公”经费支出，压缩单位公务接待费。</w:t>
      </w:r>
    </w:p>
    <w:p>
      <w:pPr>
        <w:keepNext w:val="0"/>
        <w:keepLines w:val="0"/>
        <w:pageBreakBefore w:val="0"/>
        <w:kinsoku/>
        <w:overflowPunct/>
        <w:topLinePunct w:val="0"/>
        <w:bidi w:val="0"/>
        <w:snapToGrid/>
        <w:spacing w:line="560" w:lineRule="exact"/>
        <w:ind w:left="0" w:leftChars="0" w:right="0" w:rightChars="0" w:firstLine="640" w:firstLineChars="200"/>
        <w:jc w:val="left"/>
        <w:textAlignment w:val="auto"/>
        <w:outlineLvl w:val="9"/>
        <w:rPr>
          <w:rFonts w:ascii="仿宋_GB2312" w:hAnsi="文星标宋" w:eastAsia="仿宋_GB2312" w:cs="Tahoma"/>
          <w:sz w:val="32"/>
          <w:szCs w:val="32"/>
        </w:rPr>
      </w:pPr>
      <w:r>
        <w:rPr>
          <w:rFonts w:hint="eastAsia" w:ascii="仿宋_GB2312" w:hAnsi="文星标宋" w:eastAsia="仿宋_GB2312" w:cs="Tahoma"/>
          <w:sz w:val="32"/>
          <w:szCs w:val="32"/>
        </w:rPr>
        <w:t>3.公务用车购置及运行维护费。2019年决算数8.3万元，比2019年年初预算数14.4万元减少</w:t>
      </w:r>
      <w:r>
        <w:rPr>
          <w:rFonts w:hint="eastAsia" w:ascii="仿宋_GB2312" w:hAnsi="文星标宋" w:eastAsia="仿宋_GB2312" w:cs="Tahoma"/>
          <w:sz w:val="32"/>
          <w:szCs w:val="32"/>
          <w:lang w:val="en-US" w:eastAsia="zh-CN"/>
        </w:rPr>
        <w:t>6.1</w:t>
      </w:r>
      <w:r>
        <w:rPr>
          <w:rFonts w:hint="eastAsia" w:ascii="仿宋_GB2312" w:hAnsi="文星标宋" w:eastAsia="仿宋_GB2312" w:cs="Tahoma"/>
          <w:sz w:val="32"/>
          <w:szCs w:val="32"/>
        </w:rPr>
        <w:t>万元。其中，未发生公务用车购置费用。公务用车运行维护费2019年决算数8.3万元，比2019年年初预算数14.4万元减少</w:t>
      </w:r>
      <w:r>
        <w:rPr>
          <w:rFonts w:hint="eastAsia" w:ascii="仿宋_GB2312" w:hAnsi="文星标宋" w:eastAsia="仿宋_GB2312" w:cs="Tahoma"/>
          <w:sz w:val="32"/>
          <w:szCs w:val="32"/>
          <w:lang w:val="en-US" w:eastAsia="zh-CN"/>
        </w:rPr>
        <w:t>6.1</w:t>
      </w:r>
      <w:r>
        <w:rPr>
          <w:rFonts w:hint="eastAsia" w:ascii="仿宋_GB2312" w:hAnsi="文星标宋" w:eastAsia="仿宋_GB2312" w:cs="Tahoma"/>
          <w:sz w:val="32"/>
          <w:szCs w:val="32"/>
        </w:rPr>
        <w:t>万元，主要原因：</w:t>
      </w:r>
      <w:r>
        <w:rPr>
          <w:rFonts w:hint="eastAsia" w:ascii="仿宋_GB2312" w:eastAsia="仿宋_GB2312"/>
          <w:sz w:val="32"/>
          <w:szCs w:val="32"/>
        </w:rPr>
        <w:t>公务用车改革，车辆出行减少,厉行节约,严控“三公”经费支出，压缩单位公务用车运行维护费。</w:t>
      </w:r>
      <w:r>
        <w:rPr>
          <w:rFonts w:hint="eastAsia" w:ascii="仿宋_GB2312" w:hAnsi="文星标宋" w:eastAsia="仿宋_GB2312" w:cs="Tahoma"/>
          <w:sz w:val="32"/>
          <w:szCs w:val="32"/>
        </w:rPr>
        <w:t>2019年公务用车运行维护费中，公务用车加油2.47万元，公务用车维修3.16万元，公务用车保险2.53万元，公务用车其他支出0.14万元。2019年公务用车保有量8辆，车均运行维护费1.04万元。</w:t>
      </w:r>
    </w:p>
    <w:p>
      <w:pPr>
        <w:keepNext w:val="0"/>
        <w:keepLines w:val="0"/>
        <w:pageBreakBefore w:val="0"/>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color w:val="000000"/>
          <w:sz w:val="32"/>
          <w:szCs w:val="32"/>
        </w:rPr>
      </w:pPr>
      <w:r>
        <w:rPr>
          <w:rFonts w:hint="eastAsia" w:ascii="黑体" w:hAnsi="文星标宋" w:eastAsia="黑体" w:cs="Tahoma"/>
          <w:color w:val="000000"/>
          <w:sz w:val="32"/>
          <w:szCs w:val="32"/>
        </w:rPr>
        <w:t>十、其他重要事项的情况说明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黑体" w:hAnsi="文星标宋" w:eastAsia="黑体" w:cs="Tahoma"/>
          <w:color w:val="000000"/>
          <w:sz w:val="32"/>
          <w:szCs w:val="32"/>
        </w:rPr>
      </w:pPr>
      <w:r>
        <w:rPr>
          <w:rFonts w:hint="eastAsia" w:ascii="楷体_GB2312" w:hAnsi="Tahoma" w:eastAsia="楷体_GB2312" w:cs="Tahoma"/>
          <w:color w:val="000000"/>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Tahoma" w:eastAsia="仿宋_GB2312" w:cs="Tahoma"/>
          <w:color w:val="000000"/>
          <w:sz w:val="32"/>
          <w:szCs w:val="32"/>
        </w:rPr>
      </w:pPr>
      <w:r>
        <w:rPr>
          <w:rFonts w:hint="eastAsia" w:ascii="仿宋_GB2312" w:hAnsi="文星标宋" w:eastAsia="仿宋_GB2312" w:cs="Tahoma"/>
          <w:sz w:val="32"/>
          <w:szCs w:val="32"/>
        </w:rPr>
        <w:t>2019</w:t>
      </w:r>
      <w:r>
        <w:rPr>
          <w:rFonts w:hint="eastAsia" w:ascii="仿宋_GB2312" w:hAnsi="Tahoma" w:eastAsia="仿宋_GB2312" w:cs="Tahoma"/>
          <w:sz w:val="32"/>
          <w:szCs w:val="32"/>
        </w:rPr>
        <w:t>年，大兴区</w:t>
      </w:r>
      <w:r>
        <w:rPr>
          <w:rFonts w:hint="eastAsia" w:ascii="仿宋_GB2312" w:eastAsia="仿宋_GB2312"/>
          <w:sz w:val="32"/>
          <w:szCs w:val="32"/>
        </w:rPr>
        <w:t>财政局本级及所属4个参照公务员管理的事业单位财政拨款决算</w:t>
      </w:r>
      <w:r>
        <w:rPr>
          <w:rFonts w:hint="eastAsia" w:ascii="仿宋_GB2312" w:hAnsi="Tahoma" w:eastAsia="仿宋_GB2312" w:cs="Tahoma"/>
          <w:sz w:val="32"/>
          <w:szCs w:val="32"/>
        </w:rPr>
        <w:t>的机关运行经费财政拨款决算</w:t>
      </w:r>
      <w:r>
        <w:rPr>
          <w:rFonts w:hint="eastAsia" w:ascii="仿宋_GB2312" w:hAnsi="文星标宋" w:eastAsia="仿宋_GB2312" w:cs="Tahoma"/>
          <w:sz w:val="32"/>
          <w:szCs w:val="32"/>
        </w:rPr>
        <w:t>488.69</w:t>
      </w:r>
      <w:r>
        <w:rPr>
          <w:rFonts w:hint="eastAsia" w:ascii="仿宋_GB2312" w:hAnsi="Tahoma" w:eastAsia="仿宋_GB2312" w:cs="Tahoma"/>
          <w:sz w:val="32"/>
          <w:szCs w:val="32"/>
        </w:rPr>
        <w:t>万元，较</w:t>
      </w:r>
      <w:r>
        <w:rPr>
          <w:rFonts w:hint="eastAsia" w:ascii="仿宋_GB2312" w:hAnsi="文星标宋" w:eastAsia="仿宋_GB2312" w:cs="Tahoma"/>
          <w:sz w:val="32"/>
          <w:szCs w:val="32"/>
        </w:rPr>
        <w:t>2018年</w:t>
      </w:r>
      <w:r>
        <w:rPr>
          <w:rFonts w:hint="eastAsia" w:ascii="仿宋_GB2312" w:hAnsi="Tahoma" w:eastAsia="仿宋_GB2312" w:cs="Tahoma"/>
          <w:sz w:val="32"/>
          <w:szCs w:val="32"/>
        </w:rPr>
        <w:t>增长</w:t>
      </w:r>
      <w:r>
        <w:rPr>
          <w:rFonts w:hint="eastAsia" w:ascii="仿宋_GB2312" w:hAnsi="文星标宋" w:eastAsia="仿宋_GB2312" w:cs="Tahoma"/>
          <w:sz w:val="32"/>
          <w:szCs w:val="32"/>
        </w:rPr>
        <w:t>23.2</w:t>
      </w:r>
      <w:r>
        <w:rPr>
          <w:rFonts w:hint="eastAsia" w:ascii="仿宋_GB2312" w:hAnsi="Tahoma" w:eastAsia="仿宋_GB2312" w:cs="Tahoma"/>
          <w:sz w:val="32"/>
          <w:szCs w:val="32"/>
        </w:rPr>
        <w:t>%,主要原因是：</w:t>
      </w:r>
      <w:r>
        <w:rPr>
          <w:rFonts w:hint="eastAsia" w:ascii="仿宋_GB2312" w:hAnsi="文星标宋" w:eastAsia="仿宋_GB2312" w:cs="Tahoma"/>
          <w:sz w:val="32"/>
          <w:szCs w:val="32"/>
        </w:rPr>
        <w:t>增加机构日常运转类维修维护费</w:t>
      </w:r>
      <w:r>
        <w:rPr>
          <w:rFonts w:hint="eastAsia" w:ascii="仿宋_GB2312" w:hAnsi="Tahoma" w:eastAsia="仿宋_GB2312" w:cs="Tahom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Tahoma" w:eastAsia="楷体_GB2312" w:cs="Tahoma"/>
          <w:color w:val="000000"/>
          <w:sz w:val="32"/>
          <w:szCs w:val="32"/>
        </w:rPr>
      </w:pPr>
      <w:r>
        <w:rPr>
          <w:rFonts w:hint="eastAsia" w:ascii="楷体_GB2312" w:hAnsi="Tahoma" w:eastAsia="楷体_GB2312" w:cs="Tahoma"/>
          <w:color w:val="000000"/>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Tahoma" w:eastAsia="仿宋_GB2312" w:cs="Tahoma"/>
          <w:sz w:val="32"/>
          <w:szCs w:val="32"/>
        </w:rPr>
      </w:pPr>
      <w:r>
        <w:rPr>
          <w:rFonts w:hint="eastAsia" w:ascii="仿宋_GB2312" w:hAnsi="Tahoma" w:eastAsia="仿宋_GB2312" w:cs="Tahoma"/>
          <w:sz w:val="32"/>
          <w:szCs w:val="32"/>
        </w:rPr>
        <w:t>2019年大兴区财政局政府采购支出总额223.11万元，其中：政府采购货物支出216.01万元，政府采购工程支出0万元，政府采购服务支出7.</w:t>
      </w:r>
      <w:r>
        <w:rPr>
          <w:rFonts w:hint="eastAsia" w:ascii="仿宋_GB2312" w:hAnsi="Tahoma" w:eastAsia="仿宋_GB2312" w:cs="Tahoma"/>
          <w:sz w:val="32"/>
          <w:szCs w:val="32"/>
          <w:lang w:val="en-US" w:eastAsia="zh-CN"/>
        </w:rPr>
        <w:t>1</w:t>
      </w:r>
      <w:r>
        <w:rPr>
          <w:rFonts w:hint="eastAsia" w:ascii="仿宋_GB2312" w:hAnsi="Tahoma" w:eastAsia="仿宋_GB2312" w:cs="Tahoma"/>
          <w:sz w:val="32"/>
          <w:szCs w:val="32"/>
        </w:rPr>
        <w:t>万元。</w:t>
      </w:r>
      <w:r>
        <w:rPr>
          <w:rFonts w:hint="eastAsia" w:ascii="仿宋_GB2312" w:hAnsi="Tahoma" w:eastAsia="仿宋_GB2312" w:cs="Tahoma"/>
          <w:color w:val="000000"/>
          <w:sz w:val="32"/>
          <w:szCs w:val="32"/>
        </w:rPr>
        <w:t>授予中小企业合同金额219.18万元，</w:t>
      </w:r>
      <w:r>
        <w:rPr>
          <w:rFonts w:hint="eastAsia" w:ascii="仿宋_GB2312" w:hAnsi="Tahoma" w:eastAsia="仿宋_GB2312" w:cs="Tahoma"/>
          <w:sz w:val="32"/>
          <w:szCs w:val="32"/>
        </w:rPr>
        <w:t>占政府采购支出总额的98.24%，其中：授予小微企业合同金额219.18万元，</w:t>
      </w:r>
      <w:r>
        <w:rPr>
          <w:rFonts w:hint="eastAsia" w:ascii="仿宋_GB2312" w:hAnsi="Tahoma" w:eastAsia="仿宋_GB2312" w:cs="Tahoma"/>
          <w:color w:val="000000"/>
          <w:sz w:val="32"/>
          <w:szCs w:val="32"/>
        </w:rPr>
        <w:t>占政府采购支出总额的98.24%。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Tahoma" w:eastAsia="楷体_GB2312" w:cs="Tahoma"/>
          <w:color w:val="000000"/>
          <w:sz w:val="32"/>
          <w:szCs w:val="32"/>
        </w:rPr>
      </w:pPr>
      <w:r>
        <w:rPr>
          <w:rFonts w:hint="eastAsia" w:ascii="楷体_GB2312" w:hAnsi="Tahoma" w:eastAsia="楷体_GB2312" w:cs="Tahoma"/>
          <w:color w:val="000000"/>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019</w:t>
      </w:r>
      <w:r>
        <w:rPr>
          <w:rFonts w:hint="eastAsia" w:ascii="仿宋_GB2312" w:eastAsia="仿宋_GB2312"/>
          <w:color w:val="000000"/>
          <w:sz w:val="32"/>
          <w:szCs w:val="32"/>
        </w:rPr>
        <w:t>年本部门车辆8台，</w:t>
      </w:r>
      <w:r>
        <w:rPr>
          <w:rFonts w:hint="eastAsia" w:ascii="仿宋_GB2312" w:hAnsi="文星标宋" w:eastAsia="仿宋_GB2312" w:cs="Tahoma"/>
          <w:sz w:val="32"/>
          <w:szCs w:val="32"/>
        </w:rPr>
        <w:t>171.59</w:t>
      </w:r>
      <w:r>
        <w:rPr>
          <w:rFonts w:hint="eastAsia" w:ascii="仿宋_GB2312" w:eastAsia="仿宋_GB2312"/>
          <w:color w:val="000000"/>
          <w:sz w:val="32"/>
          <w:szCs w:val="32"/>
        </w:rPr>
        <w:t>万元；单位价值50万元以上的通用设备13台（套），无单位价值100万元以上的专用设备。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Tahoma" w:eastAsia="楷体_GB2312" w:cs="Tahoma"/>
          <w:color w:val="auto"/>
          <w:sz w:val="32"/>
          <w:szCs w:val="32"/>
        </w:rPr>
      </w:pPr>
      <w:r>
        <w:rPr>
          <w:rFonts w:hint="eastAsia" w:ascii="楷体_GB2312" w:hAnsi="Tahoma" w:eastAsia="楷体_GB2312" w:cs="Tahoma"/>
          <w:color w:val="auto"/>
          <w:sz w:val="32"/>
          <w:szCs w:val="32"/>
        </w:rPr>
        <w:t>（四）重点项目预算的绩效目标和绩效评价结果的情况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2019年，填报绩效目标的预算项目</w:t>
      </w:r>
      <w:r>
        <w:rPr>
          <w:rFonts w:hint="eastAsia" w:ascii="仿宋_GB2312" w:hAnsi="文星标宋" w:eastAsia="仿宋_GB2312" w:cs="Tahoma"/>
          <w:color w:val="auto"/>
          <w:sz w:val="32"/>
          <w:szCs w:val="32"/>
        </w:rPr>
        <w:t>9</w:t>
      </w:r>
      <w:r>
        <w:rPr>
          <w:rFonts w:hint="eastAsia" w:ascii="仿宋_GB2312" w:eastAsia="仿宋_GB2312"/>
          <w:color w:val="auto"/>
          <w:sz w:val="32"/>
          <w:szCs w:val="32"/>
        </w:rPr>
        <w:t>个，占全部预算项目</w:t>
      </w:r>
      <w:r>
        <w:rPr>
          <w:rFonts w:hint="eastAsia" w:ascii="仿宋_GB2312" w:hAnsi="文星标宋" w:eastAsia="仿宋_GB2312" w:cs="Tahoma"/>
          <w:color w:val="auto"/>
          <w:sz w:val="32"/>
          <w:szCs w:val="32"/>
        </w:rPr>
        <w:t>23</w:t>
      </w:r>
      <w:r>
        <w:rPr>
          <w:rFonts w:hint="eastAsia" w:ascii="仿宋_GB2312" w:eastAsia="仿宋_GB2312"/>
          <w:color w:val="auto"/>
          <w:sz w:val="32"/>
          <w:szCs w:val="32"/>
        </w:rPr>
        <w:t>个的</w:t>
      </w:r>
      <w:r>
        <w:rPr>
          <w:rFonts w:hint="eastAsia" w:ascii="仿宋_GB2312" w:hAnsi="文星标宋" w:eastAsia="仿宋_GB2312" w:cs="Tahoma"/>
          <w:color w:val="auto"/>
          <w:sz w:val="32"/>
          <w:szCs w:val="32"/>
        </w:rPr>
        <w:t>39.13</w:t>
      </w:r>
      <w:r>
        <w:rPr>
          <w:rFonts w:hint="eastAsia" w:ascii="仿宋_GB2312" w:eastAsia="仿宋_GB2312"/>
          <w:color w:val="auto"/>
          <w:sz w:val="32"/>
          <w:szCs w:val="32"/>
        </w:rPr>
        <w:t>%。填报绩效目标的项目支出预算</w:t>
      </w:r>
      <w:r>
        <w:rPr>
          <w:rFonts w:hint="eastAsia" w:ascii="仿宋_GB2312" w:hAnsi="文星标宋" w:eastAsia="仿宋_GB2312" w:cs="Tahoma"/>
          <w:color w:val="auto"/>
          <w:sz w:val="32"/>
          <w:szCs w:val="32"/>
        </w:rPr>
        <w:t>2925.56</w:t>
      </w:r>
      <w:r>
        <w:rPr>
          <w:rFonts w:hint="eastAsia" w:ascii="仿宋_GB2312" w:eastAsia="仿宋_GB2312"/>
          <w:color w:val="auto"/>
          <w:sz w:val="32"/>
          <w:szCs w:val="32"/>
        </w:rPr>
        <w:t>万元，占全部项目支出预算的</w:t>
      </w:r>
      <w:r>
        <w:rPr>
          <w:rFonts w:hint="eastAsia" w:ascii="仿宋_GB2312" w:hAnsi="文星标宋" w:eastAsia="仿宋_GB2312" w:cs="Tahoma"/>
          <w:color w:val="auto"/>
          <w:sz w:val="32"/>
          <w:szCs w:val="32"/>
        </w:rPr>
        <w:t>82.95</w:t>
      </w:r>
      <w:r>
        <w:rPr>
          <w:rFonts w:hint="eastAsia" w:ascii="仿宋_GB2312" w:eastAsia="仿宋_GB2312"/>
          <w:color w:val="auto"/>
          <w:sz w:val="32"/>
          <w:szCs w:val="32"/>
        </w:rPr>
        <w:t>%。</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hAnsi="Tahoma" w:eastAsia="仿宋_GB2312" w:cs="Tahoma"/>
          <w:color w:val="auto"/>
          <w:sz w:val="32"/>
          <w:szCs w:val="32"/>
        </w:rPr>
        <w:t>大兴区财政局</w:t>
      </w:r>
      <w:r>
        <w:rPr>
          <w:rFonts w:hint="eastAsia" w:ascii="仿宋_GB2312" w:hAnsi="文星标宋" w:eastAsia="仿宋_GB2312" w:cs="Tahoma"/>
          <w:color w:val="auto"/>
          <w:sz w:val="32"/>
          <w:szCs w:val="32"/>
        </w:rPr>
        <w:t>对</w:t>
      </w:r>
      <w:r>
        <w:rPr>
          <w:rFonts w:ascii="仿宋_GB2312" w:hAnsi="文星标宋" w:eastAsia="仿宋_GB2312" w:cs="Tahoma"/>
          <w:color w:val="auto"/>
          <w:sz w:val="32"/>
          <w:szCs w:val="32"/>
        </w:rPr>
        <w:t>2019年</w:t>
      </w:r>
      <w:r>
        <w:rPr>
          <w:rFonts w:hint="eastAsia" w:ascii="仿宋_GB2312" w:hAnsi="文星标宋" w:eastAsia="仿宋_GB2312" w:cs="Tahoma"/>
          <w:color w:val="auto"/>
          <w:sz w:val="32"/>
          <w:szCs w:val="32"/>
        </w:rPr>
        <w:t>度部门项目支出实施绩效评价，评价项目9个，占部门项目总数的39.13%，涉及金额2925.56万元。</w:t>
      </w:r>
    </w:p>
    <w:p>
      <w:pPr>
        <w:keepNext w:val="0"/>
        <w:keepLines w:val="0"/>
        <w:pageBreakBefore w:val="0"/>
        <w:widowControl/>
        <w:suppressLineNumbers w:val="0"/>
        <w:kinsoku/>
        <w:wordWrap w:val="0"/>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auto"/>
          <w:kern w:val="0"/>
          <w:sz w:val="32"/>
          <w:szCs w:val="32"/>
          <w:u w:val="none"/>
          <w:lang w:val="en-US" w:eastAsia="zh-CN" w:bidi="ar"/>
        </w:rPr>
        <w:t>评价结果：从总体上看，各项目决策</w:t>
      </w:r>
      <w:r>
        <w:rPr>
          <w:rFonts w:hint="eastAsia" w:ascii="仿宋_GB2312" w:hAnsi="仿宋_GB2312" w:eastAsia="仿宋_GB2312" w:cs="仿宋_GB2312"/>
          <w:b w:val="0"/>
          <w:i w:val="0"/>
          <w:color w:val="000000"/>
          <w:kern w:val="0"/>
          <w:sz w:val="32"/>
          <w:szCs w:val="32"/>
          <w:u w:val="none"/>
          <w:lang w:val="en-US" w:eastAsia="zh-CN" w:bidi="ar"/>
        </w:rPr>
        <w:t>依据较充分，绩效目标设定明确，有效摒除无预期绩效的资金和项目，从源头上提高预算编制的科学性和精准性；项目管理较规范，项目支出完成情况较好，通过项目实施顺利实现预期目标，发挥了显著的经济效益、社会效益及可持续影响，有效促进了绩效管理、财政收支等工作的开展。经过9个项目的绩效评价，9个项目得分均在90分以上，评价结果均为优秀。</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楷体_GB2312" w:hAnsi="Tahoma" w:eastAsia="楷体_GB2312" w:cs="Tahoma"/>
          <w:color w:val="000000"/>
          <w:sz w:val="32"/>
          <w:szCs w:val="32"/>
        </w:rPr>
      </w:pPr>
      <w:r>
        <w:rPr>
          <w:rFonts w:hint="eastAsia" w:ascii="楷体_GB2312" w:hAnsi="Tahoma" w:eastAsia="楷体_GB2312" w:cs="Tahoma"/>
          <w:color w:val="000000"/>
          <w:sz w:val="32"/>
          <w:szCs w:val="32"/>
        </w:rPr>
        <w:t>（五）重点行政事业性收费情况说明</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2019年本部门涉及的行政事业性收费项目名称：会计考试报名费，收费依据：依据国家发展改革委 财政部《关于改革全国性职业资格考试收费标准管理方式的通知》（发改价格【2015】1217号）和《关于全国会计专业技术资格考试考务费收费标准的通知》（会评【2017】1号）文件要求，收取会计考试报名费。执收主体：大兴区财政局，收费部门：大兴区财政局，收费标准：会计初中级职称考试每人每科56元，会计高级职称考试每人每科70元。2019年会计考试报名费收入为236.79万元。</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楷体_GB2312" w:hAnsi="Tahoma" w:eastAsia="楷体_GB2312" w:cs="Tahoma"/>
          <w:color w:val="000000"/>
          <w:sz w:val="32"/>
          <w:szCs w:val="32"/>
        </w:rPr>
      </w:pPr>
      <w:r>
        <w:rPr>
          <w:rFonts w:hint="eastAsia" w:ascii="楷体_GB2312" w:hAnsi="Tahoma" w:eastAsia="楷体_GB2312" w:cs="Tahoma"/>
          <w:color w:val="000000"/>
          <w:sz w:val="32"/>
          <w:szCs w:val="32"/>
        </w:rPr>
        <w:t>（六）政府购买服务支出说明</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仿宋_GB2312" w:hAnsi="Tahoma" w:eastAsia="仿宋_GB2312" w:cs="Tahoma"/>
          <w:sz w:val="32"/>
          <w:szCs w:val="32"/>
        </w:rPr>
      </w:pPr>
      <w:r>
        <w:rPr>
          <w:rFonts w:ascii="楷体_GB2312" w:hAnsi="Tahoma" w:eastAsia="楷体_GB2312" w:cs="Tahoma"/>
          <w:sz w:val="32"/>
          <w:szCs w:val="32"/>
        </w:rPr>
        <w:t>201</w:t>
      </w:r>
      <w:r>
        <w:rPr>
          <w:rFonts w:hint="eastAsia" w:ascii="楷体_GB2312" w:hAnsi="Tahoma" w:eastAsia="楷体_GB2312" w:cs="Tahoma"/>
          <w:sz w:val="32"/>
          <w:szCs w:val="32"/>
        </w:rPr>
        <w:t>9年</w:t>
      </w:r>
      <w:r>
        <w:rPr>
          <w:rFonts w:hint="eastAsia" w:ascii="仿宋_GB2312" w:hAnsi="Tahoma" w:eastAsia="仿宋_GB2312" w:cs="Tahoma"/>
          <w:sz w:val="32"/>
          <w:szCs w:val="32"/>
        </w:rPr>
        <w:t>本部门政府购买服务项目共计</w:t>
      </w:r>
      <w:r>
        <w:rPr>
          <w:rFonts w:hint="eastAsia" w:ascii="仿宋_GB2312" w:hAnsi="文星标宋" w:eastAsia="仿宋_GB2312" w:cs="Tahoma"/>
          <w:sz w:val="32"/>
          <w:szCs w:val="32"/>
          <w:lang w:val="en-US" w:eastAsia="zh-CN"/>
        </w:rPr>
        <w:t>10</w:t>
      </w:r>
      <w:r>
        <w:rPr>
          <w:rFonts w:hint="eastAsia" w:ascii="仿宋_GB2312" w:hAnsi="Tahoma" w:eastAsia="仿宋_GB2312" w:cs="Tahoma"/>
          <w:sz w:val="32"/>
          <w:szCs w:val="32"/>
        </w:rPr>
        <w:t>项，决算总金额</w:t>
      </w:r>
      <w:r>
        <w:rPr>
          <w:rFonts w:hint="eastAsia" w:ascii="仿宋_GB2312" w:hAnsi="文星标宋" w:eastAsia="仿宋_GB2312" w:cs="Tahoma"/>
          <w:sz w:val="32"/>
          <w:szCs w:val="32"/>
        </w:rPr>
        <w:t>1510.17</w:t>
      </w:r>
      <w:r>
        <w:rPr>
          <w:rFonts w:hint="eastAsia" w:ascii="仿宋_GB2312" w:hAnsi="Tahoma" w:eastAsia="仿宋_GB2312" w:cs="Tahoma"/>
          <w:sz w:val="32"/>
          <w:szCs w:val="32"/>
        </w:rPr>
        <w:t>万元。</w:t>
      </w:r>
    </w:p>
    <w:p>
      <w:pPr>
        <w:keepNext w:val="0"/>
        <w:keepLines w:val="0"/>
        <w:pageBreakBefore w:val="0"/>
        <w:kinsoku/>
        <w:overflowPunct/>
        <w:topLinePunct w:val="0"/>
        <w:bidi w:val="0"/>
        <w:snapToGrid/>
        <w:spacing w:line="560" w:lineRule="exact"/>
        <w:ind w:left="0" w:leftChars="0" w:right="0" w:rightChars="0" w:firstLine="640" w:firstLineChars="200"/>
        <w:textAlignment w:val="auto"/>
        <w:outlineLvl w:val="9"/>
        <w:rPr>
          <w:rFonts w:ascii="楷体_GB2312" w:hAnsi="Tahoma" w:eastAsia="楷体_GB2312" w:cs="Tahoma"/>
          <w:color w:val="000000"/>
          <w:sz w:val="32"/>
          <w:szCs w:val="32"/>
        </w:rPr>
      </w:pPr>
      <w:r>
        <w:rPr>
          <w:rFonts w:hint="eastAsia" w:ascii="楷体_GB2312" w:hAnsi="Tahoma" w:eastAsia="楷体_GB2312" w:cs="Tahoma"/>
          <w:color w:val="000000"/>
          <w:sz w:val="32"/>
          <w:szCs w:val="32"/>
        </w:rPr>
        <w:t>（七）国有资本经营预算财</w:t>
      </w:r>
      <w:r>
        <w:rPr>
          <w:rFonts w:ascii="楷体_GB2312" w:hAnsi="Tahoma" w:eastAsia="楷体_GB2312" w:cs="Tahoma"/>
          <w:color w:val="000000"/>
          <w:sz w:val="32"/>
          <w:szCs w:val="32"/>
        </w:rPr>
        <w:t>政拨款</w:t>
      </w:r>
      <w:r>
        <w:rPr>
          <w:rFonts w:hint="eastAsia" w:ascii="楷体_GB2312" w:hAnsi="Tahoma" w:eastAsia="楷体_GB2312" w:cs="Tahoma"/>
          <w:color w:val="000000"/>
          <w:sz w:val="32"/>
          <w:szCs w:val="32"/>
        </w:rPr>
        <w:t>收支情况</w:t>
      </w:r>
    </w:p>
    <w:p>
      <w:pPr>
        <w:keepNext w:val="0"/>
        <w:keepLines w:val="0"/>
        <w:pageBreakBefore w:val="0"/>
        <w:tabs>
          <w:tab w:val="center" w:pos="6979"/>
        </w:tabs>
        <w:kinsoku/>
        <w:overflowPunct/>
        <w:topLinePunct w:val="0"/>
        <w:bidi w:val="0"/>
        <w:snapToGrid/>
        <w:spacing w:line="560" w:lineRule="exact"/>
        <w:ind w:left="0" w:leftChars="0" w:right="0" w:rightChars="0" w:firstLine="640" w:firstLineChars="200"/>
        <w:jc w:val="left"/>
        <w:textAlignment w:val="auto"/>
        <w:outlineLvl w:val="9"/>
        <w:rPr>
          <w:rFonts w:ascii="黑体" w:hAnsi="文星标宋" w:eastAsia="黑体" w:cs="Tahoma"/>
          <w:sz w:val="32"/>
          <w:szCs w:val="32"/>
        </w:rPr>
      </w:pPr>
      <w:r>
        <w:rPr>
          <w:rFonts w:hint="eastAsia" w:ascii="仿宋_GB2312" w:eastAsia="仿宋_GB2312"/>
          <w:sz w:val="32"/>
          <w:szCs w:val="32"/>
        </w:rPr>
        <w:t>本部门2019年无</w:t>
      </w:r>
      <w:r>
        <w:rPr>
          <w:rFonts w:hint="eastAsia" w:ascii="仿宋_GB2312" w:eastAsia="仿宋_GB2312"/>
          <w:color w:val="000000"/>
          <w:sz w:val="32"/>
          <w:szCs w:val="32"/>
        </w:rPr>
        <w:t>国有资本经营预算财政拨款安排的支出</w:t>
      </w:r>
      <w:r>
        <w:rPr>
          <w:rFonts w:hint="eastAsia" w:ascii="仿宋_GB2312" w:eastAsia="仿宋_GB2312"/>
          <w:sz w:val="32"/>
          <w:szCs w:val="32"/>
        </w:rPr>
        <w:t>。</w:t>
      </w:r>
    </w:p>
    <w:p>
      <w:pPr>
        <w:spacing w:line="560" w:lineRule="exact"/>
        <w:ind w:firstLine="562" w:firstLineChars="200"/>
        <w:rPr>
          <w:rFonts w:ascii="楷体_GB2312" w:eastAsia="楷体_GB2312" w:cs="楷体_GB2312"/>
          <w:b/>
          <w:bCs/>
          <w:sz w:val="28"/>
          <w:szCs w:val="28"/>
        </w:rPr>
      </w:pPr>
    </w:p>
    <w:p>
      <w:pPr>
        <w:spacing w:line="560" w:lineRule="exact"/>
        <w:ind w:firstLine="562" w:firstLineChars="200"/>
        <w:rPr>
          <w:rFonts w:ascii="楷体_GB2312" w:eastAsia="楷体_GB2312" w:cs="楷体_GB2312"/>
          <w:b/>
          <w:bCs/>
          <w:sz w:val="28"/>
          <w:szCs w:val="28"/>
        </w:rPr>
      </w:pPr>
    </w:p>
    <w:p>
      <w:pPr>
        <w:spacing w:line="560" w:lineRule="exact"/>
        <w:ind w:firstLine="562" w:firstLineChars="200"/>
        <w:rPr>
          <w:rFonts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hint="eastAsia" w:ascii="楷体_GB2312" w:eastAsia="楷体_GB2312" w:cs="楷体_GB2312"/>
          <w:b/>
          <w:bCs/>
          <w:sz w:val="28"/>
          <w:szCs w:val="28"/>
        </w:rPr>
      </w:pPr>
    </w:p>
    <w:p>
      <w:pPr>
        <w:spacing w:line="560" w:lineRule="exact"/>
        <w:ind w:firstLine="562" w:firstLineChars="200"/>
        <w:rPr>
          <w:rFonts w:ascii="楷体_GB2312" w:eastAsia="楷体_GB2312" w:cs="楷体_GB2312"/>
          <w:b/>
          <w:bCs/>
          <w:sz w:val="28"/>
          <w:szCs w:val="28"/>
        </w:rPr>
      </w:pPr>
      <w:r>
        <w:rPr>
          <w:rFonts w:hint="eastAsia" w:ascii="楷体_GB2312" w:eastAsia="楷体_GB2312" w:cs="楷体_GB2312"/>
          <w:b/>
          <w:bCs/>
          <w:sz w:val="28"/>
          <w:szCs w:val="28"/>
        </w:rPr>
        <w:t>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ascii="仿宋_GB2312" w:eastAsia="仿宋_GB2312"/>
          <w:sz w:val="28"/>
          <w:szCs w:val="28"/>
        </w:rPr>
      </w:pPr>
      <w:r>
        <w:rPr>
          <w:rFonts w:hint="eastAsia" w:ascii="仿宋_GB2312" w:eastAsia="仿宋_GB2312"/>
          <w:b/>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ascii="仿宋_GB2312" w:eastAsia="仿宋_GB2312"/>
          <w:sz w:val="28"/>
          <w:szCs w:val="28"/>
        </w:rPr>
      </w:pPr>
      <w:r>
        <w:rPr>
          <w:rFonts w:ascii="仿宋_GB2312" w:eastAsia="仿宋_GB2312"/>
          <w:b/>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jc w:val="both"/>
        <w:textAlignment w:val="auto"/>
        <w:outlineLvl w:val="9"/>
        <w:rPr>
          <w:rFonts w:ascii="仿宋_GB2312" w:eastAsia="仿宋_GB2312"/>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政府采购</w:t>
      </w:r>
      <w:r>
        <w:rPr>
          <w:rFonts w:ascii="仿宋_GB2312" w:eastAsia="仿宋_GB2312"/>
          <w:b/>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eastAsia="仿宋_GB2312"/>
          <w:sz w:val="28"/>
          <w:szCs w:val="28"/>
        </w:rPr>
      </w:pPr>
      <w:r>
        <w:rPr>
          <w:rFonts w:hint="eastAsia" w:ascii="仿宋_GB2312" w:eastAsia="仿宋_GB2312"/>
          <w:b/>
          <w:sz w:val="28"/>
          <w:szCs w:val="28"/>
        </w:rPr>
        <w:t>4</w:t>
      </w:r>
      <w:r>
        <w:rPr>
          <w:rFonts w:ascii="仿宋_GB2312" w:eastAsia="仿宋_GB2312"/>
          <w:b/>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eastAsia="仿宋_GB2312"/>
          <w:color w:val="000000" w:themeColor="text1"/>
          <w:sz w:val="28"/>
          <w:szCs w:val="28"/>
          <w:lang w:eastAsia="zh-CN"/>
        </w:rPr>
      </w:pPr>
      <w:r>
        <w:rPr>
          <w:rFonts w:hint="eastAsia" w:ascii="仿宋_GB2312" w:eastAsia="仿宋_GB2312"/>
          <w:b/>
          <w:bCs/>
          <w:color w:val="000000" w:themeColor="text1"/>
          <w:sz w:val="28"/>
          <w:szCs w:val="28"/>
          <w:lang w:val="en-US" w:eastAsia="zh-CN"/>
        </w:rPr>
        <w:t>5.财政委托业务支出：</w:t>
      </w:r>
      <w:r>
        <w:rPr>
          <w:rFonts w:hint="eastAsia" w:ascii="仿宋_GB2312" w:eastAsia="仿宋_GB2312"/>
          <w:color w:val="000000" w:themeColor="text1"/>
          <w:sz w:val="28"/>
          <w:szCs w:val="28"/>
          <w:lang w:val="en-US" w:eastAsia="zh-CN"/>
        </w:rPr>
        <w:t>反映财政委托评审机构进行财政投资评审和委托建设银行等机构代理业务发生的支出。</w:t>
      </w:r>
    </w:p>
    <w:p>
      <w:pPr>
        <w:spacing w:line="560" w:lineRule="exact"/>
        <w:ind w:firstLine="420" w:firstLineChars="150"/>
        <w:rPr>
          <w:rFonts w:hint="eastAsia" w:ascii="仿宋_GB2312" w:eastAsia="仿宋_GB2312"/>
          <w:sz w:val="28"/>
          <w:szCs w:val="28"/>
        </w:rPr>
      </w:pPr>
    </w:p>
    <w:p>
      <w:pPr>
        <w:spacing w:line="560" w:lineRule="exact"/>
        <w:ind w:firstLine="420" w:firstLineChars="200"/>
      </w:pPr>
    </w:p>
    <w:sectPr>
      <w:footerReference r:id="rId3" w:type="default"/>
      <w:pgSz w:w="16838" w:h="11906" w:orient="landscape"/>
      <w:pgMar w:top="1440" w:right="1134"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文星标宋">
    <w:altName w:val="微软雅黑"/>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9877"/>
    <w:multiLevelType w:val="singleLevel"/>
    <w:tmpl w:val="5F3B9877"/>
    <w:lvl w:ilvl="0" w:tentative="0">
      <w:start w:val="8"/>
      <w:numFmt w:val="chineseCounting"/>
      <w:suff w:val="nothing"/>
      <w:lvlText w:val="%1、"/>
      <w:lvlJc w:val="left"/>
    </w:lvl>
  </w:abstractNum>
  <w:abstractNum w:abstractNumId="1">
    <w:nsid w:val="5F3B9952"/>
    <w:multiLevelType w:val="singleLevel"/>
    <w:tmpl w:val="5F3B995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C7725"/>
    <w:rsid w:val="0000025E"/>
    <w:rsid w:val="000003B6"/>
    <w:rsid w:val="000317A9"/>
    <w:rsid w:val="0004165D"/>
    <w:rsid w:val="00042723"/>
    <w:rsid w:val="000452A3"/>
    <w:rsid w:val="000465C5"/>
    <w:rsid w:val="00051842"/>
    <w:rsid w:val="00051D2E"/>
    <w:rsid w:val="00070EF5"/>
    <w:rsid w:val="00070FD0"/>
    <w:rsid w:val="0007284A"/>
    <w:rsid w:val="000740CC"/>
    <w:rsid w:val="00074248"/>
    <w:rsid w:val="00077F44"/>
    <w:rsid w:val="00084726"/>
    <w:rsid w:val="000871B3"/>
    <w:rsid w:val="0009328E"/>
    <w:rsid w:val="000968F1"/>
    <w:rsid w:val="000A2967"/>
    <w:rsid w:val="000A2C84"/>
    <w:rsid w:val="000A5219"/>
    <w:rsid w:val="000B1E01"/>
    <w:rsid w:val="000B5CCA"/>
    <w:rsid w:val="000C2CEB"/>
    <w:rsid w:val="000C3F9C"/>
    <w:rsid w:val="000D2716"/>
    <w:rsid w:val="000E2387"/>
    <w:rsid w:val="000E452B"/>
    <w:rsid w:val="000F61A9"/>
    <w:rsid w:val="00100309"/>
    <w:rsid w:val="001348D2"/>
    <w:rsid w:val="00147B15"/>
    <w:rsid w:val="001552C5"/>
    <w:rsid w:val="001623CB"/>
    <w:rsid w:val="0017070B"/>
    <w:rsid w:val="001833DA"/>
    <w:rsid w:val="00184530"/>
    <w:rsid w:val="0018734B"/>
    <w:rsid w:val="001900B5"/>
    <w:rsid w:val="001974AE"/>
    <w:rsid w:val="001A5971"/>
    <w:rsid w:val="001A6B1A"/>
    <w:rsid w:val="001B0F7A"/>
    <w:rsid w:val="001B1472"/>
    <w:rsid w:val="001B3F72"/>
    <w:rsid w:val="001D21B7"/>
    <w:rsid w:val="001E360C"/>
    <w:rsid w:val="001F170D"/>
    <w:rsid w:val="001F4268"/>
    <w:rsid w:val="001F6235"/>
    <w:rsid w:val="002317EC"/>
    <w:rsid w:val="00231B8E"/>
    <w:rsid w:val="00244BC3"/>
    <w:rsid w:val="002470BC"/>
    <w:rsid w:val="00263D38"/>
    <w:rsid w:val="002676EF"/>
    <w:rsid w:val="0027086F"/>
    <w:rsid w:val="002842C9"/>
    <w:rsid w:val="002A0848"/>
    <w:rsid w:val="002A14DB"/>
    <w:rsid w:val="002A7760"/>
    <w:rsid w:val="002B4153"/>
    <w:rsid w:val="002C46D9"/>
    <w:rsid w:val="002C5412"/>
    <w:rsid w:val="002D0F54"/>
    <w:rsid w:val="003064C8"/>
    <w:rsid w:val="00322B1A"/>
    <w:rsid w:val="003236C1"/>
    <w:rsid w:val="00325BA3"/>
    <w:rsid w:val="00330A87"/>
    <w:rsid w:val="003314E1"/>
    <w:rsid w:val="00336D33"/>
    <w:rsid w:val="00337AC6"/>
    <w:rsid w:val="003444D5"/>
    <w:rsid w:val="00361A13"/>
    <w:rsid w:val="0037070A"/>
    <w:rsid w:val="0037305D"/>
    <w:rsid w:val="003758CC"/>
    <w:rsid w:val="00382CF1"/>
    <w:rsid w:val="00385223"/>
    <w:rsid w:val="00386299"/>
    <w:rsid w:val="003909AF"/>
    <w:rsid w:val="00394C8B"/>
    <w:rsid w:val="00395381"/>
    <w:rsid w:val="00397C1D"/>
    <w:rsid w:val="003A0A48"/>
    <w:rsid w:val="003A0F00"/>
    <w:rsid w:val="003A2B2B"/>
    <w:rsid w:val="003A75E3"/>
    <w:rsid w:val="003B3D35"/>
    <w:rsid w:val="003C49F1"/>
    <w:rsid w:val="003E2931"/>
    <w:rsid w:val="003F5550"/>
    <w:rsid w:val="0041724A"/>
    <w:rsid w:val="0042761A"/>
    <w:rsid w:val="00432A47"/>
    <w:rsid w:val="0043447C"/>
    <w:rsid w:val="004433A5"/>
    <w:rsid w:val="00445A0F"/>
    <w:rsid w:val="00452E30"/>
    <w:rsid w:val="00456BA7"/>
    <w:rsid w:val="004638EE"/>
    <w:rsid w:val="0046415C"/>
    <w:rsid w:val="00485AAE"/>
    <w:rsid w:val="004907A2"/>
    <w:rsid w:val="00495219"/>
    <w:rsid w:val="004B54CA"/>
    <w:rsid w:val="004C1B81"/>
    <w:rsid w:val="004D43E7"/>
    <w:rsid w:val="004E5AD5"/>
    <w:rsid w:val="004F1E64"/>
    <w:rsid w:val="004F42A8"/>
    <w:rsid w:val="004F6E76"/>
    <w:rsid w:val="004F7567"/>
    <w:rsid w:val="005174F3"/>
    <w:rsid w:val="00520CFF"/>
    <w:rsid w:val="00525C2E"/>
    <w:rsid w:val="005347B1"/>
    <w:rsid w:val="00537620"/>
    <w:rsid w:val="00547901"/>
    <w:rsid w:val="0055127C"/>
    <w:rsid w:val="00561224"/>
    <w:rsid w:val="0056701D"/>
    <w:rsid w:val="00572CEB"/>
    <w:rsid w:val="005772C4"/>
    <w:rsid w:val="00577566"/>
    <w:rsid w:val="00582D9F"/>
    <w:rsid w:val="00584B1C"/>
    <w:rsid w:val="00591764"/>
    <w:rsid w:val="005B23A0"/>
    <w:rsid w:val="005B3390"/>
    <w:rsid w:val="005B5198"/>
    <w:rsid w:val="005B64AF"/>
    <w:rsid w:val="005B7BA8"/>
    <w:rsid w:val="005C23FB"/>
    <w:rsid w:val="005E1A81"/>
    <w:rsid w:val="0060692B"/>
    <w:rsid w:val="00610C69"/>
    <w:rsid w:val="00614583"/>
    <w:rsid w:val="0061507D"/>
    <w:rsid w:val="00623722"/>
    <w:rsid w:val="00627A2C"/>
    <w:rsid w:val="00647CF0"/>
    <w:rsid w:val="006653B0"/>
    <w:rsid w:val="00675BB7"/>
    <w:rsid w:val="006957C8"/>
    <w:rsid w:val="00697D91"/>
    <w:rsid w:val="006A2583"/>
    <w:rsid w:val="006A6270"/>
    <w:rsid w:val="006B21E1"/>
    <w:rsid w:val="006B602E"/>
    <w:rsid w:val="006C1DB3"/>
    <w:rsid w:val="006C64F3"/>
    <w:rsid w:val="006E3A25"/>
    <w:rsid w:val="006F2E1A"/>
    <w:rsid w:val="006F5696"/>
    <w:rsid w:val="00703E68"/>
    <w:rsid w:val="00713FFF"/>
    <w:rsid w:val="0071543C"/>
    <w:rsid w:val="00716600"/>
    <w:rsid w:val="00716F73"/>
    <w:rsid w:val="0072134B"/>
    <w:rsid w:val="0072158F"/>
    <w:rsid w:val="00732F92"/>
    <w:rsid w:val="00741508"/>
    <w:rsid w:val="00752306"/>
    <w:rsid w:val="007572F2"/>
    <w:rsid w:val="00760505"/>
    <w:rsid w:val="00792655"/>
    <w:rsid w:val="007A36F2"/>
    <w:rsid w:val="007A4095"/>
    <w:rsid w:val="007B6E5B"/>
    <w:rsid w:val="007C75AB"/>
    <w:rsid w:val="007E18E4"/>
    <w:rsid w:val="007F10E9"/>
    <w:rsid w:val="008174AF"/>
    <w:rsid w:val="00824C34"/>
    <w:rsid w:val="00826157"/>
    <w:rsid w:val="00832DB3"/>
    <w:rsid w:val="008444E9"/>
    <w:rsid w:val="00851749"/>
    <w:rsid w:val="00877BFD"/>
    <w:rsid w:val="00881CD1"/>
    <w:rsid w:val="00892061"/>
    <w:rsid w:val="00893D05"/>
    <w:rsid w:val="008A02F8"/>
    <w:rsid w:val="008A6185"/>
    <w:rsid w:val="008A6D2F"/>
    <w:rsid w:val="008B306F"/>
    <w:rsid w:val="008B692E"/>
    <w:rsid w:val="008B7F50"/>
    <w:rsid w:val="008C5FCD"/>
    <w:rsid w:val="008D49A3"/>
    <w:rsid w:val="008D6257"/>
    <w:rsid w:val="008E4479"/>
    <w:rsid w:val="008E6637"/>
    <w:rsid w:val="008F0F92"/>
    <w:rsid w:val="008F6E3F"/>
    <w:rsid w:val="00906877"/>
    <w:rsid w:val="00934EBF"/>
    <w:rsid w:val="00936F85"/>
    <w:rsid w:val="00945CFE"/>
    <w:rsid w:val="00953259"/>
    <w:rsid w:val="009556DE"/>
    <w:rsid w:val="0097007F"/>
    <w:rsid w:val="0098374F"/>
    <w:rsid w:val="00985F0E"/>
    <w:rsid w:val="00993F30"/>
    <w:rsid w:val="009960B5"/>
    <w:rsid w:val="009A14F0"/>
    <w:rsid w:val="009A2E31"/>
    <w:rsid w:val="009A3C25"/>
    <w:rsid w:val="009B4441"/>
    <w:rsid w:val="009B64B9"/>
    <w:rsid w:val="009C6658"/>
    <w:rsid w:val="009C7688"/>
    <w:rsid w:val="009D216B"/>
    <w:rsid w:val="009E4B99"/>
    <w:rsid w:val="009F1932"/>
    <w:rsid w:val="00A214FF"/>
    <w:rsid w:val="00A35E01"/>
    <w:rsid w:val="00A40484"/>
    <w:rsid w:val="00A4106A"/>
    <w:rsid w:val="00A41B47"/>
    <w:rsid w:val="00A431BA"/>
    <w:rsid w:val="00A4747C"/>
    <w:rsid w:val="00A56DD3"/>
    <w:rsid w:val="00A636AE"/>
    <w:rsid w:val="00A71887"/>
    <w:rsid w:val="00A731E5"/>
    <w:rsid w:val="00A73D51"/>
    <w:rsid w:val="00A76885"/>
    <w:rsid w:val="00A86FA9"/>
    <w:rsid w:val="00A8779C"/>
    <w:rsid w:val="00A87F04"/>
    <w:rsid w:val="00AA58BF"/>
    <w:rsid w:val="00AB1B34"/>
    <w:rsid w:val="00AB2D5B"/>
    <w:rsid w:val="00AC10F7"/>
    <w:rsid w:val="00AE50FE"/>
    <w:rsid w:val="00AF2BDE"/>
    <w:rsid w:val="00AF6AAE"/>
    <w:rsid w:val="00B005BC"/>
    <w:rsid w:val="00B10333"/>
    <w:rsid w:val="00B139E8"/>
    <w:rsid w:val="00B1451C"/>
    <w:rsid w:val="00B42675"/>
    <w:rsid w:val="00B44AD1"/>
    <w:rsid w:val="00B4514F"/>
    <w:rsid w:val="00B531F3"/>
    <w:rsid w:val="00B6303B"/>
    <w:rsid w:val="00B82311"/>
    <w:rsid w:val="00B85DAD"/>
    <w:rsid w:val="00B86C4F"/>
    <w:rsid w:val="00B91774"/>
    <w:rsid w:val="00BA618B"/>
    <w:rsid w:val="00BA7CB9"/>
    <w:rsid w:val="00BB025C"/>
    <w:rsid w:val="00BB14E2"/>
    <w:rsid w:val="00BB3A7F"/>
    <w:rsid w:val="00BB5660"/>
    <w:rsid w:val="00BB56A2"/>
    <w:rsid w:val="00BC1FE7"/>
    <w:rsid w:val="00BD0899"/>
    <w:rsid w:val="00BE2552"/>
    <w:rsid w:val="00BE2DFA"/>
    <w:rsid w:val="00BE57DA"/>
    <w:rsid w:val="00BF4D53"/>
    <w:rsid w:val="00C02544"/>
    <w:rsid w:val="00C1207A"/>
    <w:rsid w:val="00C14C5F"/>
    <w:rsid w:val="00C459E5"/>
    <w:rsid w:val="00C45F68"/>
    <w:rsid w:val="00C465E9"/>
    <w:rsid w:val="00C4724C"/>
    <w:rsid w:val="00C630CA"/>
    <w:rsid w:val="00C65807"/>
    <w:rsid w:val="00C776BC"/>
    <w:rsid w:val="00C86624"/>
    <w:rsid w:val="00C91F7F"/>
    <w:rsid w:val="00C95E00"/>
    <w:rsid w:val="00C96670"/>
    <w:rsid w:val="00CA763F"/>
    <w:rsid w:val="00CB073C"/>
    <w:rsid w:val="00CC532F"/>
    <w:rsid w:val="00CD02CA"/>
    <w:rsid w:val="00CD7E69"/>
    <w:rsid w:val="00CE2480"/>
    <w:rsid w:val="00CF0630"/>
    <w:rsid w:val="00D004E0"/>
    <w:rsid w:val="00D013DE"/>
    <w:rsid w:val="00D05CDA"/>
    <w:rsid w:val="00D21F56"/>
    <w:rsid w:val="00D25006"/>
    <w:rsid w:val="00D42D93"/>
    <w:rsid w:val="00D43D03"/>
    <w:rsid w:val="00D46E55"/>
    <w:rsid w:val="00D52FB3"/>
    <w:rsid w:val="00D641D9"/>
    <w:rsid w:val="00D72F0C"/>
    <w:rsid w:val="00D74E3D"/>
    <w:rsid w:val="00D82631"/>
    <w:rsid w:val="00D84261"/>
    <w:rsid w:val="00D84389"/>
    <w:rsid w:val="00D9351C"/>
    <w:rsid w:val="00D976E3"/>
    <w:rsid w:val="00DA0A46"/>
    <w:rsid w:val="00DA1C9C"/>
    <w:rsid w:val="00DA5A01"/>
    <w:rsid w:val="00DA5FBD"/>
    <w:rsid w:val="00DA66FF"/>
    <w:rsid w:val="00DB60C7"/>
    <w:rsid w:val="00DC4354"/>
    <w:rsid w:val="00DC6ECD"/>
    <w:rsid w:val="00DC7725"/>
    <w:rsid w:val="00DD1E43"/>
    <w:rsid w:val="00DD5F42"/>
    <w:rsid w:val="00DE1F08"/>
    <w:rsid w:val="00DF7AAB"/>
    <w:rsid w:val="00E01B59"/>
    <w:rsid w:val="00E02C3C"/>
    <w:rsid w:val="00E060BD"/>
    <w:rsid w:val="00E06303"/>
    <w:rsid w:val="00E07014"/>
    <w:rsid w:val="00E1123E"/>
    <w:rsid w:val="00E16FE0"/>
    <w:rsid w:val="00E26865"/>
    <w:rsid w:val="00E309A7"/>
    <w:rsid w:val="00E3177C"/>
    <w:rsid w:val="00E33528"/>
    <w:rsid w:val="00E342DA"/>
    <w:rsid w:val="00E51DEC"/>
    <w:rsid w:val="00E5423B"/>
    <w:rsid w:val="00E54C18"/>
    <w:rsid w:val="00E70EF7"/>
    <w:rsid w:val="00E71699"/>
    <w:rsid w:val="00E80235"/>
    <w:rsid w:val="00E833D6"/>
    <w:rsid w:val="00EA2422"/>
    <w:rsid w:val="00EA7EF8"/>
    <w:rsid w:val="00ED3CAD"/>
    <w:rsid w:val="00EE1D23"/>
    <w:rsid w:val="00EF35D9"/>
    <w:rsid w:val="00EF53AE"/>
    <w:rsid w:val="00F03AB4"/>
    <w:rsid w:val="00F03D78"/>
    <w:rsid w:val="00F07750"/>
    <w:rsid w:val="00F10230"/>
    <w:rsid w:val="00F16E94"/>
    <w:rsid w:val="00F245D6"/>
    <w:rsid w:val="00F316DE"/>
    <w:rsid w:val="00F413C0"/>
    <w:rsid w:val="00F45517"/>
    <w:rsid w:val="00F46E6E"/>
    <w:rsid w:val="00F51E4E"/>
    <w:rsid w:val="00F75D60"/>
    <w:rsid w:val="00F76CDD"/>
    <w:rsid w:val="00F819B1"/>
    <w:rsid w:val="00F8675C"/>
    <w:rsid w:val="00F92927"/>
    <w:rsid w:val="00F930AC"/>
    <w:rsid w:val="00F96C7F"/>
    <w:rsid w:val="00FA3CAD"/>
    <w:rsid w:val="00FA5F5A"/>
    <w:rsid w:val="00FC468E"/>
    <w:rsid w:val="00FC55F0"/>
    <w:rsid w:val="00FD6F31"/>
    <w:rsid w:val="00FD7405"/>
    <w:rsid w:val="00FE0BC2"/>
    <w:rsid w:val="00FE2630"/>
    <w:rsid w:val="00FE4B35"/>
    <w:rsid w:val="00FE4BEB"/>
    <w:rsid w:val="00FF1113"/>
    <w:rsid w:val="00FF1A79"/>
    <w:rsid w:val="021756D2"/>
    <w:rsid w:val="034C55E3"/>
    <w:rsid w:val="047A58E7"/>
    <w:rsid w:val="0CE903AE"/>
    <w:rsid w:val="0FD21ABE"/>
    <w:rsid w:val="13C77B20"/>
    <w:rsid w:val="15AD61BD"/>
    <w:rsid w:val="16241C40"/>
    <w:rsid w:val="175F4C8A"/>
    <w:rsid w:val="17BD399E"/>
    <w:rsid w:val="1AA6720E"/>
    <w:rsid w:val="1B3E4C08"/>
    <w:rsid w:val="1C654A47"/>
    <w:rsid w:val="206B5D4C"/>
    <w:rsid w:val="230E5CC6"/>
    <w:rsid w:val="268D0A19"/>
    <w:rsid w:val="269D370F"/>
    <w:rsid w:val="26FF6B85"/>
    <w:rsid w:val="2BBC6654"/>
    <w:rsid w:val="2DA804AE"/>
    <w:rsid w:val="31AB3779"/>
    <w:rsid w:val="31AC4E1A"/>
    <w:rsid w:val="3A5F4E01"/>
    <w:rsid w:val="3E1A3DFF"/>
    <w:rsid w:val="427E5CEA"/>
    <w:rsid w:val="45484557"/>
    <w:rsid w:val="454A036A"/>
    <w:rsid w:val="455C4817"/>
    <w:rsid w:val="468A200B"/>
    <w:rsid w:val="46A82764"/>
    <w:rsid w:val="474B436C"/>
    <w:rsid w:val="4C3D2BCA"/>
    <w:rsid w:val="50BB0953"/>
    <w:rsid w:val="520C2F41"/>
    <w:rsid w:val="56175BB2"/>
    <w:rsid w:val="5B3C4867"/>
    <w:rsid w:val="5B94547C"/>
    <w:rsid w:val="5E184714"/>
    <w:rsid w:val="5FE944E3"/>
    <w:rsid w:val="62AC5794"/>
    <w:rsid w:val="676974F7"/>
    <w:rsid w:val="69627496"/>
    <w:rsid w:val="7056252A"/>
    <w:rsid w:val="70E87467"/>
    <w:rsid w:val="72594A75"/>
    <w:rsid w:val="74591EBA"/>
    <w:rsid w:val="763247F4"/>
    <w:rsid w:val="79C9157F"/>
    <w:rsid w:val="7C86017E"/>
    <w:rsid w:val="7E276518"/>
    <w:rsid w:val="7FA8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5">
    <w:name w:val="FollowedHyperlink"/>
    <w:basedOn w:val="4"/>
    <w:unhideWhenUsed/>
    <w:qFormat/>
    <w:uiPriority w:val="0"/>
    <w:rPr>
      <w:color w:val="0000FF"/>
      <w:u w:val="single"/>
    </w:rPr>
  </w:style>
  <w:style w:type="character" w:styleId="6">
    <w:name w:val="Hyperlink"/>
    <w:basedOn w:val="4"/>
    <w:unhideWhenUsed/>
    <w:qFormat/>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character" w:customStyle="1" w:styleId="10">
    <w:name w:val="realnamemulti"/>
    <w:basedOn w:val="4"/>
    <w:qFormat/>
    <w:uiPriority w:val="0"/>
    <w:rPr>
      <w:b/>
      <w:color w:val="51C802"/>
      <w:u w:val="single"/>
    </w:rPr>
  </w:style>
  <w:style w:type="character" w:customStyle="1" w:styleId="11">
    <w:name w:val="realname"/>
    <w:basedOn w:val="4"/>
    <w:qFormat/>
    <w:uiPriority w:val="0"/>
    <w:rPr>
      <w:b/>
      <w:color w:val="159AD2"/>
    </w:rPr>
  </w:style>
  <w:style w:type="character" w:customStyle="1" w:styleId="12">
    <w:name w:val="realname1"/>
    <w:basedOn w:val="4"/>
    <w:qFormat/>
    <w:uiPriority w:val="0"/>
    <w:rPr>
      <w:b/>
      <w:color w:val="159AD2"/>
    </w:rPr>
  </w:style>
  <w:style w:type="character" w:customStyle="1" w:styleId="13">
    <w:name w:val="realname2"/>
    <w:basedOn w:val="4"/>
    <w:qFormat/>
    <w:uiPriority w:val="0"/>
    <w:rPr>
      <w:b/>
      <w:color w:val="51C802"/>
    </w:rPr>
  </w:style>
  <w:style w:type="character" w:customStyle="1" w:styleId="14">
    <w:name w:val="realname3"/>
    <w:basedOn w:val="4"/>
    <w:qFormat/>
    <w:uiPriority w:val="0"/>
    <w:rPr>
      <w:b/>
      <w:color w:val="51C802"/>
    </w:rPr>
  </w:style>
  <w:style w:type="character" w:customStyle="1" w:styleId="15">
    <w:name w:val="time"/>
    <w:basedOn w:val="4"/>
    <w:qFormat/>
    <w:uiPriority w:val="0"/>
    <w:rPr>
      <w:color w:val="AFAFAF"/>
    </w:rPr>
  </w:style>
  <w:style w:type="character" w:customStyle="1" w:styleId="16">
    <w:name w:val="time1"/>
    <w:basedOn w:val="4"/>
    <w:qFormat/>
    <w:uiPriority w:val="0"/>
    <w:rPr>
      <w:color w:val="AFAFAF"/>
    </w:rPr>
  </w:style>
  <w:style w:type="character" w:customStyle="1" w:styleId="17">
    <w:name w:val="time2"/>
    <w:basedOn w:val="4"/>
    <w:qFormat/>
    <w:uiPriority w:val="0"/>
    <w:rPr>
      <w:color w:val="AFAFAF"/>
    </w:rPr>
  </w:style>
  <w:style w:type="character" w:customStyle="1" w:styleId="18">
    <w:name w:val="time3"/>
    <w:basedOn w:val="4"/>
    <w:qFormat/>
    <w:uiPriority w:val="0"/>
    <w:rPr>
      <w:color w:val="AFAFA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6A0DE-5BF6-4E82-BDC3-0C6CAF66FD0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2629</Words>
  <Characters>14986</Characters>
  <Lines>124</Lines>
  <Paragraphs>35</Paragraphs>
  <ScaleCrop>false</ScaleCrop>
  <LinksUpToDate>false</LinksUpToDate>
  <CharactersWithSpaces>17580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2018-07-11T08:59:00Z</dcterms:created>
  <dc:creator>高司</dc:creator>
  <cp:lastModifiedBy>pc</cp:lastModifiedBy>
  <cp:lastPrinted>2020-08-12T06:39:00Z</cp:lastPrinted>
  <dcterms:modified xsi:type="dcterms:W3CDTF">2020-08-26T05:00:23Z</dcterms:modified>
  <dc:title>目 录</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