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eastAsia="黑体"/>
          <w:sz w:val="72"/>
          <w:szCs w:val="72"/>
        </w:rPr>
      </w:pPr>
    </w:p>
    <w:p>
      <w:pPr>
        <w:jc w:val="left"/>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大兴区</w:t>
      </w:r>
      <w:r>
        <w:rPr>
          <w:rFonts w:hint="eastAsia" w:ascii="黑体" w:eastAsia="黑体"/>
          <w:sz w:val="72"/>
          <w:szCs w:val="72"/>
          <w:lang w:eastAsia="zh-CN"/>
        </w:rPr>
        <w:t>经管站（本级）</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3</w:t>
      </w:r>
      <w:r>
        <w:rPr>
          <w:rFonts w:hint="eastAsia" w:ascii="黑体" w:eastAsia="黑体"/>
          <w:sz w:val="72"/>
          <w:szCs w:val="72"/>
        </w:rPr>
        <w:t>年度决算公开报表及说明</w:t>
      </w:r>
    </w:p>
    <w:p>
      <w:pPr>
        <w:jc w:val="center"/>
        <w:rPr>
          <w:rFonts w:hint="eastAsia" w:ascii="黑体" w:eastAsia="黑体"/>
          <w:sz w:val="52"/>
          <w:szCs w:val="52"/>
        </w:rPr>
      </w:pPr>
    </w:p>
    <w:p>
      <w:pPr>
        <w:jc w:val="center"/>
        <w:rPr>
          <w:rFonts w:ascii="黑体" w:eastAsia="黑体"/>
          <w:sz w:val="52"/>
          <w:szCs w:val="52"/>
        </w:rPr>
      </w:pPr>
      <w:bookmarkStart w:id="0" w:name="_GoBack"/>
      <w:bookmarkEnd w:id="0"/>
    </w:p>
    <w:p>
      <w:pPr>
        <w:rPr>
          <w:rFonts w:ascii="黑体" w:eastAsia="黑体"/>
          <w:sz w:val="52"/>
          <w:szCs w:val="52"/>
        </w:rPr>
        <w:sectPr>
          <w:pgSz w:w="16838" w:h="11906" w:orient="landscape"/>
          <w:pgMar w:top="1134" w:right="1134" w:bottom="1134" w:left="1134" w:header="851" w:footer="992" w:gutter="0"/>
          <w:cols w:space="0" w:num="1"/>
          <w:rtlGutter w:val="0"/>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决算公开情况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tabs>
          <w:tab w:val="center" w:pos="6979"/>
        </w:tabs>
        <w:spacing w:before="156" w:beforeLines="50" w:after="156" w:afterLines="50"/>
        <w:jc w:val="left"/>
        <w:rPr>
          <w:rFonts w:hint="eastAsia" w:ascii="宋体" w:hAnsi="宋体" w:eastAsia="仿宋_GB2312" w:cs="宋体"/>
          <w:b/>
          <w:bCs/>
          <w:spacing w:val="40"/>
          <w:kern w:val="0"/>
          <w:sz w:val="44"/>
          <w:szCs w:val="44"/>
          <w:lang w:eastAsia="zh-CN"/>
        </w:rPr>
      </w:pPr>
      <w:r>
        <w:rPr>
          <w:rFonts w:ascii="宋体" w:hAnsi="宋体" w:cs="宋体"/>
          <w:b/>
          <w:bCs/>
          <w:spacing w:val="40"/>
          <w:kern w:val="0"/>
          <w:sz w:val="44"/>
          <w:szCs w:val="44"/>
        </w:rPr>
        <w:t xml:space="preserve"> </w:t>
      </w:r>
      <w:r>
        <w:rPr>
          <w:rFonts w:hint="eastAsia" w:ascii="宋体" w:hAnsi="宋体" w:cs="宋体"/>
          <w:b/>
          <w:bCs/>
          <w:spacing w:val="40"/>
          <w:kern w:val="0"/>
          <w:sz w:val="44"/>
          <w:szCs w:val="44"/>
          <w:lang w:val="en-US" w:eastAsia="zh-CN"/>
        </w:rPr>
        <w:t xml:space="preserve">    </w:t>
      </w:r>
      <w:r>
        <w:rPr>
          <w:rFonts w:hint="eastAsia" w:ascii="仿宋_GB2312" w:hAnsi="宋体" w:eastAsia="仿宋_GB2312" w:cs="宋体"/>
          <w:bCs/>
          <w:spacing w:val="40"/>
          <w:kern w:val="0"/>
          <w:sz w:val="32"/>
          <w:szCs w:val="32"/>
        </w:rPr>
        <w:t>报表详见附件</w:t>
      </w:r>
      <w:r>
        <w:rPr>
          <w:rFonts w:hint="eastAsia" w:ascii="仿宋_GB2312" w:hAnsi="宋体" w:eastAsia="仿宋_GB2312" w:cs="宋体"/>
          <w:bCs/>
          <w:spacing w:val="40"/>
          <w:kern w:val="0"/>
          <w:sz w:val="32"/>
          <w:szCs w:val="32"/>
          <w:lang w:eastAsia="zh-CN"/>
        </w:rPr>
        <w:t>。</w:t>
      </w:r>
    </w:p>
    <w:p>
      <w:pPr>
        <w:tabs>
          <w:tab w:val="center" w:pos="6979"/>
        </w:tabs>
        <w:spacing w:before="156" w:beforeLines="50" w:after="156" w:afterLines="50"/>
        <w:rPr>
          <w:rFonts w:hint="eastAsia" w:ascii="仿宋_GB2312" w:hAnsi="宋体" w:eastAsia="仿宋_GB2312" w:cs="宋体"/>
          <w:bCs/>
          <w:spacing w:val="40"/>
          <w:kern w:val="0"/>
          <w:sz w:val="32"/>
          <w:szCs w:val="32"/>
        </w:rPr>
      </w:pPr>
    </w:p>
    <w:p>
      <w:pPr>
        <w:tabs>
          <w:tab w:val="center" w:pos="6979"/>
        </w:tabs>
        <w:jc w:val="both"/>
        <w:rPr>
          <w:rFonts w:ascii="宋体" w:hAnsi="宋体" w:cs="宋体"/>
          <w:b/>
          <w:bCs/>
          <w:spacing w:val="40"/>
          <w:kern w:val="0"/>
          <w:sz w:val="32"/>
          <w:szCs w:val="32"/>
        </w:rPr>
        <w:sectPr>
          <w:footerReference r:id="rId3" w:type="default"/>
          <w:pgSz w:w="16838" w:h="11906" w:orient="landscape"/>
          <w:pgMar w:top="1134" w:right="1134" w:bottom="1134" w:left="1134" w:header="851" w:footer="992" w:gutter="0"/>
          <w:cols w:space="720" w:num="1"/>
          <w:rtlGutter w:val="0"/>
          <w:docGrid w:type="linesAndChars" w:linePitch="312" w:charSpace="0"/>
        </w:sectPr>
      </w:pPr>
    </w:p>
    <w:p>
      <w:pPr>
        <w:tabs>
          <w:tab w:val="center" w:pos="6979"/>
        </w:tabs>
        <w:spacing w:before="156" w:beforeLines="50" w:after="156" w:afterLines="50"/>
        <w:ind w:firstLine="4012" w:firstLineChars="1000"/>
        <w:jc w:val="both"/>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一、部门/单位基本情况</w:t>
      </w:r>
    </w:p>
    <w:p>
      <w:pPr>
        <w:ind w:firstLine="560" w:firstLineChars="200"/>
        <w:rPr>
          <w:sz w:val="28"/>
          <w:szCs w:val="28"/>
        </w:rPr>
      </w:pPr>
      <w:r>
        <w:rPr>
          <w:rFonts w:hint="eastAsia" w:ascii="仿宋_GB2312" w:hAnsi="仿宋_GB2312" w:eastAsia="仿宋_GB2312" w:cs="仿宋_GB2312"/>
          <w:sz w:val="28"/>
          <w:szCs w:val="28"/>
        </w:rPr>
        <w:t>北京市大兴区农村合作经济经营管理站（简称</w:t>
      </w:r>
      <w:r>
        <w:rPr>
          <w:rFonts w:hint="eastAsia" w:ascii="仿宋_GB2312" w:hAnsi="仿宋_GB2312" w:eastAsia="仿宋_GB2312" w:cs="仿宋_GB2312"/>
          <w:sz w:val="28"/>
          <w:szCs w:val="28"/>
          <w:lang w:eastAsia="zh-CN"/>
        </w:rPr>
        <w:t>大兴区</w:t>
      </w:r>
      <w:r>
        <w:rPr>
          <w:rFonts w:hint="eastAsia" w:ascii="仿宋_GB2312" w:hAnsi="仿宋_GB2312" w:eastAsia="仿宋_GB2312" w:cs="仿宋_GB2312"/>
          <w:sz w:val="28"/>
          <w:szCs w:val="28"/>
        </w:rPr>
        <w:t>经管站）</w:t>
      </w:r>
      <w:r>
        <w:rPr>
          <w:rFonts w:hint="eastAsia" w:ascii="仿宋_GB2312" w:hAnsi="仿宋_GB2312" w:eastAsia="仿宋_GB2312" w:cs="仿宋_GB2312"/>
          <w:sz w:val="28"/>
          <w:szCs w:val="28"/>
          <w:lang w:eastAsia="zh-CN"/>
        </w:rPr>
        <w:t>为公益一类事业单位，人员编制数</w:t>
      </w:r>
      <w:r>
        <w:rPr>
          <w:rFonts w:hint="eastAsia" w:ascii="仿宋_GB2312" w:hAnsi="仿宋_GB2312" w:eastAsia="仿宋_GB2312" w:cs="仿宋_GB2312"/>
          <w:sz w:val="28"/>
          <w:szCs w:val="28"/>
          <w:lang w:val="en-US" w:eastAsia="zh-CN"/>
        </w:rPr>
        <w:t>51人，2023年年末在职实有人数35人。</w:t>
      </w:r>
      <w:r>
        <w:rPr>
          <w:rFonts w:hint="eastAsia" w:ascii="仿宋_GB2312" w:hAnsi="仿宋_GB2312" w:eastAsia="仿宋_GB2312" w:cs="仿宋_GB2312"/>
          <w:sz w:val="28"/>
          <w:szCs w:val="28"/>
          <w:lang w:eastAsia="zh-CN"/>
        </w:rPr>
        <w:t>内设</w:t>
      </w:r>
      <w:r>
        <w:rPr>
          <w:rFonts w:hint="eastAsia" w:ascii="仿宋_GB2312" w:hAnsi="仿宋_GB2312" w:eastAsia="仿宋_GB2312" w:cs="仿宋_GB2312"/>
          <w:sz w:val="28"/>
          <w:szCs w:val="28"/>
          <w:lang w:val="en-US" w:eastAsia="zh-CN"/>
        </w:rPr>
        <w:t>8个</w:t>
      </w:r>
      <w:r>
        <w:rPr>
          <w:rFonts w:hint="eastAsia" w:ascii="仿宋_GB2312" w:hAnsi="仿宋_GB2312" w:eastAsia="仿宋_GB2312" w:cs="仿宋_GB2312"/>
          <w:sz w:val="28"/>
          <w:szCs w:val="28"/>
          <w:lang w:eastAsia="zh-CN"/>
        </w:rPr>
        <w:t>科室：</w:t>
      </w:r>
      <w:r>
        <w:rPr>
          <w:rFonts w:hint="eastAsia" w:ascii="仿宋_GB2312" w:hAnsi="仿宋_GB2312" w:eastAsia="仿宋_GB2312" w:cs="仿宋_GB2312"/>
          <w:sz w:val="28"/>
          <w:szCs w:val="28"/>
        </w:rPr>
        <w:t>办公室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人教科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村级集体资产指导科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镇级集体资产指导科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农村土地承包合同管理科（大兴区农业承包合同仲裁委员会办公室)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农村财务审计科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农民专业合作社管理和统计科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农村管理信息化办公室</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大兴</w:t>
      </w:r>
      <w:r>
        <w:rPr>
          <w:rFonts w:hint="eastAsia" w:ascii="仿宋_GB2312" w:hAnsi="仿宋_GB2312" w:eastAsia="仿宋_GB2312" w:cs="仿宋_GB2312"/>
          <w:sz w:val="28"/>
          <w:szCs w:val="28"/>
        </w:rPr>
        <w:t>区经管站主要职责是：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（一）宣传和贯彻执行国家、北京市关于农村合作经济经营管理的法律、法规、规章、政策，并协助区农业农村行政管理部门组织实施；负责开展农村合作经济经营方面调查研究，提出相关政策建议。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（二）承担镇、村集体资产管理和集体经济组织产权制度改革方面的辅助性、事务性、技术性工作。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（三）负责农村土地承包合同管理相关工作；接受区农业农村行政管理部门指导，组织开展农村土地承包经营纠纷调解与仲裁工作。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（四）承担农村财务管理和农村财务审计方面辅助性、事务性、技术性工作。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（五）负责农民专业合作组织建设、管理方面的辅助性、事务性、技术性工作；负责低收入农户监测工作；协助落实减轻农 民负担方面的政策法规。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（六）负责农村管理信息化工作。负责农村合作经济经营管理方面相关培训和统计等工作。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eastAsia="仿宋_GB2312"/>
          <w:kern w:val="0"/>
          <w:sz w:val="28"/>
          <w:szCs w:val="28"/>
        </w:rPr>
      </w:pPr>
      <w:r>
        <w:rPr>
          <w:rFonts w:hint="eastAsia" w:ascii="仿宋_GB2312" w:hAnsi="仿宋_GB2312" w:eastAsia="仿宋_GB2312" w:cs="仿宋_GB2312"/>
          <w:sz w:val="28"/>
          <w:szCs w:val="28"/>
        </w:rPr>
        <w:t>（七）承办区委、区政府交办的其他任务。</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spacing w:line="560" w:lineRule="exact"/>
        <w:ind w:firstLine="560" w:firstLineChars="200"/>
        <w:rPr>
          <w:rFonts w:hint="eastAsia" w:ascii="仿宋_GB2312" w:eastAsia="仿宋_GB2312"/>
          <w:sz w:val="28"/>
          <w:szCs w:val="28"/>
        </w:rPr>
      </w:pPr>
      <w:r>
        <w:rPr>
          <w:rFonts w:hint="eastAsia" w:ascii="仿宋_GB2312" w:eastAsia="仿宋_GB2312"/>
          <w:color w:val="000000"/>
          <w:sz w:val="28"/>
          <w:szCs w:val="28"/>
        </w:rPr>
        <w:t>从预算单位构成看，</w:t>
      </w:r>
      <w:r>
        <w:rPr>
          <w:rFonts w:hint="eastAsia" w:ascii="仿宋_GB2312" w:eastAsia="仿宋_GB2312"/>
          <w:color w:val="000000"/>
          <w:sz w:val="28"/>
          <w:szCs w:val="28"/>
          <w:lang w:eastAsia="zh-CN"/>
        </w:rPr>
        <w:t>大兴区经管站</w:t>
      </w:r>
      <w:r>
        <w:rPr>
          <w:rFonts w:hint="eastAsia" w:ascii="仿宋_GB2312" w:eastAsia="仿宋_GB2312"/>
          <w:color w:val="000000"/>
          <w:sz w:val="28"/>
          <w:szCs w:val="28"/>
        </w:rPr>
        <w:t>部门决算包括：</w:t>
      </w:r>
      <w:r>
        <w:rPr>
          <w:rFonts w:hint="eastAsia" w:ascii="仿宋_GB2312" w:eastAsia="仿宋_GB2312"/>
          <w:color w:val="000000"/>
          <w:sz w:val="28"/>
          <w:szCs w:val="28"/>
          <w:lang w:eastAsia="zh-CN"/>
        </w:rPr>
        <w:t>北京市大兴区农村合作经济经营管理站</w:t>
      </w:r>
      <w:r>
        <w:rPr>
          <w:rFonts w:hint="eastAsia" w:ascii="仿宋_GB2312" w:eastAsia="仿宋_GB2312"/>
          <w:color w:val="000000"/>
          <w:sz w:val="28"/>
          <w:szCs w:val="28"/>
        </w:rPr>
        <w:t>本级决算</w:t>
      </w:r>
      <w:r>
        <w:rPr>
          <w:rFonts w:hint="eastAsia" w:ascii="仿宋_GB2312" w:eastAsia="仿宋_GB2312"/>
          <w:color w:val="000000"/>
          <w:sz w:val="28"/>
          <w:szCs w:val="28"/>
          <w:lang w:eastAsia="zh-CN"/>
        </w:rPr>
        <w:t>，为一级预算单位，没有下级单位。</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年收</w:t>
      </w:r>
      <w:r>
        <w:rPr>
          <w:rFonts w:hint="eastAsia" w:ascii="仿宋_GB2312" w:eastAsia="仿宋_GB2312"/>
          <w:sz w:val="28"/>
          <w:szCs w:val="28"/>
          <w:lang w:eastAsia="zh-CN"/>
        </w:rPr>
        <w:t>入总计</w:t>
      </w:r>
      <w:r>
        <w:rPr>
          <w:rFonts w:hint="eastAsia" w:ascii="仿宋_GB2312" w:eastAsia="仿宋_GB2312"/>
          <w:sz w:val="28"/>
          <w:szCs w:val="28"/>
          <w:lang w:val="en-US" w:eastAsia="zh-CN"/>
        </w:rPr>
        <w:t>2085.80</w:t>
      </w:r>
      <w:r>
        <w:rPr>
          <w:rFonts w:hint="eastAsia" w:ascii="仿宋_GB2312" w:eastAsia="仿宋_GB2312"/>
          <w:sz w:val="28"/>
          <w:szCs w:val="28"/>
        </w:rPr>
        <w:t>万元，</w:t>
      </w:r>
      <w:r>
        <w:rPr>
          <w:rFonts w:hint="eastAsia" w:ascii="仿宋_GB2312" w:eastAsia="仿宋_GB2312"/>
          <w:sz w:val="28"/>
          <w:szCs w:val="28"/>
          <w:lang w:val="en-US" w:eastAsia="zh-CN"/>
        </w:rPr>
        <w:t>2022年收入总计1812.63万元，</w:t>
      </w:r>
      <w:r>
        <w:rPr>
          <w:rFonts w:ascii="仿宋_GB2312" w:eastAsia="仿宋_GB2312"/>
          <w:sz w:val="28"/>
          <w:szCs w:val="28"/>
        </w:rPr>
        <w:t>比上年</w:t>
      </w:r>
      <w:r>
        <w:rPr>
          <w:rFonts w:hint="eastAsia" w:ascii="仿宋_GB2312" w:eastAsia="仿宋_GB2312"/>
          <w:sz w:val="28"/>
          <w:szCs w:val="28"/>
          <w:lang w:eastAsia="zh-CN"/>
        </w:rPr>
        <w:t>总收入增加</w:t>
      </w:r>
      <w:r>
        <w:rPr>
          <w:rFonts w:hint="eastAsia" w:ascii="仿宋_GB2312" w:eastAsia="仿宋_GB2312"/>
          <w:sz w:val="28"/>
          <w:szCs w:val="28"/>
          <w:lang w:val="en-US" w:eastAsia="zh-CN"/>
        </w:rPr>
        <w:t>273.17万元</w:t>
      </w:r>
      <w:r>
        <w:rPr>
          <w:rFonts w:hint="eastAsia" w:ascii="仿宋_GB2312" w:eastAsia="仿宋_GB2312"/>
          <w:sz w:val="28"/>
          <w:szCs w:val="28"/>
        </w:rPr>
        <w:t>，</w:t>
      </w:r>
      <w:r>
        <w:rPr>
          <w:rFonts w:hint="eastAsia" w:ascii="仿宋_GB2312" w:eastAsia="仿宋_GB2312"/>
          <w:sz w:val="28"/>
          <w:szCs w:val="28"/>
          <w:lang w:eastAsia="zh-CN"/>
        </w:rPr>
        <w:t>增长</w:t>
      </w:r>
      <w:r>
        <w:rPr>
          <w:rFonts w:hint="eastAsia" w:ascii="仿宋_GB2312" w:eastAsia="仿宋_GB2312"/>
          <w:sz w:val="28"/>
          <w:szCs w:val="28"/>
          <w:lang w:val="en-US" w:eastAsia="zh-CN"/>
        </w:rPr>
        <w:t>15.07</w:t>
      </w:r>
      <w:r>
        <w:rPr>
          <w:rFonts w:hint="eastAsia" w:ascii="仿宋_GB2312" w:eastAsia="仿宋_GB2312"/>
          <w:sz w:val="28"/>
          <w:szCs w:val="28"/>
        </w:rPr>
        <w:t>%</w:t>
      </w:r>
      <w:r>
        <w:rPr>
          <w:rFonts w:hint="eastAsia" w:ascii="仿宋_GB2312" w:eastAsia="仿宋_GB2312"/>
          <w:sz w:val="28"/>
          <w:szCs w:val="28"/>
          <w:lang w:eastAsia="zh-CN"/>
        </w:rPr>
        <w:t>，主要原因是今年项目安排多于去年及人员薪酬变化所致</w:t>
      </w:r>
      <w:r>
        <w:rPr>
          <w:rFonts w:hint="eastAsia" w:ascii="仿宋_GB2312" w:eastAsia="仿宋_GB2312"/>
          <w:sz w:val="28"/>
          <w:szCs w:val="28"/>
        </w:rPr>
        <w:t>。</w:t>
      </w:r>
      <w:r>
        <w:rPr>
          <w:rFonts w:hint="eastAsia" w:ascii="仿宋_GB2312" w:eastAsia="仿宋_GB2312"/>
          <w:sz w:val="28"/>
          <w:szCs w:val="28"/>
          <w:lang w:val="en-US" w:eastAsia="zh-CN"/>
        </w:rPr>
        <w:t>2023年支出总计2085.80万元，包括本年支出合计2085.80万元，年末结转结余0万元，2022年支出总计1812.63万元，比上年增加273.17万元，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15.07</w:t>
      </w:r>
      <w:r>
        <w:rPr>
          <w:rFonts w:hint="eastAsia" w:ascii="仿宋_GB2312" w:eastAsia="仿宋_GB2312"/>
          <w:sz w:val="28"/>
          <w:szCs w:val="28"/>
        </w:rPr>
        <w:t>%</w:t>
      </w:r>
      <w:r>
        <w:rPr>
          <w:rFonts w:hint="eastAsia" w:ascii="仿宋_GB2312" w:eastAsia="仿宋_GB2312"/>
          <w:sz w:val="28"/>
          <w:szCs w:val="28"/>
          <w:lang w:eastAsia="zh-CN"/>
        </w:rPr>
        <w:t>，主要原因是今年项目支出多于去年及人员薪酬变化所致。</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hint="eastAsia" w:ascii="仿宋_GB2312" w:eastAsia="仿宋_GB2312"/>
          <w:sz w:val="28"/>
          <w:szCs w:val="28"/>
          <w:lang w:val="en-US" w:eastAsia="zh-CN"/>
        </w:rPr>
        <w:t>2085.80</w:t>
      </w:r>
      <w:r>
        <w:rPr>
          <w:rFonts w:hint="eastAsia" w:ascii="仿宋_GB2312" w:eastAsia="仿宋_GB2312"/>
          <w:sz w:val="28"/>
          <w:szCs w:val="28"/>
        </w:rPr>
        <w:t>万元，</w:t>
      </w:r>
      <w:r>
        <w:rPr>
          <w:rFonts w:hint="eastAsia" w:ascii="仿宋_GB2312" w:eastAsia="仿宋_GB2312"/>
          <w:sz w:val="28"/>
          <w:szCs w:val="28"/>
          <w:lang w:val="en-US" w:eastAsia="zh-CN"/>
        </w:rPr>
        <w:t>2022年收入总计1812.63万元,比上年增加273.17万元，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15.07</w:t>
      </w:r>
      <w:r>
        <w:rPr>
          <w:rFonts w:hint="eastAsia" w:ascii="仿宋_GB2312" w:eastAsia="仿宋_GB2312"/>
          <w:sz w:val="28"/>
          <w:szCs w:val="28"/>
        </w:rPr>
        <w:t>%，</w:t>
      </w:r>
      <w:r>
        <w:rPr>
          <w:rFonts w:hint="eastAsia" w:ascii="仿宋_GB2312" w:eastAsia="仿宋_GB2312"/>
          <w:sz w:val="28"/>
          <w:szCs w:val="28"/>
          <w:lang w:eastAsia="zh-CN"/>
        </w:rPr>
        <w:t>主要原因：一是今年项目安排多于上年；二是社保、公积金基数调整及人员增减变化调资致人员经费较上年减少。</w:t>
      </w:r>
      <w:r>
        <w:rPr>
          <w:rFonts w:hint="eastAsia" w:ascii="仿宋_GB2312" w:eastAsia="仿宋_GB2312"/>
          <w:sz w:val="28"/>
          <w:szCs w:val="28"/>
        </w:rPr>
        <w:t>其中：</w:t>
      </w:r>
    </w:p>
    <w:p>
      <w:pPr>
        <w:numPr>
          <w:ilvl w:val="0"/>
          <w:numId w:val="1"/>
        </w:num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财政拨款收入</w:t>
      </w:r>
      <w:r>
        <w:rPr>
          <w:rFonts w:hint="eastAsia" w:ascii="仿宋_GB2312" w:eastAsia="仿宋_GB2312"/>
          <w:sz w:val="28"/>
          <w:szCs w:val="28"/>
          <w:lang w:val="en-US" w:eastAsia="zh-CN"/>
        </w:rPr>
        <w:t>2085.80</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。其中：一般公共预算财政拨款收入</w:t>
      </w:r>
      <w:r>
        <w:rPr>
          <w:rFonts w:hint="eastAsia" w:ascii="仿宋_GB2312" w:eastAsia="仿宋_GB2312"/>
          <w:sz w:val="28"/>
          <w:szCs w:val="28"/>
          <w:lang w:val="en-US" w:eastAsia="zh-CN"/>
        </w:rPr>
        <w:t>2085.8万元，占收入合计的100%；政府性基金预算财政拨款收0万元，占收入合计的0%；国有资本性经营预算财政拨款收入0万，占收入合计的100%。</w:t>
      </w:r>
    </w:p>
    <w:p>
      <w:pPr>
        <w:numPr>
          <w:ilvl w:val="0"/>
          <w:numId w:val="1"/>
        </w:numPr>
        <w:tabs>
          <w:tab w:val="center" w:pos="6979"/>
        </w:tabs>
        <w:spacing w:line="580" w:lineRule="exact"/>
        <w:ind w:firstLine="560" w:firstLineChars="0"/>
        <w:rPr>
          <w:rFonts w:hint="eastAsia" w:ascii="仿宋_GB2312" w:eastAsia="仿宋_GB2312"/>
          <w:sz w:val="28"/>
          <w:szCs w:val="28"/>
          <w:lang w:eastAsia="zh-CN"/>
        </w:rPr>
      </w:pPr>
      <w:r>
        <w:rPr>
          <w:rFonts w:hint="eastAsia" w:ascii="仿宋_GB2312" w:eastAsia="仿宋_GB2312"/>
          <w:sz w:val="28"/>
          <w:szCs w:val="28"/>
        </w:rPr>
        <w:t>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60" w:firstLineChars="0"/>
        <w:rPr>
          <w:rFonts w:hint="eastAsia" w:ascii="仿宋_GB2312" w:eastAsia="仿宋_GB2312"/>
          <w:sz w:val="28"/>
          <w:szCs w:val="28"/>
          <w:lang w:eastAsia="zh-CN"/>
        </w:rPr>
      </w:pPr>
      <w:r>
        <w:rPr>
          <w:rFonts w:hint="eastAsia" w:ascii="仿宋_GB2312" w:eastAsia="仿宋_GB2312"/>
          <w:sz w:val="28"/>
          <w:szCs w:val="28"/>
        </w:rPr>
        <w:t>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60" w:firstLineChars="0"/>
        <w:rPr>
          <w:rFonts w:ascii="仿宋_GB2312" w:eastAsia="仿宋_GB2312"/>
          <w:sz w:val="28"/>
          <w:szCs w:val="28"/>
        </w:rPr>
      </w:pPr>
      <w:r>
        <w:rPr>
          <w:rFonts w:hint="eastAsia" w:ascii="仿宋_GB2312" w:eastAsia="仿宋_GB2312"/>
          <w:sz w:val="28"/>
          <w:szCs w:val="28"/>
        </w:rPr>
        <w:t>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60" w:firstLineChars="0"/>
        <w:rPr>
          <w:rFonts w:ascii="仿宋_GB2312" w:eastAsia="仿宋_GB2312"/>
          <w:sz w:val="28"/>
          <w:szCs w:val="28"/>
        </w:rPr>
      </w:pPr>
      <w:r>
        <w:rPr>
          <w:rFonts w:hint="eastAsia" w:ascii="仿宋_GB2312" w:eastAsia="仿宋_GB2312"/>
          <w:sz w:val="28"/>
          <w:szCs w:val="28"/>
        </w:rPr>
        <w:t>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60" w:firstLineChars="0"/>
        <w:rPr>
          <w:rFonts w:ascii="仿宋_GB2312" w:eastAsia="仿宋_GB2312"/>
          <w:sz w:val="28"/>
          <w:szCs w:val="28"/>
        </w:rPr>
      </w:pPr>
      <w:r>
        <w:rPr>
          <w:rFonts w:hint="eastAsia" w:ascii="仿宋_GB2312" w:eastAsia="仿宋_GB2312"/>
          <w:sz w:val="28"/>
          <w:szCs w:val="28"/>
        </w:rPr>
        <w:t>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2085.80</w:t>
      </w:r>
      <w:r>
        <w:rPr>
          <w:rFonts w:hint="eastAsia" w:ascii="仿宋_GB2312" w:eastAsia="仿宋_GB2312"/>
          <w:sz w:val="28"/>
          <w:szCs w:val="28"/>
        </w:rPr>
        <w:t>万元，</w:t>
      </w:r>
      <w:r>
        <w:rPr>
          <w:rFonts w:hint="eastAsia" w:ascii="仿宋_GB2312" w:eastAsia="仿宋_GB2312"/>
          <w:sz w:val="28"/>
          <w:szCs w:val="28"/>
          <w:lang w:val="en-US" w:eastAsia="zh-CN"/>
        </w:rPr>
        <w:t>2022年支出合计1812.63万元,</w:t>
      </w:r>
      <w:r>
        <w:rPr>
          <w:rFonts w:ascii="仿宋_GB2312" w:eastAsia="仿宋_GB2312"/>
          <w:sz w:val="28"/>
          <w:szCs w:val="28"/>
        </w:rPr>
        <w:t>比上年</w:t>
      </w:r>
      <w:r>
        <w:rPr>
          <w:rFonts w:hint="eastAsia" w:ascii="仿宋_GB2312" w:eastAsia="仿宋_GB2312"/>
          <w:sz w:val="28"/>
          <w:szCs w:val="28"/>
          <w:lang w:val="en-US" w:eastAsia="zh-CN"/>
        </w:rPr>
        <w:t>增加273.17万元，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15.07</w:t>
      </w:r>
      <w:r>
        <w:rPr>
          <w:rFonts w:hint="eastAsia" w:ascii="仿宋_GB2312" w:eastAsia="仿宋_GB2312"/>
          <w:sz w:val="28"/>
          <w:szCs w:val="28"/>
        </w:rPr>
        <w:t>%，</w:t>
      </w:r>
      <w:r>
        <w:rPr>
          <w:rFonts w:hint="eastAsia" w:ascii="仿宋_GB2312" w:eastAsia="仿宋_GB2312"/>
          <w:sz w:val="28"/>
          <w:szCs w:val="28"/>
          <w:lang w:eastAsia="zh-CN"/>
        </w:rPr>
        <w:t>主要原因：一是今年项目支出多于去年；二是社保、公积金基数调整及人员增减变化调资致人员经费较上年减少。</w:t>
      </w:r>
      <w:r>
        <w:rPr>
          <w:rFonts w:hint="eastAsia" w:ascii="仿宋_GB2312" w:eastAsia="仿宋_GB2312"/>
          <w:sz w:val="28"/>
          <w:szCs w:val="28"/>
        </w:rPr>
        <w:t>其中：</w:t>
      </w:r>
    </w:p>
    <w:p>
      <w:pPr>
        <w:numPr>
          <w:ilvl w:val="0"/>
          <w:numId w:val="2"/>
        </w:num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基本支出</w:t>
      </w:r>
      <w:r>
        <w:rPr>
          <w:rFonts w:hint="eastAsia" w:ascii="仿宋_GB2312" w:eastAsia="仿宋_GB2312"/>
          <w:sz w:val="28"/>
          <w:szCs w:val="28"/>
          <w:lang w:val="en-US" w:eastAsia="zh-CN"/>
        </w:rPr>
        <w:t>1269.96</w:t>
      </w:r>
      <w:r>
        <w:rPr>
          <w:rFonts w:hint="eastAsia" w:ascii="仿宋_GB2312" w:eastAsia="仿宋_GB2312"/>
          <w:sz w:val="28"/>
          <w:szCs w:val="28"/>
        </w:rPr>
        <w:t>万元，占支出合计</w:t>
      </w:r>
      <w:r>
        <w:rPr>
          <w:rFonts w:hint="eastAsia" w:ascii="仿宋_GB2312" w:eastAsia="仿宋_GB2312"/>
          <w:sz w:val="28"/>
          <w:szCs w:val="28"/>
          <w:lang w:val="en-US" w:eastAsia="zh-CN"/>
        </w:rPr>
        <w:t>60.89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2"/>
        </w:numPr>
        <w:tabs>
          <w:tab w:val="center" w:pos="6979"/>
        </w:tabs>
        <w:spacing w:line="580" w:lineRule="exact"/>
        <w:ind w:firstLine="560" w:firstLineChars="0"/>
        <w:rPr>
          <w:rFonts w:hint="eastAsia" w:ascii="仿宋_GB2312" w:eastAsia="仿宋_GB2312"/>
          <w:sz w:val="28"/>
          <w:szCs w:val="28"/>
          <w:lang w:eastAsia="zh-CN"/>
        </w:rPr>
      </w:pPr>
      <w:r>
        <w:rPr>
          <w:rFonts w:hint="eastAsia" w:ascii="仿宋_GB2312" w:eastAsia="仿宋_GB2312"/>
          <w:sz w:val="28"/>
          <w:szCs w:val="28"/>
        </w:rPr>
        <w:t>项目支出</w:t>
      </w:r>
      <w:r>
        <w:rPr>
          <w:rFonts w:hint="eastAsia" w:ascii="仿宋_GB2312" w:eastAsia="仿宋_GB2312"/>
          <w:sz w:val="28"/>
          <w:szCs w:val="28"/>
          <w:lang w:val="en-US" w:eastAsia="zh-CN"/>
        </w:rPr>
        <w:t>815.84</w:t>
      </w:r>
      <w:r>
        <w:rPr>
          <w:rFonts w:hint="eastAsia" w:ascii="仿宋_GB2312" w:eastAsia="仿宋_GB2312"/>
          <w:sz w:val="28"/>
          <w:szCs w:val="28"/>
        </w:rPr>
        <w:t>万元，占支出合计的</w:t>
      </w:r>
      <w:r>
        <w:rPr>
          <w:rFonts w:hint="eastAsia" w:ascii="仿宋_GB2312" w:eastAsia="仿宋_GB2312"/>
          <w:sz w:val="28"/>
          <w:szCs w:val="28"/>
          <w:lang w:val="en-US" w:eastAsia="zh-CN"/>
        </w:rPr>
        <w:t>39.11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2"/>
        </w:numPr>
        <w:tabs>
          <w:tab w:val="center" w:pos="6979"/>
        </w:tabs>
        <w:spacing w:line="580" w:lineRule="exact"/>
        <w:ind w:firstLine="560" w:firstLineChars="0"/>
        <w:rPr>
          <w:rFonts w:hint="eastAsia" w:ascii="仿宋_GB2312" w:eastAsia="仿宋_GB2312"/>
          <w:sz w:val="28"/>
          <w:szCs w:val="28"/>
        </w:rPr>
      </w:pP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2"/>
        </w:numPr>
        <w:tabs>
          <w:tab w:val="center" w:pos="6979"/>
        </w:tabs>
        <w:spacing w:line="580" w:lineRule="exact"/>
        <w:ind w:firstLine="560" w:firstLineChars="0"/>
        <w:rPr>
          <w:rFonts w:hint="eastAsia" w:ascii="仿宋_GB2312" w:eastAsia="仿宋_GB2312"/>
          <w:sz w:val="28"/>
          <w:szCs w:val="28"/>
        </w:rPr>
      </w:pP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color w:val="auto"/>
          <w:sz w:val="28"/>
          <w:szCs w:val="28"/>
        </w:rPr>
        <w:t>四</w:t>
      </w:r>
      <w:r>
        <w:rPr>
          <w:rFonts w:ascii="黑体" w:eastAsia="黑体"/>
          <w:color w:val="auto"/>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年财政拨款收入总计</w:t>
      </w:r>
      <w:r>
        <w:rPr>
          <w:rFonts w:hint="eastAsia" w:ascii="仿宋_GB2312" w:eastAsia="仿宋_GB2312"/>
          <w:sz w:val="28"/>
          <w:szCs w:val="28"/>
          <w:lang w:val="en-US" w:eastAsia="zh-CN"/>
        </w:rPr>
        <w:t>2085.80万元</w:t>
      </w: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年财政拨款收入总计</w:t>
      </w:r>
      <w:r>
        <w:rPr>
          <w:rFonts w:hint="eastAsia" w:ascii="仿宋_GB2312" w:eastAsia="仿宋_GB2312"/>
          <w:sz w:val="28"/>
          <w:szCs w:val="28"/>
          <w:lang w:val="en-US" w:eastAsia="zh-CN"/>
        </w:rPr>
        <w:t>1812.63万元，</w:t>
      </w:r>
      <w:r>
        <w:rPr>
          <w:rFonts w:hint="eastAsia" w:ascii="仿宋_GB2312" w:eastAsia="仿宋_GB2312"/>
          <w:sz w:val="28"/>
          <w:szCs w:val="28"/>
        </w:rPr>
        <w:t>比上年</w:t>
      </w:r>
      <w:r>
        <w:rPr>
          <w:rFonts w:ascii="仿宋_GB2312" w:eastAsia="仿宋_GB2312"/>
          <w:sz w:val="28"/>
          <w:szCs w:val="28"/>
        </w:rPr>
        <w:t>增加</w:t>
      </w:r>
      <w:r>
        <w:rPr>
          <w:rFonts w:hint="eastAsia" w:ascii="仿宋_GB2312" w:eastAsia="仿宋_GB2312"/>
          <w:sz w:val="28"/>
          <w:szCs w:val="28"/>
          <w:lang w:val="en-US" w:eastAsia="zh-CN"/>
        </w:rPr>
        <w:t>273.17</w:t>
      </w:r>
      <w:r>
        <w:rPr>
          <w:rFonts w:hint="eastAsia" w:ascii="仿宋_GB2312" w:eastAsia="仿宋_GB2312"/>
          <w:sz w:val="28"/>
          <w:szCs w:val="28"/>
        </w:rPr>
        <w:t>万元，增长</w:t>
      </w:r>
      <w:r>
        <w:rPr>
          <w:rFonts w:hint="eastAsia" w:ascii="仿宋_GB2312" w:eastAsia="仿宋_GB2312"/>
          <w:sz w:val="28"/>
          <w:szCs w:val="28"/>
          <w:lang w:val="en-US" w:eastAsia="zh-CN"/>
        </w:rPr>
        <w:t>15.07</w:t>
      </w:r>
      <w:r>
        <w:rPr>
          <w:rFonts w:hint="eastAsia" w:ascii="仿宋_GB2312" w:eastAsia="仿宋_GB2312"/>
          <w:sz w:val="28"/>
          <w:szCs w:val="28"/>
        </w:rPr>
        <w:t>%。主要原因：</w:t>
      </w:r>
      <w:r>
        <w:rPr>
          <w:rFonts w:hint="eastAsia" w:ascii="仿宋_GB2312" w:eastAsia="仿宋_GB2312"/>
          <w:sz w:val="28"/>
          <w:szCs w:val="28"/>
          <w:lang w:eastAsia="zh-CN"/>
        </w:rPr>
        <w:t>一是今年项目安排多于去年；二是社保、公积金基数调整及人员增减变化调资致人员经费较上年减少。</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年财政拨款支出总计</w:t>
      </w:r>
      <w:r>
        <w:rPr>
          <w:rFonts w:hint="eastAsia" w:ascii="仿宋_GB2312" w:eastAsia="仿宋_GB2312"/>
          <w:sz w:val="28"/>
          <w:szCs w:val="28"/>
          <w:lang w:val="en-US" w:eastAsia="zh-CN"/>
        </w:rPr>
        <w:t>2085.80</w:t>
      </w:r>
      <w:r>
        <w:rPr>
          <w:rFonts w:hint="eastAsia" w:ascii="仿宋_GB2312" w:eastAsia="仿宋_GB2312"/>
          <w:sz w:val="28"/>
          <w:szCs w:val="28"/>
        </w:rPr>
        <w:t>万元，</w:t>
      </w:r>
      <w:r>
        <w:rPr>
          <w:rFonts w:hint="eastAsia" w:ascii="仿宋_GB2312" w:eastAsia="仿宋_GB2312"/>
          <w:sz w:val="28"/>
          <w:szCs w:val="28"/>
          <w:lang w:val="en-US" w:eastAsia="zh-CN"/>
        </w:rPr>
        <w:t>包括本年支出合计2085.80万元，年末财政拨款结转结余0万元，支出总计</w:t>
      </w:r>
      <w:r>
        <w:rPr>
          <w:rFonts w:hint="eastAsia" w:ascii="仿宋_GB2312" w:eastAsia="仿宋_GB2312"/>
          <w:sz w:val="28"/>
          <w:szCs w:val="28"/>
        </w:rPr>
        <w:t>比上年</w:t>
      </w:r>
      <w:r>
        <w:rPr>
          <w:rFonts w:ascii="仿宋_GB2312" w:eastAsia="仿宋_GB2312"/>
          <w:sz w:val="28"/>
          <w:szCs w:val="28"/>
        </w:rPr>
        <w:t>增加</w:t>
      </w:r>
      <w:r>
        <w:rPr>
          <w:rFonts w:hint="eastAsia" w:ascii="仿宋_GB2312" w:eastAsia="仿宋_GB2312"/>
          <w:sz w:val="28"/>
          <w:szCs w:val="28"/>
          <w:lang w:val="en-US" w:eastAsia="zh-CN"/>
        </w:rPr>
        <w:t>273.17</w:t>
      </w:r>
      <w:r>
        <w:rPr>
          <w:rFonts w:hint="eastAsia" w:ascii="仿宋_GB2312" w:eastAsia="仿宋_GB2312"/>
          <w:sz w:val="28"/>
          <w:szCs w:val="28"/>
        </w:rPr>
        <w:t>万元，增长</w:t>
      </w:r>
      <w:r>
        <w:rPr>
          <w:rFonts w:hint="eastAsia" w:ascii="仿宋_GB2312" w:eastAsia="仿宋_GB2312"/>
          <w:sz w:val="28"/>
          <w:szCs w:val="28"/>
          <w:lang w:val="en-US" w:eastAsia="zh-CN"/>
        </w:rPr>
        <w:t>15.07</w:t>
      </w:r>
      <w:r>
        <w:rPr>
          <w:rFonts w:hint="eastAsia" w:ascii="仿宋_GB2312" w:eastAsia="仿宋_GB2312"/>
          <w:sz w:val="28"/>
          <w:szCs w:val="28"/>
        </w:rPr>
        <w:t>%。主要原因：</w:t>
      </w:r>
      <w:r>
        <w:rPr>
          <w:rFonts w:hint="eastAsia" w:ascii="仿宋_GB2312" w:eastAsia="仿宋_GB2312"/>
          <w:sz w:val="28"/>
          <w:szCs w:val="28"/>
          <w:lang w:eastAsia="zh-CN"/>
        </w:rPr>
        <w:t>一是今年项目安排多于去年；二是社保、公积金基数调整及人员增减变化调资致人员经费较上年减少。</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2085.80</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0.34万元，占本年财政拨款支出0.02%；</w:t>
      </w:r>
      <w:r>
        <w:rPr>
          <w:rFonts w:hint="eastAsia" w:ascii="仿宋_GB2312" w:eastAsia="仿宋_GB2312"/>
          <w:color w:val="000000"/>
          <w:sz w:val="28"/>
          <w:szCs w:val="28"/>
          <w:lang w:eastAsia="zh-CN"/>
        </w:rPr>
        <w:t>社会保障和就业</w:t>
      </w:r>
      <w:r>
        <w:rPr>
          <w:rFonts w:hint="eastAsia" w:ascii="仿宋_GB2312" w:eastAsia="仿宋_GB2312"/>
          <w:color w:val="000000"/>
          <w:sz w:val="28"/>
          <w:szCs w:val="28"/>
          <w:lang w:val="en-US" w:eastAsia="zh-CN"/>
        </w:rPr>
        <w:t>151.32</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7.25</w:t>
      </w:r>
      <w:r>
        <w:rPr>
          <w:rFonts w:hint="eastAsia" w:ascii="仿宋_GB2312" w:eastAsia="仿宋_GB2312"/>
          <w:color w:val="000000"/>
          <w:sz w:val="28"/>
          <w:szCs w:val="28"/>
        </w:rPr>
        <w:t xml:space="preserve">%； </w:t>
      </w:r>
      <w:r>
        <w:rPr>
          <w:rFonts w:hint="eastAsia" w:ascii="仿宋_GB2312" w:eastAsia="仿宋_GB2312"/>
          <w:color w:val="000000"/>
          <w:sz w:val="28"/>
          <w:szCs w:val="28"/>
          <w:lang w:eastAsia="zh-CN"/>
        </w:rPr>
        <w:t>卫生健康支出</w:t>
      </w:r>
      <w:r>
        <w:rPr>
          <w:rFonts w:hint="eastAsia" w:ascii="仿宋_GB2312" w:eastAsia="仿宋_GB2312"/>
          <w:color w:val="000000"/>
          <w:sz w:val="28"/>
          <w:szCs w:val="28"/>
          <w:lang w:val="en-US" w:eastAsia="zh-CN"/>
        </w:rPr>
        <w:t>104.94万元，占本年财政拨款支出5.03%；农林水支出1829.20万元，占本年财政拨款支出87.70%。</w:t>
      </w:r>
    </w:p>
    <w:p>
      <w:pPr>
        <w:numPr>
          <w:ilvl w:val="0"/>
          <w:numId w:val="3"/>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1、“教育支出”（类）2023年决算0.34万元，</w:t>
      </w:r>
      <w:r>
        <w:rPr>
          <w:rFonts w:hint="eastAsia" w:ascii="仿宋_GB2312" w:eastAsia="仿宋_GB2312"/>
          <w:color w:val="000000"/>
          <w:sz w:val="28"/>
          <w:szCs w:val="28"/>
        </w:rPr>
        <w:t>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1万元减少0.65万元</w:t>
      </w:r>
      <w:r>
        <w:rPr>
          <w:rFonts w:hint="eastAsia" w:ascii="仿宋_GB2312" w:eastAsia="仿宋_GB2312"/>
          <w:color w:val="000000"/>
          <w:sz w:val="28"/>
          <w:szCs w:val="28"/>
        </w:rPr>
        <w:t>，</w:t>
      </w:r>
      <w:r>
        <w:rPr>
          <w:rFonts w:hint="eastAsia" w:ascii="仿宋_GB2312" w:eastAsia="仿宋_GB2312"/>
          <w:color w:val="000000"/>
          <w:sz w:val="28"/>
          <w:szCs w:val="28"/>
          <w:lang w:eastAsia="zh-CN"/>
        </w:rPr>
        <w:t>下降</w:t>
      </w:r>
      <w:r>
        <w:rPr>
          <w:rFonts w:hint="eastAsia" w:ascii="仿宋_GB2312" w:eastAsia="仿宋_GB2312"/>
          <w:color w:val="000000"/>
          <w:sz w:val="28"/>
          <w:szCs w:val="28"/>
          <w:lang w:val="en-US" w:eastAsia="zh-CN"/>
        </w:rPr>
        <w:t>65</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,其中：“进修及培训（款）”</w:t>
      </w:r>
      <w:r>
        <w:rPr>
          <w:rFonts w:hint="eastAsia" w:ascii="仿宋_GB2312" w:eastAsia="仿宋_GB2312"/>
          <w:sz w:val="28"/>
          <w:szCs w:val="28"/>
          <w:lang w:val="en-US" w:eastAsia="zh-CN"/>
        </w:rPr>
        <w:t>2023年决算0.34万元，</w:t>
      </w:r>
      <w:r>
        <w:rPr>
          <w:rFonts w:hint="eastAsia" w:ascii="仿宋_GB2312" w:eastAsia="仿宋_GB2312"/>
          <w:color w:val="000000"/>
          <w:sz w:val="28"/>
          <w:szCs w:val="28"/>
        </w:rPr>
        <w:t>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1万元减少0.65万元</w:t>
      </w:r>
      <w:r>
        <w:rPr>
          <w:rFonts w:hint="eastAsia" w:ascii="仿宋_GB2312" w:eastAsia="仿宋_GB2312"/>
          <w:color w:val="000000"/>
          <w:sz w:val="28"/>
          <w:szCs w:val="28"/>
        </w:rPr>
        <w:t>，</w:t>
      </w:r>
      <w:r>
        <w:rPr>
          <w:rFonts w:hint="eastAsia" w:ascii="仿宋_GB2312" w:eastAsia="仿宋_GB2312"/>
          <w:color w:val="000000"/>
          <w:sz w:val="28"/>
          <w:szCs w:val="28"/>
          <w:lang w:eastAsia="zh-CN"/>
        </w:rPr>
        <w:t>下降</w:t>
      </w:r>
      <w:r>
        <w:rPr>
          <w:rFonts w:hint="eastAsia" w:ascii="仿宋_GB2312" w:eastAsia="仿宋_GB2312"/>
          <w:color w:val="000000"/>
          <w:sz w:val="28"/>
          <w:szCs w:val="28"/>
          <w:lang w:val="en-US" w:eastAsia="zh-CN"/>
        </w:rPr>
        <w:t>65</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,主要是村级财务人员培训项目今年和市农村发展中心共同举办，培训费由市农村发展中心支付，该培训项目年初预算追减。</w:t>
      </w:r>
    </w:p>
    <w:p>
      <w:pPr>
        <w:autoSpaceDE w:val="0"/>
        <w:autoSpaceDN w:val="0"/>
        <w:adjustRightInd w:val="0"/>
        <w:spacing w:line="560" w:lineRule="exact"/>
        <w:ind w:firstLine="560" w:firstLineChars="200"/>
        <w:jc w:val="left"/>
        <w:rPr>
          <w:rFonts w:ascii="仿宋_GB2312" w:eastAsia="仿宋_GB2312"/>
          <w:color w:val="000000"/>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w:t>
      </w:r>
      <w:r>
        <w:rPr>
          <w:rFonts w:hint="eastAsia" w:ascii="仿宋_GB2312" w:eastAsia="仿宋_GB2312"/>
          <w:color w:val="auto"/>
          <w:sz w:val="28"/>
          <w:szCs w:val="28"/>
          <w:lang w:eastAsia="zh-CN"/>
        </w:rPr>
        <w:t>社</w:t>
      </w:r>
      <w:r>
        <w:rPr>
          <w:rFonts w:hint="eastAsia" w:ascii="仿宋_GB2312" w:eastAsia="仿宋_GB2312"/>
          <w:color w:val="000000"/>
          <w:sz w:val="28"/>
          <w:szCs w:val="28"/>
          <w:lang w:eastAsia="zh-CN"/>
        </w:rPr>
        <w:t>会保障和就业支出</w:t>
      </w:r>
      <w:r>
        <w:rPr>
          <w:rFonts w:hint="eastAsia" w:ascii="仿宋_GB2312" w:eastAsia="仿宋_GB2312"/>
          <w:color w:val="000000"/>
          <w:sz w:val="28"/>
          <w:szCs w:val="28"/>
        </w:rPr>
        <w:t>”（类）20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151.32</w:t>
      </w:r>
      <w:r>
        <w:rPr>
          <w:rFonts w:hint="eastAsia" w:ascii="仿宋_GB2312" w:eastAsia="仿宋_GB2312"/>
          <w:color w:val="000000"/>
          <w:sz w:val="28"/>
          <w:szCs w:val="28"/>
        </w:rPr>
        <w:t>万元，比20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150.48万元增加0.84</w:t>
      </w:r>
      <w:r>
        <w:rPr>
          <w:rFonts w:hint="eastAsia" w:ascii="仿宋_GB2312" w:eastAsia="仿宋_GB2312"/>
          <w:color w:val="000000"/>
          <w:sz w:val="28"/>
          <w:szCs w:val="28"/>
        </w:rPr>
        <w:t>万元，</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0.56%</w:t>
      </w:r>
      <w:r>
        <w:rPr>
          <w:rFonts w:hint="eastAsia" w:ascii="仿宋_GB2312" w:eastAsia="仿宋_GB2312"/>
          <w:color w:val="000000"/>
          <w:sz w:val="28"/>
          <w:szCs w:val="28"/>
        </w:rPr>
        <w:t>。其中：</w:t>
      </w:r>
    </w:p>
    <w:p>
      <w:pPr>
        <w:ind w:left="126" w:leftChars="60" w:firstLine="560" w:firstLineChars="200"/>
        <w:rPr>
          <w:rFonts w:ascii="仿宋" w:hAnsi="仿宋" w:eastAsia="仿宋"/>
          <w:kern w:val="11"/>
          <w:sz w:val="32"/>
          <w:szCs w:val="32"/>
        </w:rPr>
      </w:pPr>
      <w:r>
        <w:rPr>
          <w:rFonts w:hint="eastAsia" w:ascii="仿宋_GB2312" w:eastAsia="仿宋_GB2312"/>
          <w:color w:val="000000"/>
          <w:sz w:val="28"/>
          <w:szCs w:val="28"/>
        </w:rPr>
        <w:t>“</w:t>
      </w:r>
      <w:r>
        <w:rPr>
          <w:rFonts w:hint="eastAsia" w:ascii="仿宋_GB2312" w:eastAsia="仿宋_GB2312"/>
          <w:color w:val="000000"/>
          <w:sz w:val="28"/>
          <w:szCs w:val="28"/>
          <w:lang w:eastAsia="zh-CN"/>
        </w:rPr>
        <w:t>行政事业单位养老支出</w:t>
      </w:r>
      <w:r>
        <w:rPr>
          <w:rFonts w:hint="eastAsia" w:ascii="仿宋_GB2312" w:eastAsia="仿宋_GB2312"/>
          <w:color w:val="000000"/>
          <w:sz w:val="28"/>
          <w:szCs w:val="28"/>
        </w:rPr>
        <w:t>”（款）2</w:t>
      </w:r>
      <w:r>
        <w:rPr>
          <w:rFonts w:hint="eastAsia" w:ascii="仿宋_GB2312" w:eastAsia="仿宋_GB2312"/>
          <w:color w:val="000000"/>
          <w:sz w:val="28"/>
          <w:szCs w:val="28"/>
          <w:lang w:val="en-US" w:eastAsia="zh-CN"/>
        </w:rPr>
        <w:t>023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151.32</w:t>
      </w:r>
      <w:r>
        <w:rPr>
          <w:rFonts w:hint="eastAsia" w:ascii="仿宋_GB2312" w:eastAsia="仿宋_GB2312"/>
          <w:color w:val="000000"/>
          <w:sz w:val="28"/>
          <w:szCs w:val="28"/>
        </w:rPr>
        <w:t>万元，比20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150.48万元增加0.84</w:t>
      </w:r>
      <w:r>
        <w:rPr>
          <w:rFonts w:hint="eastAsia" w:ascii="仿宋_GB2312" w:eastAsia="仿宋_GB2312"/>
          <w:color w:val="000000"/>
          <w:sz w:val="28"/>
          <w:szCs w:val="28"/>
        </w:rPr>
        <w:t>万元，</w:t>
      </w:r>
      <w:r>
        <w:rPr>
          <w:rFonts w:hint="eastAsia" w:ascii="仿宋_GB2312" w:eastAsia="仿宋_GB2312"/>
          <w:color w:val="000000"/>
          <w:sz w:val="28"/>
          <w:szCs w:val="28"/>
          <w:lang w:eastAsia="zh-CN"/>
        </w:rPr>
        <w:t>增加</w:t>
      </w:r>
      <w:r>
        <w:rPr>
          <w:rFonts w:hint="eastAsia" w:ascii="仿宋_GB2312" w:eastAsia="仿宋_GB2312"/>
          <w:color w:val="000000"/>
          <w:sz w:val="28"/>
          <w:szCs w:val="28"/>
          <w:lang w:val="en-US" w:eastAsia="zh-CN"/>
        </w:rPr>
        <w:t>0.56%</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养老及年金基数调</w:t>
      </w:r>
      <w:r>
        <w:rPr>
          <w:rFonts w:hint="eastAsia" w:ascii="仿宋_GB2312" w:hAnsi="仿宋_GB2312" w:eastAsia="仿宋_GB2312" w:cs="仿宋_GB2312"/>
          <w:color w:val="000000"/>
          <w:sz w:val="28"/>
          <w:szCs w:val="28"/>
          <w:lang w:eastAsia="zh-CN"/>
        </w:rPr>
        <w:t>整及</w:t>
      </w:r>
      <w:r>
        <w:rPr>
          <w:rFonts w:hint="eastAsia" w:ascii="仿宋_GB2312" w:hAnsi="仿宋_GB2312" w:eastAsia="仿宋_GB2312" w:cs="仿宋_GB2312"/>
          <w:color w:val="000000"/>
          <w:kern w:val="11"/>
          <w:sz w:val="28"/>
          <w:szCs w:val="28"/>
        </w:rPr>
        <w:t>本年调入2人，招录1人，在职退休5人</w:t>
      </w:r>
      <w:r>
        <w:rPr>
          <w:rFonts w:hint="eastAsia" w:ascii="仿宋_GB2312" w:hAnsi="仿宋_GB2312" w:eastAsia="仿宋_GB2312" w:cs="仿宋_GB2312"/>
          <w:color w:val="000000"/>
          <w:kern w:val="11"/>
          <w:sz w:val="28"/>
          <w:szCs w:val="28"/>
          <w:lang w:eastAsia="zh-CN"/>
        </w:rPr>
        <w:t>所致</w:t>
      </w:r>
    </w:p>
    <w:p>
      <w:pPr>
        <w:numPr>
          <w:ilvl w:val="0"/>
          <w:numId w:val="0"/>
        </w:numPr>
        <w:spacing w:line="560" w:lineRule="exact"/>
        <w:ind w:firstLine="560" w:firstLineChars="200"/>
        <w:rPr>
          <w:rFonts w:hint="eastAsia" w:ascii="仿宋_GB2312" w:eastAsia="仿宋_GB2312"/>
          <w:color w:val="000000"/>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eastAsia="zh-CN"/>
        </w:rPr>
        <w:t>卫</w:t>
      </w:r>
      <w:r>
        <w:rPr>
          <w:rFonts w:hint="eastAsia" w:ascii="仿宋_GB2312" w:eastAsia="仿宋_GB2312"/>
          <w:color w:val="000000"/>
          <w:sz w:val="28"/>
          <w:szCs w:val="28"/>
          <w:lang w:eastAsia="zh-CN"/>
        </w:rPr>
        <w:t>生健康支出</w:t>
      </w:r>
      <w:r>
        <w:rPr>
          <w:rFonts w:hint="eastAsia" w:ascii="仿宋_GB2312" w:eastAsia="仿宋_GB2312"/>
          <w:color w:val="000000"/>
          <w:sz w:val="28"/>
          <w:szCs w:val="28"/>
        </w:rPr>
        <w:t>”(类)20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104.94</w:t>
      </w:r>
      <w:r>
        <w:rPr>
          <w:rFonts w:hint="eastAsia" w:ascii="仿宋_GB2312" w:eastAsia="仿宋_GB2312"/>
          <w:color w:val="000000"/>
          <w:sz w:val="28"/>
          <w:szCs w:val="28"/>
        </w:rPr>
        <w:t>万元，比20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111.4万元减少6.46</w:t>
      </w:r>
      <w:r>
        <w:rPr>
          <w:rFonts w:hint="eastAsia" w:ascii="仿宋_GB2312" w:eastAsia="仿宋_GB2312"/>
          <w:color w:val="000000"/>
          <w:sz w:val="28"/>
          <w:szCs w:val="28"/>
        </w:rPr>
        <w:t>万元，</w:t>
      </w:r>
      <w:r>
        <w:rPr>
          <w:rFonts w:hint="eastAsia" w:ascii="仿宋_GB2312" w:eastAsia="仿宋_GB2312"/>
          <w:color w:val="000000"/>
          <w:sz w:val="28"/>
          <w:szCs w:val="28"/>
          <w:lang w:eastAsia="zh-CN"/>
        </w:rPr>
        <w:t>下降</w:t>
      </w:r>
      <w:r>
        <w:rPr>
          <w:rFonts w:hint="eastAsia" w:ascii="仿宋_GB2312" w:eastAsia="仿宋_GB2312"/>
          <w:color w:val="000000"/>
          <w:sz w:val="28"/>
          <w:szCs w:val="28"/>
          <w:lang w:val="en-US" w:eastAsia="zh-CN"/>
        </w:rPr>
        <w:t>5.80</w:t>
      </w:r>
      <w:r>
        <w:rPr>
          <w:rFonts w:hint="eastAsia" w:ascii="仿宋_GB2312" w:eastAsia="仿宋_GB2312"/>
          <w:color w:val="000000"/>
          <w:sz w:val="28"/>
          <w:szCs w:val="28"/>
        </w:rPr>
        <w:t>%。其中：</w:t>
      </w:r>
    </w:p>
    <w:p>
      <w:pPr>
        <w:ind w:left="126" w:leftChars="60" w:firstLine="560" w:firstLineChars="200"/>
        <w:rPr>
          <w:rFonts w:hint="eastAsia" w:ascii="仿宋_GB2312" w:eastAsia="仿宋_GB2312"/>
          <w:color w:val="000000"/>
          <w:sz w:val="28"/>
          <w:szCs w:val="28"/>
          <w:lang w:val="en-US" w:eastAsia="zh-CN"/>
        </w:rPr>
      </w:pPr>
      <w:r>
        <w:rPr>
          <w:rFonts w:hint="eastAsia" w:ascii="仿宋_GB2312" w:eastAsia="仿宋_GB2312"/>
          <w:color w:val="000000"/>
          <w:sz w:val="28"/>
          <w:szCs w:val="28"/>
        </w:rPr>
        <w:t>“</w:t>
      </w:r>
      <w:r>
        <w:rPr>
          <w:rFonts w:hint="eastAsia" w:ascii="仿宋_GB2312" w:eastAsia="仿宋_GB2312"/>
          <w:color w:val="000000"/>
          <w:sz w:val="28"/>
          <w:szCs w:val="28"/>
          <w:lang w:eastAsia="zh-CN"/>
        </w:rPr>
        <w:t>行政事业单位医疗</w:t>
      </w:r>
      <w:r>
        <w:rPr>
          <w:rFonts w:hint="eastAsia" w:ascii="仿宋_GB2312" w:eastAsia="仿宋_GB2312"/>
          <w:color w:val="000000"/>
          <w:sz w:val="28"/>
          <w:szCs w:val="28"/>
        </w:rPr>
        <w:t>”（款）20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年度决算</w:t>
      </w:r>
      <w:r>
        <w:rPr>
          <w:rFonts w:hint="eastAsia" w:ascii="仿宋_GB2312" w:eastAsia="仿宋_GB2312"/>
          <w:color w:val="000000"/>
          <w:sz w:val="28"/>
          <w:szCs w:val="28"/>
          <w:lang w:val="en-US" w:eastAsia="zh-CN"/>
        </w:rPr>
        <w:t>104.94</w:t>
      </w:r>
      <w:r>
        <w:rPr>
          <w:rFonts w:hint="eastAsia" w:ascii="仿宋_GB2312" w:eastAsia="仿宋_GB2312"/>
          <w:color w:val="000000"/>
          <w:sz w:val="28"/>
          <w:szCs w:val="28"/>
        </w:rPr>
        <w:t>万元，比20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年年初预算</w:t>
      </w:r>
      <w:r>
        <w:rPr>
          <w:rFonts w:hint="eastAsia" w:ascii="仿宋_GB2312" w:eastAsia="仿宋_GB2312"/>
          <w:color w:val="000000"/>
          <w:sz w:val="28"/>
          <w:szCs w:val="28"/>
          <w:lang w:val="en-US" w:eastAsia="zh-CN"/>
        </w:rPr>
        <w:t>111.4万元减少6.46</w:t>
      </w:r>
      <w:r>
        <w:rPr>
          <w:rFonts w:hint="eastAsia" w:ascii="仿宋_GB2312" w:eastAsia="仿宋_GB2312"/>
          <w:color w:val="000000"/>
          <w:sz w:val="28"/>
          <w:szCs w:val="28"/>
        </w:rPr>
        <w:t>万元，</w:t>
      </w:r>
      <w:r>
        <w:rPr>
          <w:rFonts w:hint="eastAsia" w:ascii="仿宋_GB2312" w:eastAsia="仿宋_GB2312"/>
          <w:color w:val="000000"/>
          <w:sz w:val="28"/>
          <w:szCs w:val="28"/>
          <w:lang w:eastAsia="zh-CN"/>
        </w:rPr>
        <w:t>下降</w:t>
      </w:r>
      <w:r>
        <w:rPr>
          <w:rFonts w:hint="eastAsia" w:ascii="仿宋_GB2312" w:eastAsia="仿宋_GB2312"/>
          <w:color w:val="000000"/>
          <w:sz w:val="28"/>
          <w:szCs w:val="28"/>
          <w:lang w:val="en-US" w:eastAsia="zh-CN"/>
        </w:rPr>
        <w:t>5.80%</w:t>
      </w:r>
      <w:r>
        <w:rPr>
          <w:rFonts w:hint="eastAsia" w:ascii="仿宋_GB2312" w:eastAsia="仿宋_GB2312"/>
          <w:color w:val="000000"/>
          <w:sz w:val="28"/>
          <w:szCs w:val="28"/>
        </w:rPr>
        <w:t>。主要原因</w:t>
      </w:r>
      <w:r>
        <w:rPr>
          <w:rFonts w:hint="eastAsia" w:ascii="仿宋_GB2312" w:eastAsia="仿宋_GB2312"/>
          <w:color w:val="000000"/>
          <w:sz w:val="28"/>
          <w:szCs w:val="28"/>
          <w:lang w:eastAsia="zh-CN"/>
        </w:rPr>
        <w:t>：行政单位医疗及公务员医疗补助</w:t>
      </w:r>
      <w:r>
        <w:rPr>
          <w:rFonts w:hint="eastAsia" w:ascii="仿宋_GB2312" w:eastAsia="仿宋_GB2312"/>
          <w:color w:val="000000"/>
          <w:sz w:val="28"/>
          <w:szCs w:val="28"/>
          <w:lang w:val="en-US" w:eastAsia="zh-CN"/>
        </w:rPr>
        <w:t>缴存基数调整</w:t>
      </w:r>
      <w:r>
        <w:rPr>
          <w:rFonts w:hint="eastAsia" w:ascii="仿宋_GB2312" w:hAnsi="仿宋_GB2312" w:eastAsia="仿宋_GB2312" w:cs="仿宋_GB2312"/>
          <w:color w:val="000000"/>
          <w:sz w:val="28"/>
          <w:szCs w:val="28"/>
          <w:lang w:eastAsia="zh-CN"/>
        </w:rPr>
        <w:t>及</w:t>
      </w:r>
      <w:r>
        <w:rPr>
          <w:rFonts w:hint="eastAsia" w:ascii="仿宋_GB2312" w:hAnsi="仿宋_GB2312" w:eastAsia="仿宋_GB2312" w:cs="仿宋_GB2312"/>
          <w:color w:val="000000"/>
          <w:kern w:val="11"/>
          <w:sz w:val="28"/>
          <w:szCs w:val="28"/>
        </w:rPr>
        <w:t>本年调入2人，招录1人，在职退休5人</w:t>
      </w:r>
      <w:r>
        <w:rPr>
          <w:rFonts w:hint="eastAsia" w:ascii="仿宋_GB2312" w:hAnsi="仿宋_GB2312" w:eastAsia="仿宋_GB2312" w:cs="仿宋_GB2312"/>
          <w:color w:val="000000"/>
          <w:kern w:val="11"/>
          <w:sz w:val="28"/>
          <w:szCs w:val="28"/>
          <w:lang w:eastAsia="zh-CN"/>
        </w:rPr>
        <w:t>所致</w:t>
      </w:r>
    </w:p>
    <w:p>
      <w:pPr>
        <w:numPr>
          <w:ilvl w:val="0"/>
          <w:numId w:val="0"/>
        </w:numPr>
        <w:spacing w:line="560" w:lineRule="exact"/>
        <w:ind w:firstLine="560" w:firstLineChars="200"/>
        <w:rPr>
          <w:rFonts w:hint="eastAsia" w:ascii="仿宋_GB2312" w:eastAsia="仿宋_GB2312"/>
          <w:color w:val="000000"/>
          <w:sz w:val="28"/>
          <w:szCs w:val="28"/>
          <w:lang w:val="en-US" w:eastAsia="zh-CN"/>
        </w:rPr>
      </w:pPr>
      <w:r>
        <w:rPr>
          <w:rFonts w:hint="eastAsia" w:ascii="仿宋_GB2312" w:eastAsia="仿宋_GB2312"/>
          <w:color w:val="auto"/>
          <w:sz w:val="28"/>
          <w:szCs w:val="28"/>
          <w:lang w:val="en-US" w:eastAsia="zh-CN"/>
        </w:rPr>
        <w:t>4、“农林水支</w:t>
      </w:r>
      <w:r>
        <w:rPr>
          <w:rFonts w:hint="eastAsia" w:ascii="仿宋_GB2312" w:eastAsia="仿宋_GB2312"/>
          <w:color w:val="000000"/>
          <w:sz w:val="28"/>
          <w:szCs w:val="28"/>
          <w:lang w:val="en-US" w:eastAsia="zh-CN"/>
        </w:rPr>
        <w:t>出”（类）2023年决算1829.20万元，比2023年年初预算1888.77万元减少59.57万元，减少3.15%。其中：</w:t>
      </w:r>
    </w:p>
    <w:p>
      <w:pPr>
        <w:numPr>
          <w:ilvl w:val="0"/>
          <w:numId w:val="0"/>
        </w:numPr>
        <w:spacing w:line="560" w:lineRule="exact"/>
        <w:ind w:firstLine="840" w:firstLineChars="300"/>
        <w:rPr>
          <w:rFonts w:hint="eastAsia" w:ascii="仿宋_GB2312" w:eastAsia="仿宋_GB2312"/>
          <w:sz w:val="28"/>
          <w:szCs w:val="28"/>
        </w:rPr>
      </w:pPr>
      <w:r>
        <w:rPr>
          <w:rFonts w:hint="eastAsia" w:ascii="仿宋_GB2312" w:eastAsia="仿宋_GB2312"/>
          <w:color w:val="000000"/>
          <w:sz w:val="28"/>
          <w:szCs w:val="28"/>
          <w:lang w:val="en-US" w:eastAsia="zh-CN"/>
        </w:rPr>
        <w:t>“农业农村”（款）2023年决算1829.20万元，比2023年年初预算1888.7万元减少59.57万元，减少3.15%。主要原因：一是根据工作安排，年中项目资金调减；二是人员薪资及社保缴费调减。</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60" w:lineRule="exact"/>
        <w:ind w:firstLine="560" w:firstLineChars="200"/>
        <w:rPr>
          <w:rFonts w:ascii="仿宋_GB2312" w:eastAsia="仿宋_GB2312"/>
          <w:color w:val="000000"/>
          <w:sz w:val="28"/>
          <w:szCs w:val="28"/>
          <w:shd w:val="clear" w:color="FFFFFF" w:fill="D9D9D9"/>
        </w:rPr>
      </w:pPr>
      <w:r>
        <w:rPr>
          <w:rFonts w:hint="eastAsia" w:ascii="仿宋_GB2312" w:eastAsia="仿宋_GB2312"/>
          <w:color w:val="000000"/>
          <w:sz w:val="28"/>
          <w:szCs w:val="28"/>
          <w:lang w:eastAsia="zh-CN"/>
        </w:rPr>
        <w:t>本部门</w:t>
      </w:r>
      <w:r>
        <w:rPr>
          <w:rFonts w:hint="eastAsia" w:ascii="仿宋_GB2312" w:eastAsia="仿宋_GB2312"/>
          <w:color w:val="000000"/>
          <w:sz w:val="28"/>
          <w:szCs w:val="28"/>
        </w:rPr>
        <w:t>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度</w:t>
      </w:r>
      <w:r>
        <w:rPr>
          <w:rFonts w:hint="eastAsia" w:ascii="仿宋_GB2312" w:eastAsia="仿宋_GB2312"/>
          <w:color w:val="000000"/>
          <w:sz w:val="28"/>
          <w:szCs w:val="28"/>
          <w:lang w:eastAsia="zh-CN"/>
        </w:rPr>
        <w:t>无政府性基金预算财政拨款安排的支出。</w:t>
      </w:r>
    </w:p>
    <w:p>
      <w:pPr>
        <w:numPr>
          <w:ilvl w:val="0"/>
          <w:numId w:val="4"/>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pPr>
        <w:tabs>
          <w:tab w:val="center" w:pos="6979"/>
        </w:tabs>
        <w:spacing w:line="580" w:lineRule="exact"/>
        <w:ind w:firstLine="548" w:firstLineChars="196"/>
        <w:rPr>
          <w:rFonts w:hint="eastAsia" w:ascii="仿宋_GB2312" w:eastAsia="仿宋_GB2312"/>
          <w:color w:val="000000"/>
          <w:sz w:val="28"/>
          <w:szCs w:val="28"/>
          <w:lang w:eastAsia="zh-CN"/>
        </w:rPr>
      </w:pPr>
      <w:r>
        <w:rPr>
          <w:rFonts w:hint="eastAsia" w:ascii="仿宋_GB2312" w:eastAsia="仿宋_GB2312"/>
          <w:color w:val="000000"/>
          <w:sz w:val="28"/>
          <w:szCs w:val="28"/>
          <w:lang w:eastAsia="zh-CN"/>
        </w:rPr>
        <w:t>本部门</w:t>
      </w:r>
      <w:r>
        <w:rPr>
          <w:rFonts w:hint="eastAsia" w:ascii="仿宋_GB2312" w:eastAsia="仿宋_GB2312"/>
          <w:color w:val="000000"/>
          <w:sz w:val="28"/>
          <w:szCs w:val="28"/>
        </w:rPr>
        <w:t>20</w:t>
      </w:r>
      <w:r>
        <w:rPr>
          <w:rFonts w:hint="eastAsia" w:ascii="仿宋_GB2312" w:eastAsia="仿宋_GB2312"/>
          <w:color w:val="000000"/>
          <w:sz w:val="28"/>
          <w:szCs w:val="28"/>
          <w:lang w:val="en-US" w:eastAsia="zh-CN"/>
        </w:rPr>
        <w:t>23</w:t>
      </w:r>
      <w:r>
        <w:rPr>
          <w:rFonts w:hint="eastAsia" w:ascii="仿宋_GB2312" w:eastAsia="仿宋_GB2312"/>
          <w:color w:val="000000"/>
          <w:sz w:val="28"/>
          <w:szCs w:val="28"/>
        </w:rPr>
        <w:t>度</w:t>
      </w:r>
      <w:r>
        <w:rPr>
          <w:rFonts w:hint="eastAsia" w:ascii="仿宋_GB2312" w:eastAsia="仿宋_GB2312"/>
          <w:color w:val="000000"/>
          <w:sz w:val="28"/>
          <w:szCs w:val="28"/>
          <w:lang w:eastAsia="zh-CN"/>
        </w:rPr>
        <w:t>无政府性基金预算财政拨款安排的支出。</w:t>
      </w:r>
    </w:p>
    <w:p>
      <w:pPr>
        <w:numPr>
          <w:ilvl w:val="0"/>
          <w:numId w:val="5"/>
        </w:num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国有资本经营预算财政拨款收支情况说明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3</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仿宋_GB2312" w:eastAsia="仿宋_GB2312"/>
          <w:sz w:val="28"/>
          <w:szCs w:val="28"/>
        </w:rPr>
      </w:pPr>
      <w:r>
        <w:rPr>
          <w:rFonts w:hint="eastAsia" w:ascii="黑体" w:eastAsia="黑体"/>
          <w:sz w:val="28"/>
          <w:szCs w:val="28"/>
        </w:rPr>
        <w:t>八、财政拨款基本支出决算情况说明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年使用一般公共预算财政拨款安排基本支出</w:t>
      </w:r>
      <w:r>
        <w:rPr>
          <w:rFonts w:hint="eastAsia" w:ascii="仿宋_GB2312" w:eastAsia="仿宋_GB2312"/>
          <w:sz w:val="28"/>
          <w:szCs w:val="28"/>
          <w:lang w:val="en-US" w:eastAsia="zh-CN"/>
        </w:rPr>
        <w:t>1269.96</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1182.10万元，</w:t>
      </w:r>
      <w:r>
        <w:rPr>
          <w:rFonts w:hint="eastAsia" w:ascii="仿宋_GB2312" w:eastAsia="仿宋_GB2312"/>
          <w:sz w:val="28"/>
          <w:szCs w:val="28"/>
        </w:rPr>
        <w:t>包括基本工资</w:t>
      </w:r>
      <w:r>
        <w:rPr>
          <w:rFonts w:hint="eastAsia" w:ascii="仿宋_GB2312" w:eastAsia="仿宋_GB2312"/>
          <w:sz w:val="28"/>
          <w:szCs w:val="28"/>
          <w:lang w:val="en-US" w:eastAsia="zh-CN"/>
        </w:rPr>
        <w:t>168.12万元</w:t>
      </w:r>
      <w:r>
        <w:rPr>
          <w:rFonts w:ascii="仿宋_GB2312" w:eastAsia="仿宋_GB2312"/>
          <w:sz w:val="28"/>
          <w:szCs w:val="28"/>
        </w:rPr>
        <w:t>、津贴补贴</w:t>
      </w:r>
      <w:r>
        <w:rPr>
          <w:rFonts w:hint="eastAsia" w:ascii="仿宋_GB2312" w:eastAsia="仿宋_GB2312"/>
          <w:sz w:val="28"/>
          <w:szCs w:val="28"/>
          <w:lang w:val="en-US" w:eastAsia="zh-CN"/>
        </w:rPr>
        <w:t>577.81万元</w:t>
      </w:r>
      <w:r>
        <w:rPr>
          <w:rFonts w:ascii="仿宋_GB2312" w:eastAsia="仿宋_GB2312"/>
          <w:sz w:val="28"/>
          <w:szCs w:val="28"/>
        </w:rPr>
        <w:t>、奖金</w:t>
      </w:r>
      <w:r>
        <w:rPr>
          <w:rFonts w:hint="eastAsia" w:ascii="仿宋_GB2312" w:eastAsia="仿宋_GB2312"/>
          <w:sz w:val="28"/>
          <w:szCs w:val="28"/>
          <w:lang w:val="en-US" w:eastAsia="zh-CN"/>
        </w:rPr>
        <w:t>88.87万元</w:t>
      </w:r>
      <w:r>
        <w:rPr>
          <w:rFonts w:ascii="仿宋_GB2312" w:eastAsia="仿宋_GB2312"/>
          <w:sz w:val="28"/>
          <w:szCs w:val="28"/>
        </w:rPr>
        <w:t>、</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89.53万元、职业年金缴费44.76万元</w:t>
      </w:r>
      <w:r>
        <w:rPr>
          <w:rFonts w:ascii="仿宋_GB2312" w:eastAsia="仿宋_GB2312"/>
          <w:sz w:val="28"/>
          <w:szCs w:val="28"/>
        </w:rPr>
        <w:t>、</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80.34万元、公务员医疗补助缴费24.60万元、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16.28万元、住房公积金91.79万元</w:t>
      </w:r>
      <w:r>
        <w:rPr>
          <w:rFonts w:hint="eastAsia" w:ascii="仿宋_GB2312" w:eastAsia="仿宋_GB2312"/>
          <w:sz w:val="28"/>
          <w:szCs w:val="28"/>
        </w:rPr>
        <w:t>；（2）商品和服务支出</w:t>
      </w:r>
      <w:r>
        <w:rPr>
          <w:rFonts w:hint="eastAsia" w:ascii="仿宋_GB2312" w:eastAsia="仿宋_GB2312"/>
          <w:sz w:val="28"/>
          <w:szCs w:val="28"/>
          <w:lang w:val="en-US" w:eastAsia="zh-CN"/>
        </w:rPr>
        <w:t>72.01万元，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lang w:val="en-US" w:eastAsia="zh-CN"/>
        </w:rPr>
        <w:t>5.4万元</w:t>
      </w:r>
      <w:r>
        <w:rPr>
          <w:rFonts w:ascii="仿宋_GB2312" w:eastAsia="仿宋_GB2312"/>
          <w:sz w:val="28"/>
          <w:szCs w:val="28"/>
        </w:rPr>
        <w:t>、</w:t>
      </w:r>
      <w:r>
        <w:rPr>
          <w:rFonts w:hint="eastAsia" w:ascii="仿宋_GB2312" w:eastAsia="仿宋_GB2312"/>
          <w:sz w:val="28"/>
          <w:szCs w:val="28"/>
          <w:lang w:eastAsia="zh-CN"/>
        </w:rPr>
        <w:t>维修（护）费</w:t>
      </w:r>
      <w:r>
        <w:rPr>
          <w:rFonts w:hint="eastAsia" w:ascii="仿宋_GB2312" w:eastAsia="仿宋_GB2312"/>
          <w:sz w:val="28"/>
          <w:szCs w:val="28"/>
          <w:lang w:val="en-US" w:eastAsia="zh-CN"/>
        </w:rPr>
        <w:t>0.53万元</w:t>
      </w:r>
      <w:r>
        <w:rPr>
          <w:rFonts w:ascii="仿宋_GB2312" w:eastAsia="仿宋_GB2312"/>
          <w:sz w:val="28"/>
          <w:szCs w:val="28"/>
        </w:rPr>
        <w:t>、</w:t>
      </w:r>
      <w:r>
        <w:rPr>
          <w:rFonts w:hint="eastAsia" w:ascii="仿宋_GB2312" w:eastAsia="仿宋_GB2312"/>
          <w:sz w:val="28"/>
          <w:szCs w:val="28"/>
          <w:lang w:eastAsia="zh-CN"/>
        </w:rPr>
        <w:t>差旅费</w:t>
      </w:r>
      <w:r>
        <w:rPr>
          <w:rFonts w:hint="eastAsia" w:ascii="仿宋_GB2312" w:eastAsia="仿宋_GB2312"/>
          <w:sz w:val="28"/>
          <w:szCs w:val="28"/>
          <w:lang w:val="en-US" w:eastAsia="zh-CN"/>
        </w:rPr>
        <w:t>0.28万元，培训费0.23万元，</w:t>
      </w:r>
      <w:r>
        <w:rPr>
          <w:rFonts w:ascii="仿宋_GB2312" w:eastAsia="仿宋_GB2312"/>
          <w:sz w:val="28"/>
          <w:szCs w:val="28"/>
        </w:rPr>
        <w:t>工会经费</w:t>
      </w:r>
      <w:r>
        <w:rPr>
          <w:rFonts w:hint="eastAsia" w:ascii="仿宋_GB2312" w:eastAsia="仿宋_GB2312"/>
          <w:sz w:val="28"/>
          <w:szCs w:val="28"/>
          <w:lang w:val="en-US" w:eastAsia="zh-CN"/>
        </w:rPr>
        <w:t>16.54万元</w:t>
      </w:r>
      <w:r>
        <w:rPr>
          <w:rFonts w:ascii="仿宋_GB2312" w:eastAsia="仿宋_GB2312"/>
          <w:sz w:val="28"/>
          <w:szCs w:val="28"/>
        </w:rPr>
        <w:t>、福利费</w:t>
      </w:r>
      <w:r>
        <w:rPr>
          <w:rFonts w:hint="eastAsia" w:ascii="仿宋_GB2312" w:eastAsia="仿宋_GB2312"/>
          <w:sz w:val="28"/>
          <w:szCs w:val="28"/>
          <w:lang w:val="en-US" w:eastAsia="zh-CN"/>
        </w:rPr>
        <w:t>10.27万元</w:t>
      </w:r>
      <w:r>
        <w:rPr>
          <w:rFonts w:ascii="仿宋_GB2312" w:eastAsia="仿宋_GB2312"/>
          <w:sz w:val="28"/>
          <w:szCs w:val="28"/>
        </w:rPr>
        <w:t>、公务用车运行维护费</w:t>
      </w:r>
      <w:r>
        <w:rPr>
          <w:rFonts w:hint="eastAsia" w:ascii="仿宋_GB2312" w:eastAsia="仿宋_GB2312"/>
          <w:sz w:val="28"/>
          <w:szCs w:val="28"/>
          <w:lang w:val="en-US" w:eastAsia="zh-CN"/>
        </w:rPr>
        <w:t>0.72万元</w:t>
      </w:r>
      <w:r>
        <w:rPr>
          <w:rFonts w:ascii="仿宋_GB2312" w:eastAsia="仿宋_GB2312"/>
          <w:sz w:val="28"/>
          <w:szCs w:val="28"/>
        </w:rPr>
        <w:t>、其他交通费</w:t>
      </w:r>
      <w:r>
        <w:rPr>
          <w:rFonts w:hint="eastAsia" w:ascii="仿宋_GB2312" w:eastAsia="仿宋_GB2312"/>
          <w:sz w:val="28"/>
          <w:szCs w:val="28"/>
          <w:lang w:eastAsia="zh-CN"/>
        </w:rPr>
        <w:t>用</w:t>
      </w:r>
      <w:r>
        <w:rPr>
          <w:rFonts w:hint="eastAsia" w:ascii="仿宋_GB2312" w:eastAsia="仿宋_GB2312"/>
          <w:sz w:val="28"/>
          <w:szCs w:val="28"/>
          <w:lang w:val="en-US" w:eastAsia="zh-CN"/>
        </w:rPr>
        <w:t>34.09万元</w:t>
      </w:r>
      <w:r>
        <w:rPr>
          <w:rFonts w:ascii="仿宋_GB2312" w:eastAsia="仿宋_GB2312"/>
          <w:sz w:val="28"/>
          <w:szCs w:val="28"/>
        </w:rPr>
        <w:t>、其他商品和服务</w:t>
      </w:r>
      <w:r>
        <w:rPr>
          <w:rFonts w:hint="eastAsia" w:ascii="仿宋_GB2312" w:eastAsia="仿宋_GB2312"/>
          <w:sz w:val="28"/>
          <w:szCs w:val="28"/>
          <w:lang w:eastAsia="zh-CN"/>
        </w:rPr>
        <w:t>支出</w:t>
      </w:r>
      <w:r>
        <w:rPr>
          <w:rFonts w:hint="eastAsia" w:ascii="仿宋_GB2312" w:eastAsia="仿宋_GB2312"/>
          <w:sz w:val="28"/>
          <w:szCs w:val="28"/>
          <w:lang w:val="en-US" w:eastAsia="zh-CN"/>
        </w:rPr>
        <w:t>3.95万元</w:t>
      </w:r>
      <w:r>
        <w:rPr>
          <w:rFonts w:hint="eastAsia" w:ascii="仿宋_GB2312" w:eastAsia="仿宋_GB2312"/>
          <w:sz w:val="28"/>
          <w:szCs w:val="28"/>
        </w:rPr>
        <w:t>；（3）对个人和家庭</w:t>
      </w:r>
      <w:r>
        <w:rPr>
          <w:rFonts w:hint="eastAsia" w:ascii="仿宋_GB2312" w:eastAsia="仿宋_GB2312"/>
          <w:sz w:val="28"/>
          <w:szCs w:val="28"/>
          <w:lang w:eastAsia="zh-CN"/>
        </w:rPr>
        <w:t>的</w:t>
      </w:r>
      <w:r>
        <w:rPr>
          <w:rFonts w:hint="eastAsia" w:ascii="仿宋_GB2312" w:eastAsia="仿宋_GB2312"/>
          <w:sz w:val="28"/>
          <w:szCs w:val="28"/>
        </w:rPr>
        <w:t>补助</w:t>
      </w:r>
      <w:r>
        <w:rPr>
          <w:rFonts w:hint="eastAsia" w:ascii="仿宋_GB2312" w:eastAsia="仿宋_GB2312"/>
          <w:sz w:val="28"/>
          <w:szCs w:val="28"/>
          <w:lang w:val="en-US" w:eastAsia="zh-CN"/>
        </w:rPr>
        <w:t>15.85万元，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15.13万元</w:t>
      </w:r>
      <w:r>
        <w:rPr>
          <w:rFonts w:ascii="仿宋_GB2312" w:eastAsia="仿宋_GB2312"/>
          <w:sz w:val="28"/>
          <w:szCs w:val="28"/>
        </w:rPr>
        <w:t>、</w:t>
      </w:r>
      <w:r>
        <w:rPr>
          <w:rFonts w:hint="eastAsia" w:ascii="仿宋_GB2312" w:eastAsia="仿宋_GB2312"/>
          <w:sz w:val="28"/>
          <w:szCs w:val="28"/>
          <w:lang w:eastAsia="zh-CN"/>
        </w:rPr>
        <w:t>奖励金</w:t>
      </w:r>
      <w:r>
        <w:rPr>
          <w:rFonts w:hint="eastAsia" w:ascii="仿宋_GB2312" w:eastAsia="仿宋_GB2312"/>
          <w:sz w:val="28"/>
          <w:szCs w:val="28"/>
          <w:lang w:val="en-US" w:eastAsia="zh-CN"/>
        </w:rPr>
        <w:t>0.72</w:t>
      </w:r>
    </w:p>
    <w:p>
      <w:pPr>
        <w:autoSpaceDE w:val="0"/>
        <w:autoSpaceDN w:val="0"/>
        <w:adjustRightInd w:val="0"/>
        <w:spacing w:line="580" w:lineRule="exact"/>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color w:val="auto"/>
          <w:spacing w:val="40"/>
          <w:kern w:val="0"/>
          <w:sz w:val="32"/>
          <w:szCs w:val="32"/>
        </w:rPr>
        <w:t>第三部</w:t>
      </w:r>
      <w:r>
        <w:rPr>
          <w:rFonts w:hint="eastAsia" w:ascii="宋体" w:hAnsi="宋体" w:cs="宋体"/>
          <w:b/>
          <w:bCs/>
          <w:spacing w:val="40"/>
          <w:kern w:val="0"/>
          <w:sz w:val="32"/>
          <w:szCs w:val="32"/>
        </w:rPr>
        <w:t>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tabs>
          <w:tab w:val="center" w:pos="6979"/>
        </w:tabs>
        <w:ind w:firstLine="99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“三公”经费包括本部门所属</w:t>
      </w:r>
      <w:r>
        <w:rPr>
          <w:rFonts w:hint="eastAsia" w:ascii="仿宋_GB2312" w:eastAsia="仿宋_GB2312"/>
          <w:sz w:val="28"/>
          <w:szCs w:val="28"/>
          <w:lang w:val="en-US" w:eastAsia="zh-CN"/>
        </w:rPr>
        <w:t>1</w:t>
      </w:r>
      <w:r>
        <w:rPr>
          <w:rFonts w:hint="eastAsia" w:ascii="仿宋_GB2312" w:eastAsia="仿宋_GB2312"/>
          <w:sz w:val="28"/>
          <w:szCs w:val="28"/>
        </w:rPr>
        <w:t>个</w:t>
      </w:r>
      <w:r>
        <w:rPr>
          <w:rFonts w:hint="eastAsia" w:ascii="仿宋_GB2312" w:eastAsia="仿宋_GB2312"/>
          <w:sz w:val="28"/>
          <w:szCs w:val="28"/>
          <w:lang w:eastAsia="zh-CN"/>
        </w:rPr>
        <w:t>公益一类</w:t>
      </w:r>
      <w:r>
        <w:rPr>
          <w:rFonts w:ascii="仿宋_GB2312" w:eastAsia="仿宋_GB2312"/>
          <w:sz w:val="28"/>
          <w:szCs w:val="28"/>
        </w:rPr>
        <w:t>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5.88</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5.16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0万元</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此部分资金年初不做预算，待实际发生时再追加资金</w:t>
      </w:r>
      <w:r>
        <w:rPr>
          <w:rFonts w:hint="eastAsia" w:ascii="仿宋_GB2312" w:eastAsia="仿宋_GB2312"/>
          <w:sz w:val="28"/>
          <w:szCs w:val="28"/>
          <w:lang w:val="en-US" w:eastAsia="zh-CN"/>
        </w:rPr>
        <w:t>,2023年无因公出国（境）。</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0.48</w:t>
      </w:r>
      <w:r>
        <w:rPr>
          <w:rFonts w:hint="eastAsia" w:ascii="仿宋_GB2312" w:eastAsia="仿宋_GB2312"/>
          <w:sz w:val="28"/>
          <w:szCs w:val="28"/>
        </w:rPr>
        <w:t>万元减少</w:t>
      </w:r>
      <w:r>
        <w:rPr>
          <w:rFonts w:hint="eastAsia" w:ascii="仿宋_GB2312" w:eastAsia="仿宋_GB2312"/>
          <w:sz w:val="28"/>
          <w:szCs w:val="28"/>
          <w:lang w:val="en-US" w:eastAsia="zh-CN"/>
        </w:rPr>
        <w:t>0.48</w:t>
      </w:r>
      <w:r>
        <w:rPr>
          <w:rFonts w:hint="eastAsia" w:ascii="仿宋_GB2312" w:eastAsia="仿宋_GB2312"/>
          <w:sz w:val="28"/>
          <w:szCs w:val="28"/>
        </w:rPr>
        <w:t>万元。主要原因：</w:t>
      </w:r>
      <w:r>
        <w:rPr>
          <w:rFonts w:hint="eastAsia" w:ascii="仿宋_GB2312" w:eastAsia="仿宋_GB2312"/>
          <w:sz w:val="28"/>
          <w:szCs w:val="28"/>
          <w:lang w:eastAsia="zh-CN"/>
        </w:rPr>
        <w:t>单位严格执行公务接待管理办法，厉行节约减少不必要的公务招待，</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无</w:t>
      </w:r>
      <w:r>
        <w:rPr>
          <w:rFonts w:hint="eastAsia" w:ascii="仿宋_GB2312" w:eastAsia="仿宋_GB2312"/>
          <w:sz w:val="28"/>
          <w:szCs w:val="28"/>
        </w:rPr>
        <w:t>公务接待费</w:t>
      </w:r>
      <w:r>
        <w:rPr>
          <w:rFonts w:hint="eastAsia" w:ascii="仿宋_GB2312" w:eastAsia="仿宋_GB2312"/>
          <w:sz w:val="28"/>
          <w:szCs w:val="28"/>
          <w:lang w:eastAsia="zh-CN"/>
        </w:rPr>
        <w:t>发生。</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5.4</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4.68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3</w:t>
      </w:r>
      <w:r>
        <w:rPr>
          <w:rFonts w:hint="eastAsia" w:ascii="仿宋_GB2312" w:eastAsia="仿宋_GB2312"/>
          <w:sz w:val="28"/>
          <w:szCs w:val="28"/>
        </w:rPr>
        <w:t>年购置（更新）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公车购置年初不做预算，待实际发生时再追加资金，本年无新车购置。</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0.72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5.4</w:t>
      </w:r>
      <w:r>
        <w:rPr>
          <w:rFonts w:hint="eastAsia" w:ascii="仿宋_GB2312" w:eastAsia="仿宋_GB2312"/>
          <w:sz w:val="28"/>
          <w:szCs w:val="28"/>
        </w:rPr>
        <w:t>万元减少</w:t>
      </w:r>
      <w:r>
        <w:rPr>
          <w:rFonts w:hint="eastAsia" w:ascii="仿宋_GB2312" w:eastAsia="仿宋_GB2312"/>
          <w:sz w:val="28"/>
          <w:szCs w:val="28"/>
          <w:lang w:val="en-US" w:eastAsia="zh-CN"/>
        </w:rPr>
        <w:t>4.68</w:t>
      </w:r>
      <w:r>
        <w:rPr>
          <w:rFonts w:hint="eastAsia" w:ascii="仿宋_GB2312" w:eastAsia="仿宋_GB2312"/>
          <w:sz w:val="28"/>
          <w:szCs w:val="28"/>
        </w:rPr>
        <w:t>万元，主要原因：</w:t>
      </w:r>
      <w:r>
        <w:rPr>
          <w:rFonts w:hint="eastAsia" w:ascii="仿宋_GB2312" w:eastAsia="仿宋_GB2312"/>
          <w:sz w:val="28"/>
          <w:szCs w:val="28"/>
          <w:lang w:eastAsia="zh-CN"/>
        </w:rPr>
        <w:t>严格执行公车改革公车使用管理办法，减少公车公务出行</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0</w:t>
      </w:r>
      <w:r>
        <w:rPr>
          <w:rFonts w:hint="eastAsia" w:ascii="仿宋_GB2312" w:eastAsia="仿宋_GB2312"/>
          <w:sz w:val="28"/>
          <w:szCs w:val="28"/>
        </w:rPr>
        <w:t>万元，公务用车维修</w:t>
      </w:r>
      <w:r>
        <w:rPr>
          <w:rFonts w:hint="eastAsia" w:ascii="仿宋_GB2312" w:eastAsia="仿宋_GB2312"/>
          <w:sz w:val="28"/>
          <w:szCs w:val="28"/>
          <w:lang w:val="en-US" w:eastAsia="zh-CN"/>
        </w:rPr>
        <w:t>0</w:t>
      </w:r>
      <w:r>
        <w:rPr>
          <w:rFonts w:hint="eastAsia" w:ascii="仿宋_GB2312" w:eastAsia="仿宋_GB2312"/>
          <w:sz w:val="28"/>
          <w:szCs w:val="28"/>
        </w:rPr>
        <w:t>万元，公务用车保险</w:t>
      </w:r>
      <w:r>
        <w:rPr>
          <w:rFonts w:hint="eastAsia" w:ascii="仿宋_GB2312" w:eastAsia="仿宋_GB2312"/>
          <w:sz w:val="28"/>
          <w:szCs w:val="28"/>
          <w:lang w:val="en-US" w:eastAsia="zh-CN"/>
        </w:rPr>
        <w:t>0.49</w:t>
      </w:r>
      <w:r>
        <w:rPr>
          <w:rFonts w:hint="eastAsia" w:ascii="仿宋_GB2312" w:eastAsia="仿宋_GB2312"/>
          <w:sz w:val="28"/>
          <w:szCs w:val="28"/>
        </w:rPr>
        <w:t>万元，</w:t>
      </w:r>
      <w:r>
        <w:rPr>
          <w:rFonts w:hint="eastAsia" w:ascii="仿宋_GB2312" w:eastAsia="仿宋_GB2312"/>
          <w:sz w:val="28"/>
          <w:szCs w:val="28"/>
          <w:lang w:eastAsia="zh-CN"/>
        </w:rPr>
        <w:t>公</w:t>
      </w:r>
      <w:r>
        <w:rPr>
          <w:rFonts w:hint="eastAsia" w:ascii="仿宋_GB2312" w:eastAsia="仿宋_GB2312"/>
          <w:sz w:val="28"/>
          <w:szCs w:val="28"/>
        </w:rPr>
        <w:t>务用车其他支出</w:t>
      </w:r>
      <w:r>
        <w:rPr>
          <w:rFonts w:hint="eastAsia" w:ascii="仿宋_GB2312" w:eastAsia="仿宋_GB2312"/>
          <w:sz w:val="28"/>
          <w:szCs w:val="28"/>
          <w:lang w:val="en-US" w:eastAsia="zh-CN"/>
        </w:rPr>
        <w:t>0.23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年公务用车保有量</w:t>
      </w:r>
      <w:r>
        <w:rPr>
          <w:rFonts w:hint="eastAsia" w:ascii="仿宋_GB2312" w:eastAsia="仿宋_GB2312"/>
          <w:sz w:val="28"/>
          <w:szCs w:val="28"/>
          <w:lang w:val="en-US" w:eastAsia="zh-CN"/>
        </w:rPr>
        <w:t>3</w:t>
      </w:r>
      <w:r>
        <w:rPr>
          <w:rFonts w:hint="eastAsia" w:ascii="仿宋_GB2312" w:eastAsia="仿宋_GB2312"/>
          <w:sz w:val="28"/>
          <w:szCs w:val="28"/>
        </w:rPr>
        <w:t>辆，车均运行维护费</w:t>
      </w:r>
      <w:r>
        <w:rPr>
          <w:rFonts w:hint="eastAsia" w:ascii="仿宋_GB2312" w:eastAsia="仿宋_GB2312"/>
          <w:sz w:val="28"/>
          <w:szCs w:val="28"/>
          <w:lang w:val="en-US" w:eastAsia="zh-CN"/>
        </w:rPr>
        <w:t>0.24</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 w:hAnsi="仿宋" w:eastAsia="仿宋" w:cs="仿宋"/>
          <w:sz w:val="32"/>
          <w:szCs w:val="32"/>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年使用一般公共预算财政拨款安排的基本支出中的日常公用经费支出合计</w:t>
      </w:r>
      <w:r>
        <w:rPr>
          <w:rFonts w:hint="eastAsia" w:ascii="仿宋_GB2312" w:eastAsia="仿宋_GB2312"/>
          <w:sz w:val="28"/>
          <w:szCs w:val="28"/>
          <w:lang w:val="en-US" w:eastAsia="zh-CN"/>
        </w:rPr>
        <w:t>72.01万元，上年支出73.43万元,</w:t>
      </w:r>
      <w:r>
        <w:rPr>
          <w:rFonts w:hint="eastAsia"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1.42</w:t>
      </w:r>
      <w:r>
        <w:rPr>
          <w:rFonts w:hint="eastAsia" w:ascii="仿宋_GB2312" w:eastAsia="仿宋_GB2312"/>
          <w:sz w:val="28"/>
          <w:szCs w:val="28"/>
        </w:rPr>
        <w:t>万元，</w:t>
      </w:r>
      <w:r>
        <w:rPr>
          <w:rFonts w:hint="eastAsia" w:ascii="仿宋_GB2312" w:eastAsia="仿宋_GB2312"/>
          <w:sz w:val="28"/>
          <w:szCs w:val="28"/>
          <w:lang w:eastAsia="zh-CN"/>
        </w:rPr>
        <w:t>两年基本持平，变化不大。</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812.2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2.25万</w:t>
      </w:r>
      <w:r>
        <w:rPr>
          <w:rFonts w:hint="eastAsia" w:ascii="仿宋_GB2312" w:eastAsia="仿宋_GB2312"/>
          <w:sz w:val="28"/>
          <w:szCs w:val="28"/>
        </w:rPr>
        <w:t>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809.95</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591.73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344.28</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58.18</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2023年度新购置车辆0台，共计0万元；新购置单位价值100万元以上的设备0台（套），共计0万元。</w:t>
      </w:r>
      <w:r>
        <w:rPr>
          <w:rFonts w:hint="eastAsia" w:ascii="仿宋_GB2312" w:eastAsia="仿宋_GB2312"/>
          <w:sz w:val="28"/>
          <w:szCs w:val="28"/>
        </w:rPr>
        <w:t>截至202</w:t>
      </w:r>
      <w:r>
        <w:rPr>
          <w:rFonts w:hint="eastAsia" w:ascii="仿宋_GB2312" w:eastAsia="仿宋_GB2312"/>
          <w:sz w:val="28"/>
          <w:szCs w:val="28"/>
          <w:lang w:val="en-US" w:eastAsia="zh-CN"/>
        </w:rPr>
        <w:t>3</w:t>
      </w:r>
      <w:r>
        <w:rPr>
          <w:rFonts w:hint="eastAsia" w:ascii="仿宋_GB2312" w:eastAsia="仿宋_GB2312"/>
          <w:sz w:val="28"/>
          <w:szCs w:val="28"/>
        </w:rPr>
        <w:t>年底，本部门固定资产总额</w:t>
      </w:r>
      <w:r>
        <w:rPr>
          <w:rFonts w:hint="eastAsia" w:ascii="仿宋_GB2312" w:eastAsia="仿宋_GB2312"/>
          <w:sz w:val="28"/>
          <w:szCs w:val="28"/>
          <w:lang w:val="en-US" w:eastAsia="zh-CN"/>
        </w:rPr>
        <w:t>234.63</w:t>
      </w:r>
      <w:r>
        <w:rPr>
          <w:rFonts w:hint="eastAsia" w:ascii="仿宋_GB2312" w:eastAsia="仿宋_GB2312"/>
          <w:sz w:val="28"/>
          <w:szCs w:val="28"/>
        </w:rPr>
        <w:t>万元，其中车辆</w:t>
      </w:r>
      <w:r>
        <w:rPr>
          <w:rFonts w:hint="eastAsia" w:ascii="仿宋_GB2312" w:eastAsia="仿宋_GB2312"/>
          <w:sz w:val="28"/>
          <w:szCs w:val="28"/>
          <w:lang w:val="en-US" w:eastAsia="zh-CN"/>
        </w:rPr>
        <w:t>3</w:t>
      </w:r>
      <w:r>
        <w:rPr>
          <w:rFonts w:hint="eastAsia" w:ascii="仿宋_GB2312" w:eastAsia="仿宋_GB2312"/>
          <w:sz w:val="28"/>
          <w:szCs w:val="28"/>
        </w:rPr>
        <w:t>台，</w:t>
      </w:r>
      <w:r>
        <w:rPr>
          <w:rFonts w:hint="eastAsia" w:ascii="仿宋_GB2312" w:eastAsia="仿宋_GB2312"/>
          <w:sz w:val="28"/>
          <w:szCs w:val="28"/>
          <w:lang w:val="en-US" w:eastAsia="zh-CN"/>
        </w:rPr>
        <w:t>46.67</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spacing w:line="560" w:lineRule="exact"/>
        <w:ind w:firstLine="560" w:firstLineChars="200"/>
        <w:rPr>
          <w:rFonts w:hint="eastAsia" w:ascii="仿宋_GB2312" w:eastAsia="仿宋_GB2312"/>
          <w:b/>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lang w:val="en-US" w:eastAsia="zh-CN"/>
        </w:rPr>
        <w:t>4</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本部门对202</w:t>
      </w:r>
      <w:r>
        <w:rPr>
          <w:rFonts w:hint="eastAsia" w:ascii="仿宋_GB2312" w:eastAsia="仿宋_GB2312"/>
          <w:sz w:val="28"/>
          <w:szCs w:val="28"/>
          <w:lang w:val="en-US" w:eastAsia="zh-CN"/>
        </w:rPr>
        <w:t>3</w:t>
      </w:r>
      <w:r>
        <w:rPr>
          <w:rFonts w:ascii="仿宋_GB2312" w:eastAsia="仿宋_GB2312"/>
          <w:sz w:val="28"/>
          <w:szCs w:val="28"/>
        </w:rPr>
        <w:t>年度部门项目支出实施了绩效评价，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4</w:t>
      </w:r>
      <w:r>
        <w:rPr>
          <w:rFonts w:ascii="仿宋_GB2312" w:eastAsia="仿宋_GB2312"/>
          <w:sz w:val="28"/>
          <w:szCs w:val="28"/>
        </w:rPr>
        <w:t>个，占部门项目总数的</w:t>
      </w:r>
      <w:r>
        <w:rPr>
          <w:rFonts w:hint="eastAsia" w:ascii="仿宋_GB2312" w:eastAsia="仿宋_GB2312"/>
          <w:sz w:val="28"/>
          <w:szCs w:val="28"/>
          <w:lang w:val="en-US" w:eastAsia="zh-CN"/>
        </w:rPr>
        <w:t>100</w:t>
      </w:r>
      <w:r>
        <w:rPr>
          <w:rFonts w:ascii="仿宋_GB2312" w:eastAsia="仿宋_GB2312"/>
          <w:sz w:val="28"/>
          <w:szCs w:val="28"/>
        </w:rPr>
        <w:t xml:space="preserve"> %，涉及金额</w:t>
      </w:r>
      <w:r>
        <w:rPr>
          <w:rFonts w:hint="eastAsia" w:ascii="仿宋_GB2312" w:eastAsia="仿宋_GB2312"/>
          <w:sz w:val="28"/>
          <w:szCs w:val="28"/>
          <w:lang w:val="en-US" w:eastAsia="zh-CN"/>
        </w:rPr>
        <w:t>815.84</w:t>
      </w:r>
      <w:r>
        <w:rPr>
          <w:rFonts w:ascii="仿宋_GB2312" w:eastAsia="仿宋_GB2312"/>
          <w:sz w:val="28"/>
          <w:szCs w:val="28"/>
        </w:rPr>
        <w:t>万元。评价得分在90分（含90分）以上的</w:t>
      </w:r>
      <w:r>
        <w:rPr>
          <w:rFonts w:hint="eastAsia" w:ascii="仿宋_GB2312" w:eastAsia="仿宋_GB2312"/>
          <w:sz w:val="28"/>
          <w:szCs w:val="28"/>
          <w:lang w:val="en-US" w:eastAsia="zh-CN"/>
        </w:rPr>
        <w:t>4</w:t>
      </w:r>
      <w:r>
        <w:rPr>
          <w:rFonts w:ascii="仿宋_GB2312" w:eastAsia="仿宋_GB2312"/>
          <w:sz w:val="28"/>
          <w:szCs w:val="28"/>
        </w:rPr>
        <w:t>个、评价得分在80-90分（含80分）的</w:t>
      </w:r>
      <w:r>
        <w:rPr>
          <w:rFonts w:hint="eastAsia" w:ascii="仿宋_GB2312" w:eastAsia="仿宋_GB2312"/>
          <w:sz w:val="28"/>
          <w:szCs w:val="28"/>
          <w:lang w:val="en-US" w:eastAsia="zh-CN"/>
        </w:rPr>
        <w:t>0</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highlight w:val="yellow"/>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年本部门</w:t>
      </w:r>
      <w:r>
        <w:rPr>
          <w:rFonts w:hint="eastAsia" w:ascii="仿宋_GB2312" w:eastAsia="仿宋_GB2312"/>
          <w:sz w:val="28"/>
          <w:szCs w:val="28"/>
          <w:lang w:eastAsia="zh-CN"/>
        </w:rPr>
        <w:t>无重点行政事业性收费。</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rPr>
          <w:rFonts w:hint="eastAsia" w:ascii="仿宋_GB2312" w:eastAsia="仿宋_GB2312"/>
          <w:sz w:val="28"/>
          <w:szCs w:val="28"/>
          <w:lang w:eastAsia="zh-CN"/>
        </w:rPr>
      </w:pPr>
      <w:r>
        <w:rPr>
          <w:rFonts w:ascii="仿宋_GB2312" w:eastAsia="仿宋_GB2312"/>
          <w:sz w:val="28"/>
          <w:szCs w:val="28"/>
        </w:rPr>
        <w:t>202</w:t>
      </w:r>
      <w:r>
        <w:rPr>
          <w:rFonts w:hint="eastAsia" w:ascii="仿宋_GB2312" w:eastAsia="仿宋_GB2312"/>
          <w:sz w:val="28"/>
          <w:szCs w:val="28"/>
          <w:lang w:val="en-US" w:eastAsia="zh-CN"/>
        </w:rPr>
        <w:t>3</w:t>
      </w:r>
      <w:r>
        <w:rPr>
          <w:rFonts w:ascii="仿宋_GB2312" w:eastAsia="仿宋_GB2312"/>
          <w:sz w:val="28"/>
          <w:szCs w:val="28"/>
        </w:rPr>
        <w:t>年</w:t>
      </w:r>
      <w:r>
        <w:rPr>
          <w:rFonts w:hint="eastAsia" w:ascii="仿宋_GB2312" w:eastAsia="仿宋_GB2312"/>
          <w:sz w:val="28"/>
          <w:szCs w:val="28"/>
          <w:lang w:eastAsia="zh-CN"/>
        </w:rPr>
        <w:t>本部门无</w:t>
      </w:r>
      <w:r>
        <w:rPr>
          <w:rFonts w:ascii="仿宋_GB2312" w:eastAsia="仿宋_GB2312"/>
          <w:sz w:val="28"/>
          <w:szCs w:val="28"/>
        </w:rPr>
        <w:t>政府购买服务</w:t>
      </w:r>
      <w:r>
        <w:rPr>
          <w:rFonts w:hint="eastAsia" w:ascii="仿宋_GB2312" w:eastAsia="仿宋_GB2312"/>
          <w:sz w:val="28"/>
          <w:szCs w:val="28"/>
          <w:lang w:eastAsia="zh-CN"/>
        </w:rPr>
        <w:t>支出。</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b w:val="0"/>
          <w:bCs w:val="0"/>
          <w:sz w:val="28"/>
          <w:szCs w:val="28"/>
          <w:lang w:eastAsia="zh-CN"/>
        </w:rPr>
      </w:pPr>
      <w:r>
        <w:rPr>
          <w:rFonts w:hint="eastAsia" w:ascii="仿宋_GB2312" w:eastAsia="仿宋_GB2312"/>
          <w:b w:val="0"/>
          <w:bCs w:val="0"/>
          <w:sz w:val="28"/>
          <w:szCs w:val="28"/>
        </w:rPr>
        <w:t xml:space="preserve">7. </w:t>
      </w:r>
      <w:r>
        <w:rPr>
          <w:rFonts w:hint="eastAsia" w:ascii="仿宋_GB2312" w:eastAsia="仿宋_GB2312"/>
          <w:b w:val="0"/>
          <w:bCs w:val="0"/>
          <w:sz w:val="28"/>
          <w:szCs w:val="28"/>
          <w:lang w:eastAsia="zh-CN"/>
        </w:rPr>
        <w:t>本部门</w:t>
      </w:r>
      <w:r>
        <w:rPr>
          <w:rFonts w:hint="eastAsia" w:ascii="仿宋_GB2312" w:eastAsia="仿宋_GB2312"/>
          <w:sz w:val="28"/>
          <w:szCs w:val="28"/>
        </w:rPr>
        <w:t>当年使用的所有支出功能分类</w:t>
      </w:r>
      <w:r>
        <w:rPr>
          <w:rFonts w:hint="eastAsia" w:ascii="仿宋_GB2312" w:eastAsia="仿宋_GB2312"/>
          <w:b w:val="0"/>
          <w:bCs/>
          <w:sz w:val="28"/>
          <w:szCs w:val="28"/>
        </w:rPr>
        <w:t>项级</w:t>
      </w:r>
      <w:r>
        <w:rPr>
          <w:rFonts w:hint="eastAsia" w:ascii="仿宋_GB2312" w:eastAsia="仿宋_GB2312"/>
          <w:sz w:val="28"/>
          <w:szCs w:val="28"/>
        </w:rPr>
        <w:t>科目名词解释</w:t>
      </w:r>
      <w:r>
        <w:rPr>
          <w:rFonts w:hint="eastAsia" w:ascii="仿宋_GB2312" w:eastAsia="仿宋_GB2312"/>
          <w:b w:val="0"/>
          <w:bCs w:val="0"/>
          <w:sz w:val="28"/>
          <w:szCs w:val="28"/>
          <w:lang w:eastAsia="zh-CN"/>
        </w:rPr>
        <w:t>。</w:t>
      </w:r>
    </w:p>
    <w:p>
      <w:pPr>
        <w:ind w:firstLine="560" w:firstLineChars="200"/>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教育支出（类）进修及培训（款）培训支出（项）：反应各部门安排的用于培训的支出。教育部门的师资培训，党校、行政学院等专业干部教育机构的支出，以及退役退役士兵、转业士官的培训支出，不在本科目反映。</w:t>
      </w:r>
    </w:p>
    <w:p>
      <w:pPr>
        <w:ind w:firstLine="560" w:firstLineChars="200"/>
        <w:rPr>
          <w:rFonts w:hint="eastAsia" w:ascii="仿宋_GB2312" w:eastAsia="仿宋_GB2312"/>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rPr>
        <w:t>行政单位离退休（项）：反映用于行政单位（包括实行公务员管理的事业单位）开支的离退休经费。</w:t>
      </w:r>
    </w:p>
    <w:p>
      <w:p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机关事业单位实施养老保险制度由单位缴纳的基本养老保险费支出</w:t>
      </w:r>
      <w:r>
        <w:rPr>
          <w:rFonts w:hint="eastAsia" w:ascii="仿宋_GB2312" w:eastAsia="仿宋_GB2312"/>
          <w:b w:val="0"/>
          <w:bCs w:val="0"/>
          <w:sz w:val="28"/>
          <w:szCs w:val="28"/>
        </w:rPr>
        <w:t>。</w:t>
      </w:r>
    </w:p>
    <w:p>
      <w:pPr>
        <w:ind w:firstLine="560" w:firstLineChars="200"/>
        <w:rPr>
          <w:rFonts w:hint="eastAsia" w:ascii="仿宋_GB2312" w:eastAsia="仿宋_GB2312"/>
          <w:b w:val="0"/>
          <w:bCs w:val="0"/>
          <w:sz w:val="28"/>
          <w:szCs w:val="28"/>
        </w:rPr>
      </w:pPr>
      <w:r>
        <w:rPr>
          <w:rFonts w:hint="eastAsia" w:ascii="仿宋_GB2312" w:eastAsia="仿宋_GB2312"/>
          <w:b w:val="0"/>
          <w:bCs w:val="0"/>
          <w:sz w:val="28"/>
          <w:szCs w:val="28"/>
          <w:lang w:eastAsia="zh-CN"/>
        </w:rPr>
        <w:t>社</w:t>
      </w:r>
      <w:r>
        <w:rPr>
          <w:rFonts w:hint="eastAsia" w:ascii="仿宋_GB2312" w:eastAsia="仿宋_GB2312"/>
          <w:b w:val="0"/>
          <w:bCs w:val="0"/>
          <w:sz w:val="28"/>
          <w:szCs w:val="28"/>
        </w:rPr>
        <w:t>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w:t>
      </w:r>
      <w:r>
        <w:rPr>
          <w:rFonts w:hint="eastAsia" w:ascii="仿宋_GB2312" w:eastAsia="仿宋_GB2312"/>
          <w:b w:val="0"/>
          <w:bCs w:val="0"/>
          <w:sz w:val="28"/>
          <w:szCs w:val="28"/>
        </w:rPr>
        <w:t>反映</w:t>
      </w:r>
      <w:r>
        <w:rPr>
          <w:rFonts w:hint="eastAsia" w:ascii="仿宋_GB2312" w:eastAsia="仿宋_GB2312"/>
          <w:b w:val="0"/>
          <w:bCs w:val="0"/>
          <w:sz w:val="28"/>
          <w:szCs w:val="28"/>
          <w:lang w:eastAsia="zh-CN"/>
        </w:rPr>
        <w:t>机关事业单位实施养老保险制度由单位缴纳的职业年金支出</w:t>
      </w:r>
      <w:r>
        <w:rPr>
          <w:rFonts w:hint="eastAsia" w:ascii="仿宋_GB2312" w:eastAsia="仿宋_GB2312"/>
          <w:b w:val="0"/>
          <w:bCs w:val="0"/>
          <w:sz w:val="28"/>
          <w:szCs w:val="28"/>
        </w:rPr>
        <w:t>。</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卫生健康支出（类）行政事业单位医疗（款）行政单位医疗（项）：反应财政部门安排的行政单位（包括实行公务员管理的事业单位，下同）基本医疗保险缴费经费，未参加医疗保险的行政单位的公费医疗经费，按照国家规定享受离休人员、红军老战士待遇人员的医疗经费。</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ascii="仿宋_GB2312" w:eastAsia="仿宋_GB2312"/>
          <w:b w:val="0"/>
          <w:bCs w:val="0"/>
          <w:sz w:val="28"/>
          <w:szCs w:val="28"/>
          <w:lang w:eastAsia="zh-CN"/>
        </w:rPr>
      </w:pPr>
      <w:r>
        <w:rPr>
          <w:rFonts w:hint="eastAsia" w:ascii="仿宋_GB2312" w:eastAsia="仿宋_GB2312"/>
          <w:b w:val="0"/>
          <w:bCs w:val="0"/>
          <w:sz w:val="28"/>
          <w:szCs w:val="28"/>
          <w:lang w:eastAsia="zh-CN"/>
        </w:rPr>
        <w:t>卫生健康支出（类）行政事业单位医疗（款）公务员医疗补助（项）：反应财政部门安排的公务员医疗补助经费。</w:t>
      </w:r>
    </w:p>
    <w:p>
      <w:pPr>
        <w:pStyle w:val="8"/>
        <w:keepNext w:val="0"/>
        <w:keepLines w:val="0"/>
        <w:pageBreakBefore w:val="0"/>
        <w:widowControl w:val="0"/>
        <w:kinsoku/>
        <w:wordWrap/>
        <w:overflowPunct/>
        <w:topLinePunct/>
        <w:autoSpaceDE/>
        <w:autoSpaceDN/>
        <w:bidi w:val="0"/>
        <w:adjustRightInd/>
        <w:snapToGrid/>
        <w:spacing w:after="0" w:line="240" w:lineRule="auto"/>
        <w:ind w:right="0" w:rightChars="0"/>
        <w:jc w:val="both"/>
        <w:textAlignment w:val="auto"/>
        <w:outlineLvl w:val="9"/>
        <w:rPr>
          <w:rFonts w:hint="eastAsia"/>
          <w:b w:val="0"/>
          <w:bCs w:val="0"/>
          <w:sz w:val="28"/>
          <w:szCs w:val="28"/>
        </w:rPr>
      </w:pPr>
      <w:r>
        <w:rPr>
          <w:rFonts w:hint="eastAsia" w:ascii="仿宋_GB2312" w:eastAsia="仿宋_GB2312"/>
          <w:b w:val="0"/>
          <w:bCs w:val="0"/>
          <w:sz w:val="28"/>
          <w:szCs w:val="28"/>
          <w:lang w:eastAsia="zh-CN"/>
        </w:rPr>
        <w:t>农林水支出（类）农业农村（款）行政运行（项）：反应行政单位（包括实行公务员管理的事业单位）的基本支出。</w:t>
      </w:r>
    </w:p>
    <w:p>
      <w:pPr>
        <w:keepNext w:val="0"/>
        <w:keepLines w:val="0"/>
        <w:pageBreakBefore w:val="0"/>
        <w:widowControl w:val="0"/>
        <w:kinsoku/>
        <w:wordWrap/>
        <w:overflowPunct/>
        <w:topLinePunct/>
        <w:autoSpaceDE/>
        <w:autoSpaceDN/>
        <w:bidi w:val="0"/>
        <w:adjustRightInd/>
        <w:snapToGrid/>
        <w:spacing w:line="240" w:lineRule="auto"/>
        <w:ind w:right="0" w:rightChars="0" w:firstLine="560" w:firstLineChars="200"/>
        <w:jc w:val="both"/>
        <w:textAlignment w:val="auto"/>
        <w:outlineLvl w:val="9"/>
        <w:rPr>
          <w:rFonts w:hint="eastAsia" w:ascii="仿宋_GB2312" w:eastAsia="仿宋_GB2312"/>
          <w:b/>
          <w:sz w:val="28"/>
          <w:szCs w:val="28"/>
        </w:rPr>
      </w:pPr>
      <w:r>
        <w:rPr>
          <w:rFonts w:hint="eastAsia" w:ascii="仿宋_GB2312" w:eastAsia="仿宋_GB2312"/>
          <w:b w:val="0"/>
          <w:bCs w:val="0"/>
          <w:sz w:val="28"/>
          <w:szCs w:val="28"/>
          <w:lang w:eastAsia="zh-CN"/>
        </w:rPr>
        <w:t>农林水支出（类）农业农村（款）行业业务管理（项）：反映用于农业农村政策研究、规划编制、评审评估、绩效评价、监督检查等基本业务管理工作的支出。</w:t>
      </w:r>
    </w:p>
    <w:p>
      <w:pPr>
        <w:ind w:firstLine="560" w:firstLineChars="200"/>
        <w:rPr>
          <w:rFonts w:hint="eastAsia" w:ascii="仿宋_GB2312" w:eastAsia="仿宋_GB2312"/>
          <w:b/>
          <w:sz w:val="28"/>
          <w:szCs w:val="28"/>
        </w:rPr>
      </w:pPr>
      <w:r>
        <w:rPr>
          <w:rFonts w:hint="eastAsia" w:ascii="仿宋_GB2312" w:eastAsia="仿宋_GB2312"/>
          <w:b w:val="0"/>
          <w:bCs w:val="0"/>
          <w:sz w:val="28"/>
          <w:szCs w:val="28"/>
          <w:lang w:eastAsia="zh-CN"/>
        </w:rPr>
        <w:t>农林水支出（类）农业农村（款）农村合作经济（项）：反映用于农村集体经济组织、农民合作经济组织、新型农业经营主体和农业社会化服务体系建设，以及土地承包管理、宅基地管理等方面的支出。</w:t>
      </w:r>
    </w:p>
    <w:p>
      <w:pPr>
        <w:ind w:firstLine="420" w:firstLineChars="150"/>
        <w:rPr>
          <w:rFonts w:hint="eastAsia" w:ascii="仿宋_GB2312" w:eastAsia="仿宋_GB2312"/>
          <w:b/>
          <w:sz w:val="28"/>
          <w:szCs w:val="28"/>
        </w:rPr>
      </w:pPr>
      <w:r>
        <w:rPr>
          <w:rFonts w:hint="eastAsia" w:ascii="仿宋_GB2312" w:eastAsia="仿宋_GB2312"/>
          <w:b w:val="0"/>
          <w:bCs w:val="0"/>
          <w:sz w:val="28"/>
          <w:szCs w:val="28"/>
          <w:lang w:eastAsia="zh-CN"/>
        </w:rPr>
        <w:t>农林水支出（类）农业农村（款）其他农业农村支出（项）：反映除上述项目以外其他用于农业农村方面的支出。</w:t>
      </w: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ind w:firstLine="421" w:firstLineChars="150"/>
        <w:rPr>
          <w:rFonts w:hint="eastAsia" w:ascii="仿宋_GB2312" w:eastAsia="仿宋_GB2312"/>
          <w:b/>
          <w:sz w:val="28"/>
          <w:szCs w:val="28"/>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年度部门绩效评价情况</w:t>
      </w:r>
    </w:p>
    <w:p>
      <w:pPr>
        <w:spacing w:line="580" w:lineRule="exact"/>
        <w:ind w:firstLine="560" w:firstLineChars="200"/>
        <w:jc w:val="center"/>
        <w:rPr>
          <w:rFonts w:hint="eastAsia" w:ascii="黑体" w:eastAsia="黑体"/>
          <w:sz w:val="28"/>
          <w:szCs w:val="28"/>
        </w:rPr>
      </w:pPr>
    </w:p>
    <w:p>
      <w:pPr>
        <w:numPr>
          <w:ilvl w:val="0"/>
          <w:numId w:val="6"/>
        </w:numPr>
        <w:ind w:firstLine="560" w:firstLineChars="200"/>
        <w:rPr>
          <w:rFonts w:hint="eastAsia" w:ascii="黑体" w:eastAsia="黑体"/>
          <w:sz w:val="28"/>
          <w:szCs w:val="28"/>
        </w:rPr>
      </w:pPr>
      <w:r>
        <w:rPr>
          <w:rFonts w:hint="eastAsia" w:ascii="黑体" w:eastAsia="黑体"/>
          <w:sz w:val="28"/>
          <w:szCs w:val="28"/>
        </w:rPr>
        <w:t>部门整体绩效评价报告</w:t>
      </w:r>
    </w:p>
    <w:p>
      <w:pPr>
        <w:spacing w:line="560" w:lineRule="exact"/>
        <w:ind w:firstLine="840" w:firstLineChars="400"/>
        <w:jc w:val="both"/>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8"/>
          <w:szCs w:val="28"/>
          <w:lang w:val="en-US" w:eastAsia="zh-CN"/>
        </w:rPr>
        <w:t>附件：</w:t>
      </w:r>
      <w:r>
        <w:rPr>
          <w:rFonts w:hint="eastAsia" w:ascii="仿宋_GB2312" w:hAnsi="仿宋_GB2312" w:eastAsia="仿宋_GB2312" w:cs="仿宋_GB2312"/>
          <w:sz w:val="28"/>
          <w:szCs w:val="28"/>
          <w:lang w:eastAsia="zh-CN"/>
        </w:rPr>
        <w:t>大兴区经管站</w:t>
      </w:r>
      <w:r>
        <w:rPr>
          <w:rFonts w:hint="eastAsia" w:ascii="仿宋_GB2312" w:hAnsi="仿宋_GB2312" w:eastAsia="仿宋_GB2312" w:cs="仿宋_GB2312"/>
          <w:sz w:val="28"/>
          <w:szCs w:val="28"/>
        </w:rPr>
        <w:t>部门整体绩效</w:t>
      </w:r>
      <w:r>
        <w:rPr>
          <w:rFonts w:hint="eastAsia" w:ascii="仿宋_GB2312" w:hAnsi="仿宋_GB2312" w:eastAsia="仿宋_GB2312" w:cs="仿宋_GB2312"/>
          <w:sz w:val="28"/>
          <w:szCs w:val="28"/>
          <w:lang w:eastAsia="zh-CN"/>
        </w:rPr>
        <w:t>评价</w:t>
      </w:r>
      <w:r>
        <w:rPr>
          <w:rFonts w:hint="eastAsia" w:ascii="仿宋_GB2312" w:hAnsi="仿宋_GB2312" w:eastAsia="仿宋_GB2312" w:cs="仿宋_GB2312"/>
          <w:sz w:val="28"/>
          <w:szCs w:val="28"/>
        </w:rPr>
        <w:t>报告</w:t>
      </w:r>
    </w:p>
    <w:p>
      <w:pPr>
        <w:numPr>
          <w:ilvl w:val="0"/>
          <w:numId w:val="6"/>
        </w:numPr>
        <w:ind w:left="0" w:leftChars="0" w:firstLine="560" w:firstLineChars="200"/>
        <w:rPr>
          <w:rFonts w:hint="eastAsia" w:ascii="黑体" w:eastAsia="黑体"/>
          <w:sz w:val="28"/>
          <w:szCs w:val="28"/>
        </w:rPr>
      </w:pPr>
      <w:r>
        <w:rPr>
          <w:rFonts w:hint="eastAsia" w:ascii="黑体" w:eastAsia="黑体"/>
          <w:sz w:val="28"/>
          <w:szCs w:val="28"/>
        </w:rPr>
        <w:t>项目支出部门绩效评价报告</w:t>
      </w:r>
    </w:p>
    <w:p>
      <w:pPr>
        <w:keepNext w:val="0"/>
        <w:keepLines w:val="0"/>
        <w:pageBreakBefore w:val="0"/>
        <w:widowControl w:val="0"/>
        <w:kinsoku/>
        <w:wordWrap/>
        <w:overflowPunct/>
        <w:topLinePunct w:val="0"/>
        <w:autoSpaceDE/>
        <w:autoSpaceDN/>
        <w:bidi w:val="0"/>
        <w:adjustRightInd/>
        <w:snapToGrid/>
        <w:spacing w:line="600" w:lineRule="exact"/>
        <w:ind w:firstLine="840" w:firstLineChars="3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附件：</w:t>
      </w:r>
      <w:r>
        <w:rPr>
          <w:rFonts w:hint="eastAsia" w:ascii="仿宋_GB2312" w:hAnsi="仿宋_GB2312" w:eastAsia="仿宋_GB2312" w:cs="仿宋_GB2312"/>
          <w:b w:val="0"/>
          <w:bCs w:val="0"/>
          <w:sz w:val="28"/>
          <w:szCs w:val="28"/>
          <w:lang w:eastAsia="zh-CN"/>
        </w:rPr>
        <w:t>村级财务资产审计检查</w:t>
      </w:r>
      <w:r>
        <w:rPr>
          <w:rFonts w:hint="eastAsia" w:ascii="仿宋_GB2312" w:hAnsi="仿宋_GB2312" w:eastAsia="仿宋_GB2312" w:cs="仿宋_GB2312"/>
          <w:b w:val="0"/>
          <w:bCs w:val="0"/>
          <w:sz w:val="28"/>
          <w:szCs w:val="28"/>
        </w:rPr>
        <w:t>项目支出绩效评价报告</w:t>
      </w:r>
    </w:p>
    <w:p>
      <w:pPr>
        <w:numPr>
          <w:ilvl w:val="0"/>
          <w:numId w:val="6"/>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numPr>
          <w:ilvl w:val="0"/>
          <w:numId w:val="0"/>
        </w:numPr>
        <w:ind w:leftChars="200"/>
        <w:rPr>
          <w:rFonts w:hint="default"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hAnsi="仿宋_GB2312" w:eastAsia="仿宋_GB2312" w:cs="仿宋_GB2312"/>
          <w:sz w:val="28"/>
          <w:szCs w:val="28"/>
          <w:lang w:val="en-US" w:eastAsia="zh-CN"/>
        </w:rPr>
        <w:t>祥见附件</w:t>
      </w: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方正小标宋简体" w:eastAsia="方正小标宋简体"/>
          <w:sz w:val="36"/>
          <w:szCs w:val="36"/>
          <w:highlight w:val="none"/>
          <w:lang w:eastAsia="zh-CN"/>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方正小标宋简体" w:eastAsia="方正小标宋简体"/>
          <w:sz w:val="36"/>
          <w:szCs w:val="36"/>
          <w:highlight w:val="none"/>
          <w:lang w:eastAsia="zh-CN"/>
        </w:rPr>
      </w:pPr>
      <w:r>
        <w:rPr>
          <w:rFonts w:hint="eastAsia" w:ascii="方正小标宋简体" w:eastAsia="方正小标宋简体"/>
          <w:sz w:val="36"/>
          <w:szCs w:val="36"/>
          <w:highlight w:val="none"/>
          <w:lang w:eastAsia="zh-CN"/>
        </w:rPr>
        <w:t>附件：</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sz w:val="36"/>
          <w:szCs w:val="36"/>
          <w:highlight w:val="none"/>
        </w:rPr>
      </w:pPr>
      <w:r>
        <w:rPr>
          <w:rFonts w:hint="eastAsia" w:ascii="方正小标宋简体" w:eastAsia="方正小标宋简体"/>
          <w:sz w:val="36"/>
          <w:szCs w:val="36"/>
          <w:highlight w:val="none"/>
        </w:rPr>
        <w:t>部门整体绩效</w:t>
      </w:r>
      <w:r>
        <w:rPr>
          <w:rFonts w:hint="eastAsia" w:ascii="方正小标宋简体" w:eastAsia="方正小标宋简体"/>
          <w:sz w:val="36"/>
          <w:szCs w:val="36"/>
          <w:highlight w:val="none"/>
          <w:lang w:eastAsia="zh-CN"/>
        </w:rPr>
        <w:t>评价</w:t>
      </w:r>
      <w:r>
        <w:rPr>
          <w:rFonts w:hint="eastAsia" w:ascii="方正小标宋简体" w:eastAsia="方正小标宋简体"/>
          <w:sz w:val="36"/>
          <w:szCs w:val="36"/>
          <w:highlight w:val="none"/>
        </w:rPr>
        <w:t>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left="126" w:leftChars="60" w:firstLine="560" w:firstLineChars="200"/>
        <w:textAlignment w:val="auto"/>
        <w:rPr>
          <w:rFonts w:hint="eastAsia" w:ascii="仿宋_GB2312" w:hAnsi="仿宋_GB2312" w:eastAsia="仿宋_GB2312" w:cs="仿宋_GB2312"/>
          <w:b w:val="0"/>
          <w:bCs w:val="0"/>
          <w:color w:val="000000"/>
          <w:sz w:val="28"/>
          <w:szCs w:val="28"/>
          <w:shd w:val="clear" w:color="auto" w:fill="FFFFFF"/>
          <w:lang w:val="en-US"/>
        </w:rPr>
      </w:pPr>
      <w:r>
        <w:rPr>
          <w:rFonts w:hint="eastAsia" w:ascii="仿宋_GB2312" w:hAnsi="仿宋_GB2312" w:eastAsia="仿宋_GB2312" w:cs="仿宋_GB2312"/>
          <w:color w:val="000000"/>
          <w:kern w:val="11"/>
          <w:sz w:val="28"/>
          <w:szCs w:val="28"/>
        </w:rPr>
        <w:t>大兴区经管站</w:t>
      </w:r>
      <w:r>
        <w:rPr>
          <w:rFonts w:hint="eastAsia" w:ascii="仿宋_GB2312" w:hAnsi="仿宋_GB2312" w:eastAsia="仿宋_GB2312" w:cs="仿宋_GB2312"/>
          <w:color w:val="000000"/>
          <w:kern w:val="11"/>
          <w:sz w:val="28"/>
          <w:szCs w:val="28"/>
          <w:lang w:eastAsia="zh-CN"/>
        </w:rPr>
        <w:t>部门为</w:t>
      </w:r>
      <w:r>
        <w:rPr>
          <w:rFonts w:hint="eastAsia" w:ascii="仿宋_GB2312" w:hAnsi="仿宋_GB2312" w:eastAsia="仿宋_GB2312" w:cs="仿宋_GB2312"/>
          <w:color w:val="000000"/>
          <w:kern w:val="11"/>
          <w:sz w:val="28"/>
          <w:szCs w:val="28"/>
        </w:rPr>
        <w:t>北京市大兴区农村合作经济经营管理站本级，</w:t>
      </w:r>
      <w:r>
        <w:rPr>
          <w:rFonts w:hint="eastAsia" w:ascii="仿宋_GB2312" w:hAnsi="仿宋_GB2312" w:eastAsia="仿宋_GB2312" w:cs="仿宋_GB2312"/>
          <w:sz w:val="28"/>
          <w:szCs w:val="28"/>
        </w:rPr>
        <w:t>公益一类事业单位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color w:val="000000"/>
          <w:sz w:val="28"/>
          <w:szCs w:val="28"/>
        </w:rPr>
        <w:t>为一级预算单位，没有下级单位，现有内设科室八个，即：办公室、人教科、</w:t>
      </w:r>
      <w:r>
        <w:rPr>
          <w:rFonts w:hint="eastAsia" w:ascii="仿宋_GB2312" w:hAnsi="仿宋_GB2312" w:eastAsia="仿宋_GB2312" w:cs="仿宋_GB2312"/>
          <w:sz w:val="28"/>
          <w:szCs w:val="28"/>
        </w:rPr>
        <w:t>村级集体资产指导科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镇级集体资产指导科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农村土地承包合同管理科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农村财务审计科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农民专业合作社管理和统计科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农村管理信息化办公室</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2023年末实有在职人数35人，</w:t>
      </w:r>
      <w:r>
        <w:rPr>
          <w:rFonts w:hint="eastAsia" w:ascii="仿宋_GB2312" w:hAnsi="仿宋_GB2312" w:eastAsia="仿宋_GB2312" w:cs="仿宋_GB2312"/>
          <w:color w:val="000000"/>
          <w:kern w:val="11"/>
          <w:sz w:val="28"/>
          <w:szCs w:val="28"/>
        </w:rPr>
        <w:t>本年</w:t>
      </w:r>
      <w:r>
        <w:rPr>
          <w:rFonts w:hint="eastAsia" w:ascii="仿宋_GB2312" w:hAnsi="仿宋_GB2312" w:eastAsia="仿宋_GB2312" w:cs="仿宋_GB2312"/>
          <w:color w:val="000000"/>
          <w:kern w:val="11"/>
          <w:sz w:val="28"/>
          <w:szCs w:val="28"/>
          <w:lang w:val="en-US" w:eastAsia="zh-CN"/>
        </w:rPr>
        <w:t>调入2人，招录1人，</w:t>
      </w:r>
      <w:r>
        <w:rPr>
          <w:rFonts w:hint="eastAsia" w:ascii="仿宋_GB2312" w:hAnsi="仿宋_GB2312" w:eastAsia="仿宋_GB2312" w:cs="仿宋_GB2312"/>
          <w:color w:val="000000"/>
          <w:kern w:val="11"/>
          <w:sz w:val="28"/>
          <w:szCs w:val="28"/>
          <w:lang w:eastAsia="zh-CN"/>
        </w:rPr>
        <w:t>在职退休</w:t>
      </w:r>
      <w:r>
        <w:rPr>
          <w:rFonts w:hint="eastAsia" w:ascii="仿宋_GB2312" w:hAnsi="仿宋_GB2312" w:eastAsia="仿宋_GB2312" w:cs="仿宋_GB2312"/>
          <w:color w:val="000000"/>
          <w:kern w:val="11"/>
          <w:sz w:val="28"/>
          <w:szCs w:val="28"/>
          <w:lang w:val="en-US" w:eastAsia="zh-CN"/>
        </w:rPr>
        <w:t>5</w:t>
      </w:r>
      <w:r>
        <w:rPr>
          <w:rFonts w:hint="eastAsia" w:ascii="仿宋_GB2312" w:hAnsi="仿宋_GB2312" w:eastAsia="仿宋_GB2312" w:cs="仿宋_GB2312"/>
          <w:color w:val="000000"/>
          <w:kern w:val="11"/>
          <w:sz w:val="28"/>
          <w:szCs w:val="28"/>
        </w:rPr>
        <w:t>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val="0"/>
          <w:bCs w:val="0"/>
          <w:sz w:val="28"/>
          <w:szCs w:val="28"/>
          <w:lang w:eastAsia="zh-CN"/>
        </w:rPr>
        <w:t>本单位</w:t>
      </w:r>
      <w:r>
        <w:rPr>
          <w:rFonts w:hint="eastAsia" w:ascii="仿宋_GB2312" w:hAnsi="仿宋_GB2312" w:eastAsia="仿宋_GB2312" w:cs="仿宋_GB2312"/>
          <w:b w:val="0"/>
          <w:bCs w:val="0"/>
          <w:sz w:val="28"/>
          <w:szCs w:val="28"/>
        </w:rPr>
        <w:t>主要职能</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宣传和贯彻执行国家、北京市关于农村合作经济经营管理的法律、法规、规章、政策，并协助区农业农村行政管理部门组织实施；负责开展农村合作经济经营方面调查研究，提出相关政策建议。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承担镇、村集体资产管理和集体经济组织产权制度改革方面的辅助性、事务性、技术性工作。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负责农村土地承包合同管理相关工作；接受区农业农村行政管理部门指导，组织开展农村土地承包经营纠纷调解与仲裁工作。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承担农村财务管理和农村财务审计方面辅助性、事务性、技术性工作。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负责农民专业合作组织建设、管理方面的辅助性、事务性、技术性工作；负责低收入农户监测工作；协助落实减轻农 民负担方面的政策法规。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负责农村管理信息化工作。负责农村合作经济经营管理方面相关培训和统计等工作。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承办区委、区政府交办的其他任务。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（二）部</w:t>
      </w:r>
      <w:r>
        <w:rPr>
          <w:rFonts w:hint="eastAsia" w:ascii="仿宋_GB2312" w:hAnsi="仿宋_GB2312" w:eastAsia="仿宋_GB2312" w:cs="仿宋_GB2312"/>
          <w:b w:val="0"/>
          <w:bCs w:val="0"/>
          <w:sz w:val="28"/>
          <w:szCs w:val="28"/>
        </w:rPr>
        <w:t>门整体绩</w:t>
      </w:r>
      <w:r>
        <w:rPr>
          <w:rFonts w:hint="eastAsia" w:ascii="仿宋_GB2312" w:hAnsi="仿宋_GB2312" w:eastAsia="仿宋_GB2312" w:cs="仿宋_GB2312"/>
          <w:sz w:val="28"/>
          <w:szCs w:val="28"/>
        </w:rPr>
        <w:t>效目标设立情况（包括绩效目标设立依据、目标与职责任务匹配情况、目标合理性等）。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32"/>
          <w:szCs w:val="32"/>
        </w:rPr>
      </w:pPr>
      <w:r>
        <w:rPr>
          <w:rFonts w:hint="eastAsia" w:ascii="仿宋_GB2312" w:hAnsi="仿宋_GB2312" w:eastAsia="仿宋_GB2312" w:cs="仿宋_GB2312"/>
          <w:sz w:val="28"/>
          <w:szCs w:val="28"/>
          <w:lang w:eastAsia="zh-CN"/>
        </w:rPr>
        <w:t>年初根据单位工作职责和各科室年度重点工作编制了大兴区经管站</w:t>
      </w:r>
      <w:r>
        <w:rPr>
          <w:rFonts w:hint="eastAsia" w:ascii="仿宋_GB2312" w:hAnsi="仿宋_GB2312" w:eastAsia="仿宋_GB2312" w:cs="仿宋_GB2312"/>
          <w:sz w:val="28"/>
          <w:szCs w:val="28"/>
          <w:lang w:val="en-US" w:eastAsia="zh-CN"/>
        </w:rPr>
        <w:t>2023年度部门整体绩效目标表，具体绩效目标为：一是</w:t>
      </w:r>
      <w:r>
        <w:rPr>
          <w:rFonts w:hint="eastAsia" w:ascii="仿宋_GB2312" w:hAnsi="仿宋_GB2312" w:eastAsia="仿宋_GB2312" w:cs="仿宋_GB2312"/>
          <w:sz w:val="28"/>
          <w:szCs w:val="28"/>
          <w:lang w:eastAsia="zh-CN"/>
        </w:rPr>
        <w:t>加强村级财务监督管理，</w:t>
      </w:r>
      <w:r>
        <w:rPr>
          <w:rFonts w:hint="eastAsia" w:ascii="仿宋_GB2312" w:hAnsi="仿宋_GB2312" w:eastAsia="仿宋_GB2312" w:cs="仿宋_GB2312"/>
          <w:sz w:val="28"/>
          <w:szCs w:val="28"/>
        </w:rPr>
        <w:t>继续推进村级财务资产审计检查工作</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加强集体资产管理，继续落实</w:t>
      </w:r>
      <w:r>
        <w:rPr>
          <w:rFonts w:hint="eastAsia" w:ascii="仿宋_GB2312" w:hAnsi="仿宋_GB2312" w:eastAsia="仿宋_GB2312" w:cs="仿宋_GB2312"/>
          <w:sz w:val="28"/>
          <w:szCs w:val="28"/>
        </w:rPr>
        <w:t>村级“四议一审两公开”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“村资区管”制度</w:t>
      </w:r>
      <w:r>
        <w:rPr>
          <w:rFonts w:hint="eastAsia" w:ascii="仿宋_GB2312" w:hAnsi="仿宋_GB2312" w:eastAsia="仿宋_GB2312" w:cs="仿宋_GB2312"/>
          <w:sz w:val="28"/>
          <w:szCs w:val="28"/>
          <w:lang w:val="en-US" w:eastAsia="zh-CN"/>
        </w:rPr>
        <w:t>；三是</w:t>
      </w:r>
      <w:r>
        <w:rPr>
          <w:rFonts w:hint="eastAsia" w:ascii="仿宋_GB2312" w:hAnsi="仿宋_GB2312" w:eastAsia="仿宋_GB2312" w:cs="仿宋_GB2312"/>
          <w:sz w:val="28"/>
          <w:szCs w:val="28"/>
          <w:lang w:eastAsia="zh-CN"/>
        </w:rPr>
        <w:t>继续加强农地流转、土地出租合同管理</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继续加强农经、财会人员素质提升</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继续加强农经统计和信息化管理</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年全年预算数</w:t>
      </w:r>
      <w:r>
        <w:rPr>
          <w:rFonts w:hint="eastAsia" w:ascii="仿宋_GB2312" w:hAnsi="仿宋_GB2312" w:eastAsia="仿宋_GB2312" w:cs="仿宋_GB2312"/>
          <w:sz w:val="28"/>
          <w:szCs w:val="28"/>
          <w:lang w:val="en-US"/>
        </w:rPr>
        <w:t>2164.21</w:t>
      </w:r>
      <w:r>
        <w:rPr>
          <w:rFonts w:hint="eastAsia" w:ascii="仿宋_GB2312" w:hAnsi="仿宋_GB2312" w:eastAsia="仿宋_GB2312" w:cs="仿宋_GB2312"/>
          <w:sz w:val="28"/>
          <w:szCs w:val="28"/>
        </w:rPr>
        <w:t>万元，其中，基本支出预算数</w:t>
      </w:r>
      <w:r>
        <w:rPr>
          <w:rFonts w:hint="eastAsia" w:ascii="仿宋_GB2312" w:hAnsi="仿宋_GB2312" w:eastAsia="仿宋_GB2312" w:cs="仿宋_GB2312"/>
          <w:sz w:val="28"/>
          <w:szCs w:val="28"/>
          <w:lang w:val="en-US"/>
        </w:rPr>
        <w:t>1298.21</w:t>
      </w:r>
      <w:r>
        <w:rPr>
          <w:rFonts w:hint="eastAsia" w:ascii="仿宋_GB2312" w:hAnsi="仿宋_GB2312" w:eastAsia="仿宋_GB2312" w:cs="仿宋_GB2312"/>
          <w:sz w:val="28"/>
          <w:szCs w:val="28"/>
        </w:rPr>
        <w:t>万元，项目支出预算数</w:t>
      </w:r>
      <w:r>
        <w:rPr>
          <w:rFonts w:hint="eastAsia" w:ascii="仿宋_GB2312" w:hAnsi="仿宋_GB2312" w:eastAsia="仿宋_GB2312" w:cs="仿宋_GB2312"/>
          <w:sz w:val="28"/>
          <w:szCs w:val="28"/>
          <w:lang w:val="en-US"/>
        </w:rPr>
        <w:t>866</w:t>
      </w:r>
      <w:r>
        <w:rPr>
          <w:rFonts w:hint="eastAsia" w:ascii="仿宋_GB2312" w:hAnsi="仿宋_GB2312" w:eastAsia="仿宋_GB2312" w:cs="仿宋_GB2312"/>
          <w:sz w:val="28"/>
          <w:szCs w:val="28"/>
        </w:rPr>
        <w:t>万元，其他支出预算数</w:t>
      </w:r>
      <w:r>
        <w:rPr>
          <w:rFonts w:hint="eastAsia" w:ascii="仿宋_GB2312" w:hAnsi="仿宋_GB2312" w:eastAsia="仿宋_GB2312" w:cs="仿宋_GB2312"/>
          <w:sz w:val="28"/>
          <w:szCs w:val="28"/>
          <w:lang w:val="en-US"/>
        </w:rPr>
        <w:t>0</w:t>
      </w:r>
      <w:r>
        <w:rPr>
          <w:rFonts w:hint="eastAsia" w:ascii="仿宋_GB2312" w:hAnsi="仿宋_GB2312" w:eastAsia="仿宋_GB2312" w:cs="仿宋_GB2312"/>
          <w:sz w:val="28"/>
          <w:szCs w:val="28"/>
        </w:rPr>
        <w:t>万元。资金总体支出</w:t>
      </w:r>
      <w:r>
        <w:rPr>
          <w:rFonts w:hint="eastAsia" w:ascii="仿宋_GB2312" w:hAnsi="仿宋_GB2312" w:eastAsia="仿宋_GB2312" w:cs="仿宋_GB2312"/>
          <w:sz w:val="28"/>
          <w:szCs w:val="28"/>
          <w:lang w:val="en-US"/>
        </w:rPr>
        <w:t>2085.8</w:t>
      </w:r>
      <w:r>
        <w:rPr>
          <w:rFonts w:hint="eastAsia" w:ascii="仿宋_GB2312" w:hAnsi="仿宋_GB2312" w:eastAsia="仿宋_GB2312" w:cs="仿宋_GB2312"/>
          <w:sz w:val="28"/>
          <w:szCs w:val="28"/>
        </w:rPr>
        <w:t>万元，其中，基本支出</w:t>
      </w:r>
      <w:r>
        <w:rPr>
          <w:rFonts w:hint="eastAsia" w:ascii="仿宋_GB2312" w:hAnsi="仿宋_GB2312" w:eastAsia="仿宋_GB2312" w:cs="仿宋_GB2312"/>
          <w:sz w:val="28"/>
          <w:szCs w:val="28"/>
          <w:lang w:val="en-US"/>
        </w:rPr>
        <w:t>1269.96</w:t>
      </w:r>
      <w:r>
        <w:rPr>
          <w:rFonts w:hint="eastAsia" w:ascii="仿宋_GB2312" w:hAnsi="仿宋_GB2312" w:eastAsia="仿宋_GB2312" w:cs="仿宋_GB2312"/>
          <w:sz w:val="28"/>
          <w:szCs w:val="28"/>
        </w:rPr>
        <w:t>万元，项目支出</w:t>
      </w:r>
      <w:r>
        <w:rPr>
          <w:rFonts w:hint="eastAsia" w:ascii="仿宋_GB2312" w:hAnsi="仿宋_GB2312" w:eastAsia="仿宋_GB2312" w:cs="仿宋_GB2312"/>
          <w:sz w:val="28"/>
          <w:szCs w:val="28"/>
          <w:lang w:val="en-US"/>
        </w:rPr>
        <w:t>815.84</w:t>
      </w:r>
      <w:r>
        <w:rPr>
          <w:rFonts w:hint="eastAsia" w:ascii="仿宋_GB2312" w:hAnsi="仿宋_GB2312" w:eastAsia="仿宋_GB2312" w:cs="仿宋_GB2312"/>
          <w:sz w:val="28"/>
          <w:szCs w:val="28"/>
        </w:rPr>
        <w:t>万元，其他支出</w:t>
      </w:r>
      <w:r>
        <w:rPr>
          <w:rFonts w:hint="eastAsia" w:ascii="仿宋_GB2312" w:hAnsi="仿宋_GB2312" w:eastAsia="仿宋_GB2312" w:cs="仿宋_GB2312"/>
          <w:sz w:val="28"/>
          <w:szCs w:val="28"/>
          <w:lang w:val="en-US"/>
        </w:rPr>
        <w:t>0</w:t>
      </w:r>
      <w:r>
        <w:rPr>
          <w:rFonts w:hint="eastAsia" w:ascii="仿宋_GB2312" w:hAnsi="仿宋_GB2312" w:eastAsia="仿宋_GB2312" w:cs="仿宋_GB2312"/>
          <w:sz w:val="28"/>
          <w:szCs w:val="28"/>
        </w:rPr>
        <w:t>万元。预算执行率为</w:t>
      </w:r>
      <w:r>
        <w:rPr>
          <w:rFonts w:hint="eastAsia" w:ascii="仿宋_GB2312" w:hAnsi="仿宋_GB2312" w:eastAsia="仿宋_GB2312" w:cs="仿宋_GB2312"/>
          <w:sz w:val="28"/>
          <w:szCs w:val="28"/>
          <w:lang w:val="en-US"/>
        </w:rPr>
        <w:t>96.38%</w:t>
      </w:r>
      <w:r>
        <w:rPr>
          <w:rFonts w:hint="eastAsia" w:ascii="仿宋_GB2312" w:hAnsi="仿宋_GB2312" w:eastAsia="仿宋_GB2312" w:cs="仿宋_GB2312"/>
          <w:sz w:val="28"/>
          <w:szCs w:val="28"/>
        </w:rPr>
        <w:t>。</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s="宋体"/>
          <w:color w:val="000000"/>
          <w:kern w:val="0"/>
          <w:sz w:val="28"/>
          <w:szCs w:val="28"/>
          <w:highlight w:val="none"/>
        </w:rPr>
      </w:pPr>
      <w:r>
        <w:rPr>
          <w:rFonts w:ascii="黑体" w:hAnsi="黑体" w:eastAsia="黑体" w:cs="宋体"/>
          <w:color w:val="000000"/>
          <w:kern w:val="0"/>
          <w:sz w:val="28"/>
          <w:szCs w:val="28"/>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年，我</w:t>
      </w:r>
      <w:r>
        <w:rPr>
          <w:rFonts w:hint="eastAsia" w:ascii="仿宋_GB2312" w:hAnsi="仿宋_GB2312" w:eastAsia="仿宋_GB2312" w:cs="仿宋_GB2312"/>
          <w:sz w:val="28"/>
          <w:szCs w:val="28"/>
          <w:lang w:eastAsia="zh-CN"/>
        </w:rPr>
        <w:t>单位</w:t>
      </w:r>
      <w:r>
        <w:rPr>
          <w:rFonts w:hint="eastAsia" w:ascii="仿宋_GB2312" w:hAnsi="仿宋_GB2312" w:eastAsia="仿宋_GB2312" w:cs="仿宋_GB2312"/>
          <w:sz w:val="28"/>
          <w:szCs w:val="28"/>
        </w:rPr>
        <w:t>继续按照统筹兼顾、厉行节约、讲求绩效、收支平衡的原则编制了部门预算，全年支出基本做到了按预算执行，既保障了干部职工工资</w:t>
      </w:r>
      <w:r>
        <w:rPr>
          <w:rFonts w:hint="eastAsia" w:ascii="仿宋_GB2312" w:hAnsi="仿宋_GB2312" w:eastAsia="仿宋_GB2312" w:cs="仿宋_GB2312"/>
          <w:sz w:val="28"/>
          <w:szCs w:val="28"/>
          <w:lang w:eastAsia="zh-CN"/>
        </w:rPr>
        <w:t>福利</w:t>
      </w:r>
      <w:r>
        <w:rPr>
          <w:rFonts w:hint="eastAsia" w:ascii="仿宋_GB2312" w:hAnsi="仿宋_GB2312" w:eastAsia="仿宋_GB2312" w:cs="仿宋_GB2312"/>
          <w:sz w:val="28"/>
          <w:szCs w:val="28"/>
        </w:rPr>
        <w:t>及对个人和家庭补助、日常公用经费等刚性支出，又围绕中心，服务大局</w:t>
      </w:r>
      <w:r>
        <w:rPr>
          <w:rFonts w:hint="eastAsia" w:ascii="仿宋_GB2312" w:hAnsi="仿宋_GB2312" w:eastAsia="仿宋_GB2312" w:cs="仿宋_GB2312"/>
          <w:sz w:val="28"/>
          <w:szCs w:val="28"/>
          <w:lang w:eastAsia="zh-CN"/>
        </w:rPr>
        <w:t>，完成了单位重点工作</w:t>
      </w:r>
      <w:r>
        <w:rPr>
          <w:rFonts w:hint="eastAsia" w:ascii="仿宋_GB2312" w:hAnsi="仿宋_GB2312" w:eastAsia="仿宋_GB2312" w:cs="仿宋_GB2312"/>
          <w:sz w:val="28"/>
          <w:szCs w:val="28"/>
        </w:rPr>
        <w:t>，具体绩效目标完成情况如下：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 xml:space="preserve">   （一）</w:t>
      </w:r>
      <w:r>
        <w:rPr>
          <w:rFonts w:hint="eastAsia" w:ascii="仿宋_GB2312" w:hAnsi="仿宋_GB2312" w:eastAsia="仿宋_GB2312" w:cs="仿宋_GB2312"/>
          <w:sz w:val="28"/>
          <w:szCs w:val="28"/>
          <w:lang w:eastAsia="zh-CN"/>
        </w:rPr>
        <w:t>加强村级财务监督管理，</w:t>
      </w:r>
      <w:r>
        <w:rPr>
          <w:rFonts w:hint="eastAsia" w:ascii="仿宋_GB2312" w:hAnsi="仿宋_GB2312" w:eastAsia="仿宋_GB2312" w:cs="仿宋_GB2312"/>
          <w:sz w:val="28"/>
          <w:szCs w:val="28"/>
        </w:rPr>
        <w:t>继续推进村级财务资产审计检查工作</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继续村</w:t>
      </w:r>
      <w:r>
        <w:rPr>
          <w:rFonts w:hint="eastAsia" w:ascii="仿宋_GB2312" w:hAnsi="仿宋_GB2312" w:eastAsia="仿宋_GB2312" w:cs="仿宋_GB2312"/>
          <w:sz w:val="28"/>
          <w:szCs w:val="28"/>
        </w:rPr>
        <w:t>级财务资产审计检查工作，涉及</w:t>
      </w:r>
      <w:r>
        <w:rPr>
          <w:rFonts w:hint="eastAsia" w:ascii="仿宋_GB2312" w:hAnsi="仿宋_GB2312" w:eastAsia="仿宋_GB2312" w:cs="仿宋_GB2312"/>
          <w:sz w:val="28"/>
          <w:szCs w:val="28"/>
          <w:lang w:eastAsia="zh-CN"/>
        </w:rPr>
        <w:t>黄村</w:t>
      </w:r>
      <w:r>
        <w:rPr>
          <w:rFonts w:hint="eastAsia" w:ascii="仿宋_GB2312" w:hAnsi="仿宋_GB2312" w:eastAsia="仿宋_GB2312" w:cs="仿宋_GB2312"/>
          <w:sz w:val="28"/>
          <w:szCs w:val="28"/>
          <w:lang w:val="en-US" w:eastAsia="zh-CN"/>
        </w:rPr>
        <w:t>、西红门，安定、亦庄、瀛海、旧宫6</w:t>
      </w:r>
      <w:r>
        <w:rPr>
          <w:rFonts w:hint="eastAsia" w:ascii="仿宋_GB2312" w:hAnsi="仿宋_GB2312" w:eastAsia="仿宋_GB2312" w:cs="仿宋_GB2312"/>
          <w:sz w:val="28"/>
          <w:szCs w:val="28"/>
        </w:rPr>
        <w:t>个镇</w:t>
      </w:r>
      <w:r>
        <w:rPr>
          <w:rFonts w:hint="eastAsia" w:ascii="仿宋_GB2312" w:hAnsi="仿宋_GB2312" w:eastAsia="仿宋_GB2312" w:cs="仿宋_GB2312"/>
          <w:sz w:val="28"/>
          <w:szCs w:val="28"/>
          <w:lang w:val="en-US" w:eastAsia="zh-CN"/>
        </w:rPr>
        <w:t>188</w:t>
      </w:r>
      <w:r>
        <w:rPr>
          <w:rFonts w:hint="eastAsia" w:ascii="仿宋_GB2312" w:hAnsi="仿宋_GB2312" w:eastAsia="仿宋_GB2312" w:cs="仿宋_GB2312"/>
          <w:sz w:val="28"/>
          <w:szCs w:val="28"/>
        </w:rPr>
        <w:t>个村级经济组织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审计内容涵盖村级资产盘点清查、村级重大事项咨商程序及实施过程、财务收支及账务处理、制度执行及落实情况等方面，针对审计中发现的村级资产管理、村级重大事项咨商、合同管理、工程管理、会计核算等方面问题，区经管站提出整改建议并督促各镇整改，达到了项目预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（二）加强集体资产管理，继续落实</w:t>
      </w:r>
      <w:r>
        <w:rPr>
          <w:rFonts w:hint="eastAsia" w:ascii="仿宋_GB2312" w:hAnsi="仿宋_GB2312" w:eastAsia="仿宋_GB2312" w:cs="仿宋_GB2312"/>
          <w:sz w:val="28"/>
          <w:szCs w:val="28"/>
        </w:rPr>
        <w:t>村级“四议一审两公开”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“村资区管”制度</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强化民主监督。坚持常态化检查机制，突出抓好村级重要经济事项“四议一审两公开”、“双签字”背书制等制度落实，进一步压紧压实村级干部主体责任，推进基层民主决策制度落实落地。目前已完成14个镇620个村级档案的抽查、问题整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落实“村资区管”。一是起草并下发《区级联审集体资产处置事项报送材料清单》和《提请区级联审集体资产处置事项申请表》，指导各镇按照规程报审集体资产处置相关事宜；二是用好“村资区管”区级联席会议，加强对农村集体资产处置的复审把关。“村资区管”区级联审会共审核集体资产交易事项17宗，发挥了有效的监督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继续加强农地流转、土地出租合同管理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1.强化“村地区管”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认真落实《大兴区关于进一步完善农村土地经营权流转联席会议制度的意见》，注重部门协调配合，严格程序，加强对各镇提交材料的复核，确保材料完整、程序合规。召开区级联席会共审核土地经营权流转事项</w:t>
      </w:r>
      <w:r>
        <w:rPr>
          <w:rFonts w:hint="eastAsia" w:ascii="仿宋_GB2312" w:hAnsi="仿宋_GB2312" w:eastAsia="仿宋_GB2312" w:cs="仿宋_GB2312"/>
          <w:b w:val="0"/>
          <w:bCs w:val="0"/>
          <w:color w:val="auto"/>
          <w:kern w:val="2"/>
          <w:sz w:val="28"/>
          <w:szCs w:val="28"/>
          <w:lang w:val="en-US" w:eastAsia="zh-CN" w:bidi="ar-SA"/>
        </w:rPr>
        <w:t>25宗，涉及流转面积2122.58</w:t>
      </w:r>
      <w:r>
        <w:rPr>
          <w:rFonts w:hint="eastAsia" w:ascii="仿宋_GB2312" w:hAnsi="仿宋_GB2312" w:eastAsia="仿宋_GB2312" w:cs="仿宋_GB2312"/>
          <w:sz w:val="28"/>
          <w:szCs w:val="28"/>
          <w:lang w:val="en-US" w:eastAsia="zh-CN"/>
        </w:rPr>
        <w:t>亩，发挥了审核监督作用，规范了土地流转。先后开展了2022年农村土地流转合同调查、第二轮土地承包到期后再延长30年调查等专项工作，为土地经营权管理决策提供强有力的支撑。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2.强化合同管理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是广泛征求意见，积极争取市主管部门支持，牵头修订农村集体土地承包和流转合同，形成了《大兴区农村土地经营权出租合同》等5类区级合同示范文本，73份涉地合同全部按照新文本签订，并在镇经管部门备案；二是落实《北京市大兴区农村集体土地出租合同联合预审工作办法》，严格执行合同联预审机制，按照“六必审”工作要求对合同内容审核把关，确保合同合法合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（四）</w:t>
      </w:r>
      <w:r>
        <w:rPr>
          <w:rFonts w:hint="eastAsia" w:ascii="仿宋_GB2312" w:hAnsi="仿宋_GB2312" w:eastAsia="仿宋_GB2312" w:cs="仿宋_GB2312"/>
          <w:sz w:val="28"/>
          <w:szCs w:val="28"/>
        </w:rPr>
        <w:t>继续加强农经、财会人员素质提升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是组织各镇经管部门工作人员、财务管理服务中心具体工作人员、资产总量大的村级集体经济带头人和财务管理人员及正在经营的农民专业合作社财务人员共计182人，开展《村集体经济组织会计制度》及《农民专业合作社财务制度》集中培训；二是财审科业务人员下沉相关镇全程参与指导村级财务资产审计检查项目，有效提升审计检查工作质量；三是举办农村土地承包调解仲裁培训班，全区仲裁员、各镇调解员80余人参加，进一步提升调解仲裁队伍能力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继续加强农经统计和信息化管理</w:t>
      </w:r>
    </w:p>
    <w:p>
      <w:pPr>
        <w:pStyle w:val="13"/>
        <w:keepNext w:val="0"/>
        <w:keepLines w:val="0"/>
        <w:pageBreakBefore w:val="0"/>
        <w:widowControl w:val="0"/>
        <w:kinsoku/>
        <w:wordWrap/>
        <w:overflowPunct/>
        <w:topLinePunct w:val="0"/>
        <w:autoSpaceDE/>
        <w:autoSpaceDN/>
        <w:bidi w:val="0"/>
        <w:spacing w:before="0" w:after="0" w:line="560" w:lineRule="exact"/>
        <w:ind w:firstLine="560" w:firstLineChars="200"/>
        <w:jc w:val="left"/>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完成2022年度农村管理信息化数据上报工作，完成了《大兴区2022年农村经济统计分析报告》，认真分析我区农村经济各项数据，为研究和解决农村经济运行中存在的问题提供决策依据；每月监测集体经济薄弱村收益分配情况，为消除经济薄弱村提供基础数据；指导各镇完成京郊100个村集体经济运行状况跟踪监测点信息录入工作及劳务费的发放工作，统计各镇征地补偿款专户开设和使用情况等，为农经工作更好开展提供基础数据，推动经管工作高效开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强化统计数据应用、做好统计数据审核、确保信息化系统有效使用。区经管站牵头，以当前农村集体资产管理政策法规为依据，多次协调区农业农村局及全站业务科室召开工作推进会，广泛征求各镇及相关部门意见，将房屋建筑物等实物资产管理、农用地流转以及合同变更、解除、换手等管理流程纳入可视化平台。推动实现涉地合同管理流程信息化、信息数据可视化。目前已完成系统开发、基础数据收集和核实确认工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（一）财务管理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本部门为加强财务管理、规范财务行为，制定了《</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"_Toc25315270"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北京市大兴区农村合作经济经营管理站预算管理办法》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北京市大兴区农村合作经济经营管理站</w:t>
      </w:r>
      <w:r>
        <w:rPr>
          <w:rFonts w:hint="eastAsia" w:ascii="仿宋_GB2312" w:hAnsi="仿宋_GB2312" w:eastAsia="仿宋_GB2312" w:cs="仿宋_GB2312"/>
          <w:sz w:val="28"/>
          <w:szCs w:val="28"/>
          <w:lang w:eastAsia="zh-CN"/>
        </w:rPr>
        <w:t>收入</w:t>
      </w:r>
      <w:r>
        <w:rPr>
          <w:rFonts w:hint="eastAsia" w:ascii="仿宋_GB2312" w:hAnsi="仿宋_GB2312" w:eastAsia="仿宋_GB2312" w:cs="仿宋_GB2312"/>
          <w:sz w:val="28"/>
          <w:szCs w:val="28"/>
        </w:rPr>
        <w:t>管理办法》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北京市大兴区农村合作经济经营管理站</w:t>
      </w:r>
      <w:r>
        <w:rPr>
          <w:rFonts w:hint="eastAsia" w:ascii="仿宋_GB2312" w:hAnsi="仿宋_GB2312" w:eastAsia="仿宋_GB2312" w:cs="仿宋_GB2312"/>
          <w:sz w:val="28"/>
          <w:szCs w:val="28"/>
          <w:lang w:eastAsia="zh-CN"/>
        </w:rPr>
        <w:t>经费支出</w:t>
      </w:r>
      <w:r>
        <w:rPr>
          <w:rFonts w:hint="eastAsia" w:ascii="仿宋_GB2312" w:hAnsi="仿宋_GB2312" w:eastAsia="仿宋_GB2312" w:cs="仿宋_GB2312"/>
          <w:sz w:val="28"/>
          <w:szCs w:val="28"/>
        </w:rPr>
        <w:t>管理办法》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北京市大兴区农村合作经济经营管理站</w:t>
      </w:r>
      <w:r>
        <w:rPr>
          <w:rFonts w:hint="eastAsia" w:ascii="仿宋_GB2312" w:hAnsi="仿宋_GB2312" w:eastAsia="仿宋_GB2312" w:cs="仿宋_GB2312"/>
          <w:sz w:val="28"/>
          <w:szCs w:val="28"/>
          <w:lang w:eastAsia="zh-CN"/>
        </w:rPr>
        <w:t>固定资产</w:t>
      </w:r>
      <w:r>
        <w:rPr>
          <w:rFonts w:hint="eastAsia" w:ascii="仿宋_GB2312" w:hAnsi="仿宋_GB2312" w:eastAsia="仿宋_GB2312" w:cs="仿宋_GB2312"/>
          <w:sz w:val="28"/>
          <w:szCs w:val="28"/>
        </w:rPr>
        <w:t>管理办法》</w:t>
      </w:r>
      <w:r>
        <w:rPr>
          <w:rFonts w:hint="eastAsia" w:ascii="仿宋_GB2312" w:hAnsi="仿宋_GB2312" w:eastAsia="仿宋_GB2312" w:cs="仿宋_GB2312"/>
          <w:sz w:val="28"/>
          <w:szCs w:val="28"/>
          <w:lang w:eastAsia="zh-CN"/>
        </w:rPr>
        <w:t>等</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lang w:eastAsia="zh-CN"/>
        </w:rPr>
        <w:t>财务</w:t>
      </w:r>
      <w:r>
        <w:rPr>
          <w:rFonts w:hint="eastAsia" w:ascii="仿宋_GB2312" w:hAnsi="仿宋_GB2312" w:eastAsia="仿宋_GB2312" w:cs="仿宋_GB2312"/>
          <w:sz w:val="28"/>
          <w:szCs w:val="28"/>
          <w:lang w:val="en-US" w:eastAsia="zh-CN"/>
        </w:rPr>
        <w:t>管理制度，日常加强学习，关注财政政策，严格按照相关财经政策和单位的财务制度执行。</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资金使用合规性和安全性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本单位严格按照人员、公用、项目预算资金的编制要求编制预算，按批复的预算资金使用范围合理支付资金</w:t>
      </w:r>
      <w:r>
        <w:rPr>
          <w:rFonts w:hint="eastAsia" w:ascii="仿宋_GB2312" w:hAnsi="仿宋_GB2312" w:eastAsia="仿宋_GB2312" w:cs="仿宋_GB2312"/>
          <w:i w:val="0"/>
          <w:iCs w:val="0"/>
          <w:color w:val="000000"/>
          <w:kern w:val="0"/>
          <w:sz w:val="28"/>
          <w:szCs w:val="28"/>
          <w:u w:val="none"/>
          <w:lang w:val="en-US" w:eastAsia="zh-CN" w:bidi="ar"/>
        </w:rPr>
        <w:t>，做到无预算和超预算不支出，在使用预算资金时严格执行国库集中支付制度、政府采购制度、专项资金管理制度等，资金的拨付有完整的审批程序和手续；项目的重大资金开支要经过评估论证；资金使用符合政府采购的程序和流程；符合公务卡结算相关制度和规定，不存在截留、挤占、挪用、超范围使用资金的情况，确实保障财政资金使用合规和安全。</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会计基础信息完善性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本单位</w:t>
      </w:r>
      <w:r>
        <w:rPr>
          <w:rFonts w:hint="eastAsia" w:ascii="仿宋_GB2312" w:hAnsi="仿宋_GB2312" w:eastAsia="仿宋_GB2312" w:cs="仿宋_GB2312"/>
          <w:sz w:val="28"/>
          <w:szCs w:val="28"/>
          <w:lang w:val="en-US" w:eastAsia="zh-CN"/>
        </w:rPr>
        <w:t>基础数据信息和会计信息资料真实、完整、准确。</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资产管理</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本部门</w:t>
      </w:r>
      <w:r>
        <w:rPr>
          <w:rFonts w:hint="eastAsia" w:ascii="仿宋_GB2312" w:hAnsi="仿宋_GB2312" w:eastAsia="仿宋_GB2312" w:cs="仿宋_GB2312"/>
          <w:sz w:val="28"/>
          <w:szCs w:val="28"/>
        </w:rPr>
        <w:t>按照《事业单位国有资产管理暂行办法》的要求，严格执行固定资产管理制度。</w:t>
      </w:r>
      <w:r>
        <w:rPr>
          <w:rFonts w:hint="eastAsia" w:ascii="仿宋_GB2312" w:hAnsi="仿宋_GB2312" w:eastAsia="仿宋_GB2312" w:cs="仿宋_GB2312"/>
          <w:sz w:val="28"/>
          <w:szCs w:val="28"/>
          <w:lang w:eastAsia="zh-CN"/>
        </w:rPr>
        <w:t>时时更新维护资产动态系统，按照相关规定配置、处置、出租资产。</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绩效管理</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2023年单位按照“量入为出，统筹兼顾、保证重点、收支平衡”的原则，科学合理编制预算，强化预算执行，</w:t>
      </w:r>
      <w:r>
        <w:rPr>
          <w:rFonts w:hint="eastAsia" w:ascii="仿宋_GB2312" w:hAnsi="仿宋_GB2312" w:eastAsia="仿宋_GB2312" w:cs="仿宋_GB2312"/>
          <w:sz w:val="28"/>
          <w:szCs w:val="28"/>
        </w:rPr>
        <w:t>按照相关要求，制定了项目支出和整体支出的绩效目标，对重点项目目标进行了量化，并严格按照绩效目标管理实施项目、使用资金，实现了部门整绩效目标编制完整、合理，项目绩效目标编制明确、量化</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积极配合中期支出绩效评价，强化评价结果应用。</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部门预决算差异率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2023年安排预算2164.21</w:t>
      </w:r>
      <w:r>
        <w:rPr>
          <w:rFonts w:hint="eastAsia" w:ascii="仿宋_GB2312" w:hAnsi="仿宋_GB2312" w:eastAsia="仿宋_GB2312" w:cs="仿宋_GB2312"/>
          <w:sz w:val="28"/>
          <w:szCs w:val="28"/>
          <w:lang w:val="en" w:eastAsia="zh-CN"/>
        </w:rPr>
        <w:t>万元，包括人员支出</w:t>
      </w:r>
      <w:r>
        <w:rPr>
          <w:rFonts w:hint="eastAsia" w:ascii="仿宋_GB2312" w:hAnsi="仿宋_GB2312" w:eastAsia="仿宋_GB2312" w:cs="仿宋_GB2312"/>
          <w:sz w:val="28"/>
          <w:szCs w:val="28"/>
          <w:lang w:val="en-US" w:eastAsia="zh-CN"/>
        </w:rPr>
        <w:t>1205.67万元，公用支出92.54万元，</w:t>
      </w:r>
      <w:r>
        <w:rPr>
          <w:rFonts w:hint="eastAsia" w:ascii="仿宋_GB2312" w:hAnsi="仿宋_GB2312" w:eastAsia="仿宋_GB2312" w:cs="仿宋_GB2312"/>
          <w:sz w:val="28"/>
          <w:szCs w:val="28"/>
          <w:lang w:val="en" w:eastAsia="zh-CN"/>
        </w:rPr>
        <w:t>项目支出</w:t>
      </w:r>
      <w:r>
        <w:rPr>
          <w:rFonts w:hint="eastAsia" w:ascii="仿宋_GB2312" w:hAnsi="仿宋_GB2312" w:eastAsia="仿宋_GB2312" w:cs="仿宋_GB2312"/>
          <w:sz w:val="28"/>
          <w:szCs w:val="28"/>
          <w:lang w:val="en-US" w:eastAsia="zh-CN"/>
        </w:rPr>
        <w:t>866万元,；2023年决算支出2085.8万元，其中人员支出1197.95万元，公用支出72.01万元。项目支出815.84万元，决算支出占预算支出</w:t>
      </w:r>
      <w:r>
        <w:rPr>
          <w:rFonts w:hint="eastAsia" w:ascii="仿宋_GB2312" w:hAnsi="仿宋_GB2312" w:eastAsia="仿宋_GB2312" w:cs="仿宋_GB2312"/>
          <w:sz w:val="28"/>
          <w:szCs w:val="28"/>
          <w:lang w:val="en" w:eastAsia="zh-CN"/>
        </w:rPr>
        <w:t>96.</w:t>
      </w:r>
      <w:r>
        <w:rPr>
          <w:rFonts w:hint="eastAsia" w:ascii="仿宋_GB2312" w:hAnsi="仿宋_GB2312" w:eastAsia="仿宋_GB2312" w:cs="仿宋_GB2312"/>
          <w:sz w:val="28"/>
          <w:szCs w:val="28"/>
          <w:lang w:val="en-US" w:eastAsia="zh-CN"/>
        </w:rPr>
        <w:t>38%，差异率3.62%，原因分析如下：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一是人员支出较预算减少7.72万元，减少0.06%，减少原因是编制预算时以2022年9月工资标准编制人员预算，截止到2023年12月底，全年调入2人，招录1人，</w:t>
      </w:r>
      <w:r>
        <w:rPr>
          <w:rFonts w:hint="eastAsia" w:ascii="仿宋_GB2312" w:hAnsi="仿宋_GB2312" w:eastAsia="仿宋_GB2312" w:cs="仿宋_GB2312"/>
          <w:sz w:val="28"/>
          <w:szCs w:val="28"/>
          <w:lang w:eastAsia="zh-CN"/>
        </w:rPr>
        <w:t>在职退休</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人</w:t>
      </w:r>
      <w:r>
        <w:rPr>
          <w:rFonts w:hint="eastAsia" w:ascii="仿宋_GB2312" w:hAnsi="仿宋_GB2312" w:eastAsia="仿宋_GB2312" w:cs="仿宋_GB2312"/>
          <w:sz w:val="28"/>
          <w:szCs w:val="28"/>
          <w:lang w:eastAsia="zh-CN"/>
        </w:rPr>
        <w:t>加上正常的人员滚动、晋级进档、社保公积金调整基数等方面致使人员实际支出小于预算数。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二是公用支出较预算减少</w:t>
      </w:r>
      <w:r>
        <w:rPr>
          <w:rFonts w:hint="eastAsia" w:ascii="仿宋_GB2312" w:hAnsi="仿宋_GB2312" w:eastAsia="仿宋_GB2312" w:cs="仿宋_GB2312"/>
          <w:sz w:val="28"/>
          <w:szCs w:val="28"/>
          <w:lang w:val="en-US" w:eastAsia="zh-CN"/>
        </w:rPr>
        <w:t>20.53万元，减少22.18%，主要是坚持勤俭办公，减少不必要的办公支出所致。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三是项目</w:t>
      </w:r>
      <w:r>
        <w:rPr>
          <w:rFonts w:hint="eastAsia" w:ascii="仿宋_GB2312" w:hAnsi="仿宋_GB2312" w:eastAsia="仿宋_GB2312" w:cs="仿宋_GB2312"/>
          <w:sz w:val="28"/>
          <w:szCs w:val="28"/>
          <w:lang w:eastAsia="zh-CN"/>
        </w:rPr>
        <w:t>支出较预算减少</w:t>
      </w:r>
      <w:r>
        <w:rPr>
          <w:rFonts w:hint="eastAsia" w:ascii="仿宋_GB2312" w:hAnsi="仿宋_GB2312" w:eastAsia="仿宋_GB2312" w:cs="仿宋_GB2312"/>
          <w:sz w:val="28"/>
          <w:szCs w:val="28"/>
          <w:lang w:val="en-US" w:eastAsia="zh-CN"/>
        </w:rPr>
        <w:t>50.16万元，减少5.79%。</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本年安排项目预算资金866万元，包括村级财务资产审计检查费722万元，基础律师费6万元，确权登记颁证档案整理工作经费132万元，村级财务人员培训费0.5万元，仲裁员、镇村调解员培训0.5万元。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实际支出815.84万元，包括：村级财务资产审计检查费722万元，基础律师费6万元，确权登记颁证档案整理工作经费82.5万元，村级财务人员培训费0万元，仲裁员、镇村调解员培训0.34万元。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村级财务资产审计检查费、基础律师费两个项目按照年初既定目标完成且足额支付项目资金。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确权登记颁证档案整理工作经费项目追减资金49.5万元。按照和第三方签定合同支付的条款为:经区档案馆验收合格移交区档案馆后支付全部尾款，现区档案馆存档容量饱和，目前只移交了506盒9999卷，剩余1492盒29489卷档案需等区档案馆新馆建成后再移交，预计时间为2024年年底。目前剩余档案临时存放在区经管站，我们将妥善保管档案，密切关注新馆建设进度，随时配合移交档案，及时结清尾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村级财务人员培训费0万元，是因为今年培训是和北京市农村发展中心共同举办，按照年初培训计划由我单位组织了我区村级财务人员培训工作，但相关培训费用由市里支付，年初预算资金追减。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仲裁员、镇村调解员培训支出0.34万元，追减0.16万元。该项目按照年初计划完成了对全区80余人仲裁员、调解员的培训，进一步提升调解仲裁队伍能力水平，整个培训只涉及培训老师的讲课费支出，其余资金追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2022年部门预决算差异率3.54%，原因一是人员变动及社保、公积金缴存基数变化致人员经费实际执行数少于预算数，二是节俭办公公用支出少于预算数。</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（一）评价得分情况</w:t>
      </w:r>
    </w:p>
    <w:p>
      <w:pPr>
        <w:pStyle w:val="1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150" w:afterAutospacing="0" w:line="560" w:lineRule="exact"/>
        <w:ind w:left="0" w:right="0" w:firstLine="640"/>
        <w:jc w:val="left"/>
        <w:textAlignment w:val="auto"/>
        <w:rPr>
          <w:rFonts w:hint="eastAsia" w:ascii="仿宋_GB2312" w:hAnsi="仿宋_GB2312" w:eastAsia="仿宋_GB2312" w:cs="仿宋_GB2312"/>
          <w:b w:val="0"/>
          <w:bCs/>
          <w:sz w:val="28"/>
          <w:szCs w:val="28"/>
          <w:lang w:eastAsia="zh-CN"/>
        </w:rPr>
      </w:pPr>
      <w:r>
        <w:rPr>
          <w:rFonts w:hint="eastAsia" w:ascii="仿宋_GB2312" w:hAnsi="仿宋_GB2312" w:eastAsia="仿宋_GB2312" w:cs="仿宋_GB2312"/>
          <w:b w:val="0"/>
          <w:bCs/>
          <w:i w:val="0"/>
          <w:caps w:val="0"/>
          <w:color w:val="000000"/>
          <w:spacing w:val="0"/>
          <w:sz w:val="28"/>
          <w:szCs w:val="28"/>
          <w:shd w:val="clear" w:color="auto" w:fill="FFFFFF"/>
        </w:rPr>
        <w:t>我</w:t>
      </w:r>
      <w:r>
        <w:rPr>
          <w:rFonts w:hint="eastAsia" w:ascii="仿宋_GB2312" w:hAnsi="仿宋_GB2312" w:eastAsia="仿宋_GB2312" w:cs="仿宋_GB2312"/>
          <w:b w:val="0"/>
          <w:bCs/>
          <w:i w:val="0"/>
          <w:caps w:val="0"/>
          <w:color w:val="000000"/>
          <w:spacing w:val="0"/>
          <w:sz w:val="28"/>
          <w:szCs w:val="28"/>
          <w:shd w:val="clear" w:color="auto" w:fill="FFFFFF"/>
          <w:lang w:eastAsia="zh-CN"/>
        </w:rPr>
        <w:t>单位</w:t>
      </w:r>
      <w:r>
        <w:rPr>
          <w:rFonts w:hint="eastAsia" w:ascii="仿宋_GB2312" w:hAnsi="仿宋_GB2312" w:eastAsia="仿宋_GB2312" w:cs="仿宋_GB2312"/>
          <w:b w:val="0"/>
          <w:bCs/>
          <w:i w:val="0"/>
          <w:caps w:val="0"/>
          <w:color w:val="000000"/>
          <w:spacing w:val="0"/>
          <w:sz w:val="28"/>
          <w:szCs w:val="28"/>
          <w:shd w:val="clear" w:color="auto" w:fill="FFFFFF"/>
        </w:rPr>
        <w:t>本次自评得分为</w:t>
      </w:r>
      <w:r>
        <w:rPr>
          <w:rFonts w:hint="eastAsia" w:ascii="仿宋_GB2312" w:hAnsi="仿宋_GB2312" w:eastAsia="仿宋_GB2312" w:cs="仿宋_GB2312"/>
          <w:b w:val="0"/>
          <w:bCs/>
          <w:i w:val="0"/>
          <w:caps w:val="0"/>
          <w:color w:val="auto"/>
          <w:spacing w:val="0"/>
          <w:sz w:val="28"/>
          <w:szCs w:val="28"/>
          <w:shd w:val="clear" w:color="auto" w:fill="FFFFFF"/>
          <w:lang w:val="en-US" w:eastAsia="zh-CN"/>
        </w:rPr>
        <w:t>99.24</w:t>
      </w:r>
      <w:r>
        <w:rPr>
          <w:rFonts w:hint="eastAsia" w:ascii="仿宋_GB2312" w:hAnsi="仿宋_GB2312" w:eastAsia="仿宋_GB2312" w:cs="仿宋_GB2312"/>
          <w:b w:val="0"/>
          <w:bCs/>
          <w:i w:val="0"/>
          <w:caps w:val="0"/>
          <w:color w:val="000000"/>
          <w:spacing w:val="0"/>
          <w:sz w:val="28"/>
          <w:szCs w:val="28"/>
          <w:shd w:val="clear" w:color="auto" w:fill="FFFFFF"/>
        </w:rPr>
        <w:t>分。通过资料收集、绩效评价、工作总结及撰写报告等几个阶段，认真、准确填写自评数据表，形成详实的自评报告，并在202</w:t>
      </w:r>
      <w:r>
        <w:rPr>
          <w:rFonts w:hint="eastAsia" w:ascii="仿宋_GB2312" w:hAnsi="仿宋_GB2312" w:eastAsia="仿宋_GB2312" w:cs="仿宋_GB2312"/>
          <w:b w:val="0"/>
          <w:bCs/>
          <w:i w:val="0"/>
          <w:caps w:val="0"/>
          <w:color w:val="000000"/>
          <w:spacing w:val="0"/>
          <w:sz w:val="28"/>
          <w:szCs w:val="28"/>
          <w:shd w:val="clear" w:color="auto" w:fill="FFFFFF"/>
          <w:lang w:val="en-US" w:eastAsia="zh-CN"/>
        </w:rPr>
        <w:t>4</w:t>
      </w:r>
      <w:r>
        <w:rPr>
          <w:rFonts w:hint="eastAsia" w:ascii="仿宋_GB2312" w:hAnsi="仿宋_GB2312" w:eastAsia="仿宋_GB2312" w:cs="仿宋_GB2312"/>
          <w:b w:val="0"/>
          <w:bCs/>
          <w:i w:val="0"/>
          <w:caps w:val="0"/>
          <w:color w:val="000000"/>
          <w:spacing w:val="0"/>
          <w:sz w:val="28"/>
          <w:szCs w:val="28"/>
          <w:shd w:val="clear" w:color="auto" w:fill="FFFFFF"/>
        </w:rPr>
        <w:t>年</w:t>
      </w:r>
      <w:r>
        <w:rPr>
          <w:rFonts w:hint="eastAsia" w:ascii="仿宋_GB2312" w:hAnsi="仿宋_GB2312" w:eastAsia="仿宋_GB2312" w:cs="仿宋_GB2312"/>
          <w:b w:val="0"/>
          <w:bCs/>
          <w:i w:val="0"/>
          <w:caps w:val="0"/>
          <w:color w:val="000000"/>
          <w:spacing w:val="0"/>
          <w:sz w:val="28"/>
          <w:szCs w:val="28"/>
          <w:shd w:val="clear" w:color="auto" w:fill="FFFFFF"/>
          <w:lang w:val="en-US" w:eastAsia="zh-CN"/>
        </w:rPr>
        <w:t>3</w:t>
      </w:r>
      <w:r>
        <w:rPr>
          <w:rFonts w:hint="eastAsia" w:ascii="仿宋_GB2312" w:hAnsi="仿宋_GB2312" w:eastAsia="仿宋_GB2312" w:cs="仿宋_GB2312"/>
          <w:b w:val="0"/>
          <w:bCs/>
          <w:i w:val="0"/>
          <w:caps w:val="0"/>
          <w:color w:val="000000"/>
          <w:spacing w:val="0"/>
          <w:sz w:val="28"/>
          <w:szCs w:val="28"/>
          <w:shd w:val="clear" w:color="auto" w:fill="FFFFFF"/>
        </w:rPr>
        <w:t>月</w:t>
      </w:r>
      <w:r>
        <w:rPr>
          <w:rFonts w:hint="eastAsia" w:ascii="仿宋_GB2312" w:hAnsi="仿宋_GB2312" w:eastAsia="仿宋_GB2312" w:cs="仿宋_GB2312"/>
          <w:b w:val="0"/>
          <w:bCs/>
          <w:i w:val="0"/>
          <w:caps w:val="0"/>
          <w:color w:val="000000"/>
          <w:spacing w:val="0"/>
          <w:sz w:val="28"/>
          <w:szCs w:val="28"/>
          <w:shd w:val="clear" w:color="auto" w:fill="FFFFFF"/>
          <w:lang w:val="en-US" w:eastAsia="zh-CN"/>
        </w:rPr>
        <w:t>4</w:t>
      </w:r>
      <w:r>
        <w:rPr>
          <w:rFonts w:hint="eastAsia" w:ascii="仿宋_GB2312" w:hAnsi="仿宋_GB2312" w:eastAsia="仿宋_GB2312" w:cs="仿宋_GB2312"/>
          <w:b w:val="0"/>
          <w:bCs/>
          <w:i w:val="0"/>
          <w:caps w:val="0"/>
          <w:color w:val="000000"/>
          <w:spacing w:val="0"/>
          <w:sz w:val="28"/>
          <w:szCs w:val="28"/>
          <w:shd w:val="clear" w:color="auto" w:fill="FFFFFF"/>
        </w:rPr>
        <w:t>日之前按时</w:t>
      </w:r>
      <w:r>
        <w:rPr>
          <w:rFonts w:hint="eastAsia" w:ascii="仿宋_GB2312" w:hAnsi="仿宋_GB2312" w:eastAsia="仿宋_GB2312" w:cs="仿宋_GB2312"/>
          <w:b w:val="0"/>
          <w:bCs/>
          <w:sz w:val="28"/>
          <w:szCs w:val="28"/>
        </w:rPr>
        <w:t>完成自评工作</w:t>
      </w:r>
      <w:r>
        <w:rPr>
          <w:rFonts w:hint="eastAsia" w:ascii="仿宋_GB2312" w:hAnsi="仿宋_GB2312" w:eastAsia="仿宋_GB2312" w:cs="仿宋_GB2312"/>
          <w:b w:val="0"/>
          <w:bCs/>
          <w:sz w:val="28"/>
          <w:szCs w:val="28"/>
          <w:lang w:eastAsia="zh-CN"/>
        </w:rPr>
        <w:t>。</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存在的问题及原因分析</w:t>
      </w:r>
    </w:p>
    <w:p>
      <w:pPr>
        <w:pStyle w:val="1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150" w:afterAutospacing="0" w:line="560" w:lineRule="exact"/>
        <w:ind w:left="0" w:right="0" w:firstLine="640"/>
        <w:jc w:val="left"/>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i w:val="0"/>
          <w:caps w:val="0"/>
          <w:color w:val="000000"/>
          <w:spacing w:val="0"/>
          <w:sz w:val="28"/>
          <w:szCs w:val="28"/>
          <w:shd w:val="clear" w:color="auto" w:fill="FFFFFF"/>
        </w:rPr>
        <w:t>预算编制工作有待细化。预算编制不够明确和细化，预算编制的合理性需要提高，预算执行力度还要进一步加强。</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措施建议</w:t>
      </w:r>
    </w:p>
    <w:p>
      <w:pPr>
        <w:pStyle w:val="1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150" w:afterAutospacing="0" w:line="560" w:lineRule="exact"/>
        <w:ind w:left="0" w:right="0" w:firstLine="640"/>
        <w:jc w:val="left"/>
        <w:textAlignment w:val="auto"/>
        <w:rPr>
          <w:rFonts w:hint="eastAsia" w:ascii="仿宋_GB2312" w:hAnsi="仿宋_GB2312" w:eastAsia="仿宋_GB2312" w:cs="仿宋_GB2312"/>
          <w:b w:val="0"/>
          <w:bCs/>
          <w:i w:val="0"/>
          <w:caps w:val="0"/>
          <w:color w:val="333333"/>
          <w:spacing w:val="0"/>
          <w:sz w:val="28"/>
          <w:szCs w:val="28"/>
          <w:lang w:eastAsia="zh-CN"/>
        </w:rPr>
      </w:pPr>
      <w:r>
        <w:rPr>
          <w:rFonts w:hint="eastAsia" w:ascii="仿宋_GB2312" w:hAnsi="仿宋_GB2312" w:eastAsia="仿宋_GB2312" w:cs="仿宋_GB2312"/>
          <w:b w:val="0"/>
          <w:bCs/>
          <w:color w:val="auto"/>
          <w:kern w:val="0"/>
          <w:sz w:val="28"/>
          <w:szCs w:val="28"/>
        </w:rPr>
        <w:t>加强对单位预算绩效管理人员的培训，提升绩效评价人员的业务水平</w:t>
      </w:r>
      <w:r>
        <w:rPr>
          <w:rFonts w:hint="eastAsia" w:ascii="仿宋_GB2312" w:hAnsi="仿宋_GB2312" w:eastAsia="仿宋_GB2312" w:cs="仿宋_GB2312"/>
          <w:b w:val="0"/>
          <w:bCs/>
          <w:color w:val="auto"/>
          <w:kern w:val="0"/>
          <w:sz w:val="28"/>
          <w:szCs w:val="28"/>
          <w:lang w:eastAsia="zh-CN"/>
        </w:rPr>
        <w:t>；</w:t>
      </w:r>
      <w:r>
        <w:rPr>
          <w:rFonts w:hint="eastAsia" w:ascii="仿宋_GB2312" w:hAnsi="仿宋_GB2312" w:eastAsia="仿宋_GB2312" w:cs="仿宋_GB2312"/>
          <w:b w:val="0"/>
          <w:bCs/>
          <w:i w:val="0"/>
          <w:caps w:val="0"/>
          <w:color w:val="000000"/>
          <w:spacing w:val="0"/>
          <w:sz w:val="28"/>
          <w:szCs w:val="28"/>
          <w:shd w:val="clear" w:color="auto" w:fill="FFFFFF"/>
        </w:rPr>
        <w:t>优化预算编制，加强预算执行力</w:t>
      </w:r>
      <w:r>
        <w:rPr>
          <w:rFonts w:hint="eastAsia" w:ascii="仿宋_GB2312" w:hAnsi="仿宋_GB2312" w:eastAsia="仿宋_GB2312" w:cs="仿宋_GB2312"/>
          <w:b w:val="0"/>
          <w:bCs/>
          <w:i w:val="0"/>
          <w:caps w:val="0"/>
          <w:color w:val="000000"/>
          <w:spacing w:val="0"/>
          <w:sz w:val="28"/>
          <w:szCs w:val="28"/>
          <w:shd w:val="clear" w:color="auto" w:fill="FFFFFF"/>
          <w:lang w:eastAsia="zh-CN"/>
        </w:rPr>
        <w:t>。</w:t>
      </w:r>
    </w:p>
    <w:tbl>
      <w:tblPr>
        <w:tblStyle w:val="15"/>
        <w:tblpPr w:leftFromText="180" w:rightFromText="180" w:vertAnchor="text" w:horzAnchor="page" w:tblpX="1456" w:tblpY="226"/>
        <w:tblOverlap w:val="never"/>
        <w:tblW w:w="143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2845"/>
        <w:gridCol w:w="3615"/>
        <w:gridCol w:w="1005"/>
        <w:gridCol w:w="1035"/>
        <w:gridCol w:w="675"/>
        <w:gridCol w:w="870"/>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385"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2023年度部门整体绩效评价表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4385"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84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6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28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6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2164.21</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2085.8</w:t>
            </w:r>
          </w:p>
        </w:tc>
        <w:tc>
          <w:tcPr>
            <w:tcW w:w="6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8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96.38%</w:t>
            </w:r>
          </w:p>
        </w:tc>
        <w:tc>
          <w:tcPr>
            <w:tcW w:w="7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284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61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05"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1298.21</w:t>
            </w:r>
          </w:p>
        </w:tc>
        <w:tc>
          <w:tcPr>
            <w:tcW w:w="1035"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1269.96</w:t>
            </w:r>
          </w:p>
        </w:tc>
        <w:tc>
          <w:tcPr>
            <w:tcW w:w="675"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87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6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2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866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815.84</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6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2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6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75"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19.27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38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继续加强村级财务监督管理</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u w:val="none"/>
              </w:rPr>
              <w:t>继续推进村级财务资产审计检查工作</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u w:val="none"/>
              </w:rPr>
              <w:t>202</w:t>
            </w:r>
            <w:r>
              <w:rPr>
                <w:rFonts w:hint="eastAsia" w:asciiTheme="minorEastAsia" w:hAnsiTheme="minorEastAsia" w:cstheme="minorEastAsia"/>
                <w:i w:val="0"/>
                <w:iCs w:val="0"/>
                <w:color w:val="000000"/>
                <w:sz w:val="21"/>
                <w:szCs w:val="21"/>
                <w:u w:val="none"/>
                <w:lang w:val="en-US" w:eastAsia="zh-CN"/>
              </w:rPr>
              <w:t>3</w:t>
            </w:r>
            <w:r>
              <w:rPr>
                <w:rFonts w:hint="eastAsia" w:asciiTheme="minorEastAsia" w:hAnsiTheme="minorEastAsia" w:eastAsiaTheme="minorEastAsia" w:cstheme="minorEastAsia"/>
                <w:i w:val="0"/>
                <w:iCs w:val="0"/>
                <w:color w:val="000000"/>
                <w:sz w:val="21"/>
                <w:szCs w:val="21"/>
                <w:u w:val="none"/>
              </w:rPr>
              <w:t>年，继续推进村级财务资产审计检查工作，涉及</w:t>
            </w:r>
            <w:r>
              <w:rPr>
                <w:rFonts w:hint="eastAsia" w:asciiTheme="minorEastAsia" w:hAnsiTheme="minorEastAsia" w:cstheme="minorEastAsia"/>
                <w:i w:val="0"/>
                <w:iCs w:val="0"/>
                <w:color w:val="000000"/>
                <w:sz w:val="21"/>
                <w:szCs w:val="21"/>
                <w:u w:val="none"/>
                <w:lang w:val="en-US" w:eastAsia="zh-CN"/>
              </w:rPr>
              <w:t>6</w:t>
            </w:r>
            <w:r>
              <w:rPr>
                <w:rFonts w:hint="eastAsia" w:asciiTheme="minorEastAsia" w:hAnsiTheme="minorEastAsia" w:eastAsiaTheme="minorEastAsia" w:cstheme="minorEastAsia"/>
                <w:i w:val="0"/>
                <w:iCs w:val="0"/>
                <w:color w:val="000000"/>
                <w:sz w:val="21"/>
                <w:szCs w:val="21"/>
                <w:u w:val="none"/>
              </w:rPr>
              <w:t>个镇</w:t>
            </w:r>
            <w:r>
              <w:rPr>
                <w:rFonts w:hint="eastAsia" w:asciiTheme="minorEastAsia" w:hAnsiTheme="minorEastAsia" w:cstheme="minorEastAsia"/>
                <w:i w:val="0"/>
                <w:iCs w:val="0"/>
                <w:color w:val="000000"/>
                <w:sz w:val="21"/>
                <w:szCs w:val="21"/>
                <w:u w:val="none"/>
                <w:lang w:val="en-US" w:eastAsia="zh-CN"/>
              </w:rPr>
              <w:t>188</w:t>
            </w:r>
            <w:r>
              <w:rPr>
                <w:rFonts w:hint="eastAsia" w:asciiTheme="minorEastAsia" w:hAnsiTheme="minorEastAsia" w:eastAsiaTheme="minorEastAsia" w:cstheme="minorEastAsia"/>
                <w:i w:val="0"/>
                <w:iCs w:val="0"/>
                <w:color w:val="000000"/>
                <w:sz w:val="21"/>
                <w:szCs w:val="21"/>
                <w:u w:val="none"/>
              </w:rPr>
              <w:t>个村级经济组织</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Theme="minorEastAsia" w:hAnsiTheme="minorEastAsia" w:eastAsiaTheme="minorEastAsia" w:cstheme="minorEastAsia"/>
                <w:i w:val="0"/>
                <w:iCs w:val="0"/>
                <w:color w:val="000000"/>
                <w:sz w:val="21"/>
                <w:szCs w:val="21"/>
                <w:u w:val="none"/>
              </w:rPr>
              <w:t>202</w:t>
            </w:r>
            <w:r>
              <w:rPr>
                <w:rFonts w:hint="eastAsia" w:asciiTheme="minorEastAsia" w:hAnsiTheme="minorEastAsia" w:cstheme="minorEastAsia"/>
                <w:i w:val="0"/>
                <w:iCs w:val="0"/>
                <w:color w:val="000000"/>
                <w:sz w:val="21"/>
                <w:szCs w:val="21"/>
                <w:u w:val="none"/>
                <w:lang w:val="en-US" w:eastAsia="zh-CN"/>
              </w:rPr>
              <w:t>3</w:t>
            </w:r>
            <w:r>
              <w:rPr>
                <w:rFonts w:hint="eastAsia" w:asciiTheme="minorEastAsia" w:hAnsiTheme="minorEastAsia" w:eastAsiaTheme="minorEastAsia" w:cstheme="minorEastAsia"/>
                <w:i w:val="0"/>
                <w:iCs w:val="0"/>
                <w:color w:val="000000"/>
                <w:sz w:val="21"/>
                <w:szCs w:val="21"/>
                <w:u w:val="none"/>
              </w:rPr>
              <w:t>年，</w:t>
            </w:r>
            <w:r>
              <w:rPr>
                <w:rFonts w:hint="eastAsia" w:asciiTheme="minorEastAsia" w:hAnsiTheme="minorEastAsia" w:eastAsiaTheme="minorEastAsia" w:cstheme="minorEastAsia"/>
                <w:i w:val="0"/>
                <w:iCs w:val="0"/>
                <w:color w:val="000000"/>
                <w:sz w:val="21"/>
                <w:szCs w:val="21"/>
                <w:u w:val="none"/>
                <w:lang w:eastAsia="zh-CN"/>
              </w:rPr>
              <w:t>完成村</w:t>
            </w:r>
            <w:r>
              <w:rPr>
                <w:rFonts w:hint="eastAsia" w:asciiTheme="minorEastAsia" w:hAnsiTheme="minorEastAsia" w:eastAsiaTheme="minorEastAsia" w:cstheme="minorEastAsia"/>
                <w:i w:val="0"/>
                <w:iCs w:val="0"/>
                <w:color w:val="000000"/>
                <w:sz w:val="21"/>
                <w:szCs w:val="21"/>
                <w:u w:val="none"/>
              </w:rPr>
              <w:t>级财务资产审计检查工作，涉及</w:t>
            </w:r>
            <w:r>
              <w:rPr>
                <w:rFonts w:hint="eastAsia" w:asciiTheme="minorEastAsia" w:hAnsiTheme="minorEastAsia" w:eastAsiaTheme="minorEastAsia" w:cstheme="minorEastAsia"/>
                <w:i w:val="0"/>
                <w:iCs w:val="0"/>
                <w:color w:val="000000"/>
                <w:sz w:val="21"/>
                <w:szCs w:val="21"/>
                <w:u w:val="none"/>
                <w:lang w:val="en-US" w:eastAsia="zh-CN"/>
              </w:rPr>
              <w:t>6</w:t>
            </w:r>
            <w:r>
              <w:rPr>
                <w:rFonts w:hint="eastAsia" w:asciiTheme="minorEastAsia" w:hAnsiTheme="minorEastAsia" w:eastAsiaTheme="minorEastAsia" w:cstheme="minorEastAsia"/>
                <w:i w:val="0"/>
                <w:iCs w:val="0"/>
                <w:color w:val="000000"/>
                <w:sz w:val="21"/>
                <w:szCs w:val="21"/>
                <w:u w:val="none"/>
              </w:rPr>
              <w:t>个镇</w:t>
            </w:r>
            <w:r>
              <w:rPr>
                <w:rFonts w:hint="eastAsia" w:asciiTheme="minorEastAsia" w:hAnsiTheme="minorEastAsia" w:cstheme="minorEastAsia"/>
                <w:i w:val="0"/>
                <w:iCs w:val="0"/>
                <w:color w:val="000000"/>
                <w:sz w:val="21"/>
                <w:szCs w:val="21"/>
                <w:u w:val="none"/>
                <w:lang w:val="en-US" w:eastAsia="zh-CN"/>
              </w:rPr>
              <w:t>188</w:t>
            </w:r>
            <w:r>
              <w:rPr>
                <w:rFonts w:hint="eastAsia" w:asciiTheme="minorEastAsia" w:hAnsiTheme="minorEastAsia" w:eastAsiaTheme="minorEastAsia" w:cstheme="minorEastAsia"/>
                <w:i w:val="0"/>
                <w:iCs w:val="0"/>
                <w:color w:val="000000"/>
                <w:sz w:val="21"/>
                <w:szCs w:val="21"/>
                <w:u w:val="none"/>
              </w:rPr>
              <w:t>个村级经济组织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cstheme="minorEastAsia"/>
                <w:i w:val="0"/>
                <w:iCs w:val="0"/>
                <w:color w:val="000000"/>
                <w:sz w:val="21"/>
                <w:szCs w:val="21"/>
                <w:u w:val="none"/>
                <w:lang w:eastAsia="zh-CN"/>
              </w:rPr>
              <w:t>继续</w:t>
            </w:r>
            <w:r>
              <w:rPr>
                <w:rFonts w:hint="eastAsia" w:asciiTheme="minorEastAsia" w:hAnsiTheme="minorEastAsia" w:eastAsiaTheme="minorEastAsia" w:cstheme="minorEastAsia"/>
                <w:i w:val="0"/>
                <w:iCs w:val="0"/>
                <w:color w:val="000000"/>
                <w:sz w:val="21"/>
                <w:szCs w:val="21"/>
                <w:u w:val="none"/>
                <w:lang w:eastAsia="zh-CN"/>
              </w:rPr>
              <w:t>加强集体资产管理</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落实村级“四议一审两公开”制度</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7" w:firstLineChars="0"/>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继续落实村级“四议一审两公开”制度，加强核查，按月抽查各镇村级重大经济事项履行民主议定民主决策程序情况，督导各镇村推进决议公开和实施结果公开</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坚持常态化检查机制，突出抓好村级重要经济事项“四议一审两公开”、“双签字”背书制等制度落实，进一步压紧压实村级干部主体责任，推进基层民主决策制度落实落地。目前已完成14个镇620个村级档案的抽查、问题整改。</w:t>
            </w:r>
          </w:p>
          <w:p>
            <w:pPr>
              <w:rPr>
                <w:rFonts w:hint="eastAsia" w:ascii="宋体" w:hAnsi="宋体" w:eastAsia="宋体" w:cs="宋体"/>
                <w:i w:val="0"/>
                <w:iCs w:val="0"/>
                <w:color w:val="000000"/>
                <w:sz w:val="21"/>
                <w:szCs w:val="21"/>
                <w:highlight w:val="none"/>
                <w:u w:val="none"/>
                <w:lang w:eastAsia="zh-CN"/>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cstheme="minorEastAsia"/>
                <w:i w:val="0"/>
                <w:iCs w:val="0"/>
                <w:color w:val="000000"/>
                <w:sz w:val="21"/>
                <w:szCs w:val="21"/>
                <w:u w:val="none"/>
                <w:lang w:eastAsia="zh-CN"/>
              </w:rPr>
              <w:t>继续</w:t>
            </w:r>
            <w:r>
              <w:rPr>
                <w:rFonts w:hint="eastAsia" w:asciiTheme="minorEastAsia" w:hAnsiTheme="minorEastAsia" w:eastAsiaTheme="minorEastAsia" w:cstheme="minorEastAsia"/>
                <w:i w:val="0"/>
                <w:iCs w:val="0"/>
                <w:color w:val="000000"/>
                <w:sz w:val="21"/>
                <w:szCs w:val="21"/>
                <w:u w:val="none"/>
                <w:lang w:eastAsia="zh-CN"/>
              </w:rPr>
              <w:t>加强集体资产管理</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严格落实“村资区管”制度</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72"/>
              </w:tabs>
              <w:ind w:firstLine="420" w:firstLineChars="200"/>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严格落实“村资区管”制度，组织开展区级联审，加强审议事项审核。</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是起草并下发《区级联审集体资产处置事项报送材料清单》和《提请区级联审集体资产处置事项申请表》，指导各镇按照规程报审集体资产处置相关事宜；二是用好“村资区管”区级联席会议，加强对农村集体资产处置的复审把关。“村资区管”区级联审会共审核集体资产交易事项17宗，发挥了有效的监督作用。</w:t>
            </w:r>
          </w:p>
          <w:p>
            <w:pPr>
              <w:rPr>
                <w:rFonts w:hint="eastAsia" w:ascii="宋体" w:hAnsi="宋体" w:eastAsia="宋体" w:cs="宋体"/>
                <w:i w:val="0"/>
                <w:iCs w:val="0"/>
                <w:color w:val="000000"/>
                <w:sz w:val="21"/>
                <w:szCs w:val="21"/>
                <w:highlight w:val="none"/>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5"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tabs>
                <w:tab w:val="left" w:pos="202"/>
              </w:tabs>
              <w:jc w:val="left"/>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ab/>
            </w:r>
            <w:r>
              <w:rPr>
                <w:rFonts w:hint="eastAsia" w:ascii="宋体" w:hAnsi="宋体" w:eastAsia="宋体" w:cs="宋体"/>
                <w:i w:val="0"/>
                <w:iCs w:val="0"/>
                <w:color w:val="000000"/>
                <w:sz w:val="21"/>
                <w:szCs w:val="21"/>
                <w:highlight w:val="none"/>
                <w:u w:val="none"/>
                <w:lang w:eastAsia="zh-CN"/>
              </w:rPr>
              <w:t>继续加强农地流转、土地出租合同管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72"/>
              </w:tabs>
              <w:jc w:val="left"/>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ab/>
            </w:r>
            <w:r>
              <w:rPr>
                <w:rFonts w:hint="eastAsia" w:ascii="宋体" w:hAnsi="宋体" w:eastAsia="宋体" w:cs="宋体"/>
                <w:i w:val="0"/>
                <w:iCs w:val="0"/>
                <w:color w:val="000000"/>
                <w:sz w:val="21"/>
                <w:szCs w:val="21"/>
                <w:highlight w:val="none"/>
                <w:u w:val="none"/>
                <w:lang w:eastAsia="zh-CN"/>
              </w:rPr>
              <w:t>严格落实“村地区管”制度</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20" w:firstLineChars="200"/>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严格落实“村地区管”制度，配合区农业农村局加强农地流转管理，严格审核村、镇流转土地的合规性。依托农村集体资产资源管理可视化平台，对村集体土地出租合同实现落图管理。常态化开展土地出租（流转）监督管理，按月开展统计并核查，动态掌握新签订合同规范情况</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1.强化“村地区管”</w:t>
            </w:r>
            <w:r>
              <w:rPr>
                <w:rFonts w:hint="eastAsia" w:asciiTheme="minorEastAsia" w:hAnsiTheme="minorEastAsia" w:cstheme="minorEastAsia"/>
                <w:sz w:val="21"/>
                <w:szCs w:val="21"/>
                <w:lang w:val="en-US" w:eastAsia="zh-CN"/>
              </w:rPr>
              <w:t>，</w:t>
            </w:r>
            <w:r>
              <w:rPr>
                <w:rFonts w:hint="eastAsia" w:asciiTheme="minorEastAsia" w:hAnsiTheme="minorEastAsia" w:eastAsiaTheme="minorEastAsia" w:cstheme="minorEastAsia"/>
                <w:sz w:val="21"/>
                <w:szCs w:val="21"/>
                <w:lang w:val="en-US" w:eastAsia="zh-CN"/>
              </w:rPr>
              <w:t>认真落实《大兴区关于进一步完善农村土地经营权流转联席会议制度的意见》，注重部门协调配合，严格程序，加强对各镇提交材料的复核，确保材料完整、程序合规。召开区级联席会共审核土地经营权流转事项</w:t>
            </w:r>
            <w:r>
              <w:rPr>
                <w:rFonts w:hint="eastAsia" w:ascii="宋体" w:hAnsi="宋体" w:eastAsia="宋体" w:cs="宋体"/>
                <w:b w:val="0"/>
                <w:bCs w:val="0"/>
                <w:color w:val="auto"/>
                <w:kern w:val="2"/>
                <w:sz w:val="21"/>
                <w:szCs w:val="21"/>
                <w:lang w:val="en-US" w:eastAsia="zh-CN" w:bidi="ar-SA"/>
              </w:rPr>
              <w:t>25宗，涉及流转面积2122.58</w:t>
            </w:r>
            <w:r>
              <w:rPr>
                <w:rFonts w:hint="eastAsia" w:asciiTheme="minorEastAsia" w:hAnsiTheme="minorEastAsia" w:eastAsiaTheme="minorEastAsia" w:cstheme="minorEastAsia"/>
                <w:sz w:val="21"/>
                <w:szCs w:val="21"/>
                <w:lang w:val="en-US" w:eastAsia="zh-CN"/>
              </w:rPr>
              <w:t>亩。先后开展了2022年农村土地流转合同调查、第二轮土地承包到期后再延长30年调查等专项工作，为土地经营权管理决策提供强有力的支撑。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2.强化合同管理</w:t>
            </w:r>
            <w:r>
              <w:rPr>
                <w:rFonts w:hint="eastAsia" w:asciiTheme="minorEastAsia" w:hAnsiTheme="minorEastAsia" w:cstheme="minorEastAsia"/>
                <w:sz w:val="21"/>
                <w:szCs w:val="21"/>
                <w:lang w:val="en-US" w:eastAsia="zh-CN"/>
              </w:rPr>
              <w:t>，</w:t>
            </w:r>
            <w:r>
              <w:rPr>
                <w:rFonts w:hint="eastAsia" w:asciiTheme="minorEastAsia" w:hAnsiTheme="minorEastAsia" w:eastAsiaTheme="minorEastAsia" w:cstheme="minorEastAsia"/>
                <w:sz w:val="21"/>
                <w:szCs w:val="21"/>
                <w:lang w:val="en-US" w:eastAsia="zh-CN"/>
              </w:rPr>
              <w:t>一是广泛征求意见，积极争取市主管部门支持，牵头修订农村集体土地承包和流转合同，形成了《大兴区农村土地经营权出租合同》等5类区级合同示范文本，73份涉地合同全部按照新文本签订，并在镇经管部门备案；二是落实《北京市大兴区农村集体土地出租合同联合预审工作办法》，严格执行合同联预审机制，按照“六必审”工作要求对合同内容审核把关，确保合同合法合规。</w:t>
            </w:r>
          </w:p>
          <w:p>
            <w:pPr>
              <w:rPr>
                <w:rFonts w:hint="eastAsia" w:ascii="宋体" w:hAnsi="宋体" w:eastAsia="宋体" w:cs="宋体"/>
                <w:i w:val="0"/>
                <w:iCs w:val="0"/>
                <w:color w:val="000000"/>
                <w:sz w:val="21"/>
                <w:szCs w:val="21"/>
                <w:highlight w:val="none"/>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继续加强农经、财会人员素质提升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482"/>
              </w:tabs>
              <w:jc w:val="left"/>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开展培训</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7" w:firstLineChars="0"/>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开展2批600人左右村级财务人员培训，1批100人左右区级仲裁员、镇村级调解员约培训。</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完成</w:t>
            </w:r>
            <w:r>
              <w:rPr>
                <w:rFonts w:hint="eastAsia" w:ascii="宋体" w:hAnsi="宋体" w:eastAsia="宋体" w:cs="宋体"/>
                <w:i w:val="0"/>
                <w:iCs w:val="0"/>
                <w:color w:val="000000"/>
                <w:sz w:val="21"/>
                <w:szCs w:val="21"/>
                <w:highlight w:val="none"/>
                <w:u w:val="none"/>
              </w:rPr>
              <w:t>村级财务人员培训</w:t>
            </w:r>
            <w:r>
              <w:rPr>
                <w:rFonts w:hint="eastAsia" w:ascii="宋体" w:hAnsi="宋体" w:eastAsia="宋体" w:cs="宋体"/>
                <w:i w:val="0"/>
                <w:iCs w:val="0"/>
                <w:color w:val="000000"/>
                <w:sz w:val="21"/>
                <w:szCs w:val="21"/>
                <w:highlight w:val="none"/>
                <w:u w:val="none"/>
                <w:lang w:eastAsia="zh-CN"/>
              </w:rPr>
              <w:t>及</w:t>
            </w:r>
            <w:r>
              <w:rPr>
                <w:rFonts w:hint="eastAsia" w:ascii="宋体" w:hAnsi="宋体" w:eastAsia="宋体" w:cs="宋体"/>
                <w:i w:val="0"/>
                <w:iCs w:val="0"/>
                <w:color w:val="000000"/>
                <w:sz w:val="21"/>
                <w:szCs w:val="21"/>
                <w:highlight w:val="none"/>
                <w:u w:val="none"/>
              </w:rPr>
              <w:t>区级仲裁员、镇村级调解员培训。</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3"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继续加强农经统计和信息化管理</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农经统计和信息化管理</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进一步加强农经统计工作，强化农经数据来源的真实性、完整性和有效性，充分利用信息化管理，加强农经数据的分析和应用，切实提高农村三资管理效率，促进农民增收，助推乡村振兴。</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keepNext w:val="0"/>
              <w:keepLines w:val="0"/>
              <w:pageBreakBefore w:val="0"/>
              <w:widowControl w:val="0"/>
              <w:kinsoku/>
              <w:wordWrap/>
              <w:overflowPunct/>
              <w:topLinePunct w:val="0"/>
              <w:autoSpaceDE/>
              <w:autoSpaceDN/>
              <w:bidi w:val="0"/>
              <w:spacing w:before="0" w:after="0" w:line="240" w:lineRule="auto"/>
              <w:ind w:firstLine="420" w:firstLineChars="200"/>
              <w:jc w:val="both"/>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完成2022年度农村管理信息化数据上报工作；完成了《大兴区2022年农村经济统计分析报告》；完成每月监测集体经济薄弱村收益分配情况；指导各镇完成京郊100个村集体经济运行状况跟踪监测点信息录入工作及劳务费的发放工作，统计各镇征地补偿款专户开设和使用情况等，为农经工作更好开展提供基础数据，推动经管工作高效开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强化统计数据应用、做好统计数据审核、确保信息化系统有效使用。区经管站牵头，以当前农村集体资产管理政策法规为依据，多次协调区农业农村局及全站业务科室召开工作推进会，广泛征求各镇及相关部门意见，将房屋建筑物等实物资产管理、农用地流转以及合同变更、解除、换手等管理流程纳入可视化平台。推动实现涉地合同管理流程信息化、信息数据可视化。目前已完成系统开发、基础数据收集和核实确认工作。</w:t>
            </w:r>
          </w:p>
          <w:p>
            <w:pPr>
              <w:spacing w:line="240" w:lineRule="auto"/>
              <w:rPr>
                <w:rFonts w:hint="eastAsia" w:ascii="宋体" w:hAnsi="宋体" w:eastAsia="宋体" w:cs="宋体"/>
                <w:sz w:val="21"/>
                <w:szCs w:val="21"/>
                <w:lang w:val="en-US" w:eastAsia="zh-CN"/>
              </w:rPr>
            </w:pPr>
          </w:p>
          <w:p>
            <w:pPr>
              <w:rPr>
                <w:rFonts w:hint="eastAsia" w:ascii="宋体" w:hAnsi="宋体" w:eastAsia="宋体" w:cs="宋体"/>
                <w:i w:val="0"/>
                <w:iCs w:val="0"/>
                <w:color w:val="000000"/>
                <w:sz w:val="21"/>
                <w:szCs w:val="21"/>
                <w:highlight w:val="none"/>
                <w:u w:val="none"/>
              </w:rPr>
            </w:pP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8935"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71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438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2022年数据</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5"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2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3.54%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3.62%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0.08%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3.97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0975"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7" w:hRule="atLeast"/>
        </w:trPr>
        <w:tc>
          <w:tcPr>
            <w:tcW w:w="1207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99.24</w:t>
            </w:r>
          </w:p>
        </w:tc>
      </w:tr>
    </w:tbl>
    <w:p>
      <w:pPr>
        <w:pStyle w:val="8"/>
        <w:rPr>
          <w:rFonts w:hint="eastAsia" w:ascii="仿宋_GB2312" w:hAnsi="仿宋_GB2312" w:eastAsia="仿宋_GB2312" w:cs="仿宋_GB2312"/>
          <w:color w:val="000000"/>
          <w:kern w:val="0"/>
          <w:sz w:val="28"/>
          <w:szCs w:val="28"/>
        </w:rPr>
      </w:pPr>
    </w:p>
    <w:p>
      <w:pPr>
        <w:rPr>
          <w:rFonts w:hint="eastAsia"/>
          <w:b/>
          <w:bCs/>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2023年差异率（绝对值）-2022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i w:val="0"/>
          <w:iCs w:val="0"/>
          <w:color w:val="000000"/>
          <w:kern w:val="0"/>
          <w:sz w:val="22"/>
          <w:szCs w:val="22"/>
          <w:highlight w:val="none"/>
          <w:u w:val="none"/>
          <w:lang w:val="en-US" w:eastAsia="zh-CN" w:bidi="ar"/>
        </w:rPr>
        <w:sectPr>
          <w:footerReference r:id="rId4" w:type="default"/>
          <w:pgSz w:w="16838" w:h="11906" w:orient="landscape"/>
          <w:pgMar w:top="1134" w:right="1134" w:bottom="1134" w:left="1134" w:header="851" w:footer="992" w:gutter="0"/>
          <w:cols w:space="0" w:num="1"/>
          <w:rtlGutter w:val="0"/>
          <w:docGrid w:type="lines" w:linePitch="312" w:charSpace="0"/>
        </w:sect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w:t>
      </w:r>
    </w:p>
    <w:p>
      <w:pPr>
        <w:jc w:val="both"/>
        <w:rPr>
          <w:rFonts w:hint="eastAsia" w:ascii="楷体_GB2312" w:hAnsi="楷体_GB2312" w:eastAsia="楷体_GB2312" w:cs="楷体_GB2312"/>
          <w:b/>
          <w:bCs/>
          <w:sz w:val="44"/>
          <w:szCs w:val="44"/>
          <w:highlight w:val="none"/>
          <w:lang w:eastAsia="zh-CN"/>
        </w:rPr>
      </w:pPr>
    </w:p>
    <w:p>
      <w:pPr>
        <w:jc w:val="center"/>
        <w:rPr>
          <w:rFonts w:hint="eastAsia" w:ascii="楷体_GB2312" w:hAnsi="楷体_GB2312" w:eastAsia="楷体_GB2312" w:cs="楷体_GB2312"/>
          <w:b/>
          <w:bCs/>
          <w:sz w:val="44"/>
          <w:szCs w:val="44"/>
          <w:highlight w:val="none"/>
        </w:rPr>
      </w:pPr>
      <w:r>
        <w:rPr>
          <w:rFonts w:hint="eastAsia" w:ascii="楷体_GB2312" w:hAnsi="楷体_GB2312" w:eastAsia="楷体_GB2312" w:cs="楷体_GB2312"/>
          <w:b/>
          <w:bCs/>
          <w:sz w:val="44"/>
          <w:szCs w:val="44"/>
          <w:highlight w:val="none"/>
          <w:lang w:eastAsia="zh-CN"/>
        </w:rPr>
        <w:t>村级财务资产审计检查</w:t>
      </w:r>
      <w:r>
        <w:rPr>
          <w:rFonts w:hint="eastAsia" w:ascii="楷体_GB2312" w:hAnsi="楷体_GB2312" w:eastAsia="楷体_GB2312" w:cs="楷体_GB2312"/>
          <w:b/>
          <w:bCs/>
          <w:sz w:val="44"/>
          <w:szCs w:val="44"/>
          <w:highlight w:val="none"/>
        </w:rPr>
        <w:t>项目</w:t>
      </w:r>
    </w:p>
    <w:p>
      <w:pPr>
        <w:jc w:val="center"/>
        <w:rPr>
          <w:rFonts w:hint="eastAsia" w:ascii="楷体_GB2312" w:hAnsi="楷体_GB2312" w:eastAsia="楷体_GB2312" w:cs="楷体_GB2312"/>
          <w:b/>
          <w:bCs/>
          <w:sz w:val="44"/>
          <w:szCs w:val="44"/>
          <w:highlight w:val="none"/>
        </w:rPr>
      </w:pPr>
      <w:r>
        <w:rPr>
          <w:rFonts w:hint="eastAsia" w:ascii="楷体_GB2312" w:hAnsi="楷体_GB2312" w:eastAsia="楷体_GB2312" w:cs="楷体_GB2312"/>
          <w:b/>
          <w:bCs/>
          <w:sz w:val="44"/>
          <w:szCs w:val="44"/>
          <w:highlight w:val="none"/>
        </w:rPr>
        <w:t>支出绩效评价报告</w:t>
      </w:r>
    </w:p>
    <w:p>
      <w:pPr>
        <w:jc w:val="both"/>
        <w:rPr>
          <w:rFonts w:hint="eastAsia" w:ascii="仿宋_GB2312" w:hAnsi="仿宋_GB2312" w:eastAsia="仿宋_GB2312" w:cs="仿宋_GB2312"/>
          <w:sz w:val="24"/>
          <w:szCs w:val="24"/>
          <w:highlight w:val="none"/>
        </w:rPr>
      </w:pPr>
    </w:p>
    <w:p>
      <w:pPr>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rPr>
        <w:t>为进一步</w:t>
      </w:r>
      <w:r>
        <w:rPr>
          <w:rFonts w:hint="eastAsia" w:ascii="仿宋_GB2312" w:hAnsi="仿宋_GB2312" w:eastAsia="仿宋_GB2312" w:cs="仿宋_GB2312"/>
          <w:color w:val="000000"/>
          <w:kern w:val="0"/>
          <w:sz w:val="28"/>
          <w:szCs w:val="28"/>
          <w:highlight w:val="none"/>
          <w:lang w:eastAsia="zh-CN"/>
        </w:rPr>
        <w:t>厘清</w:t>
      </w:r>
      <w:r>
        <w:rPr>
          <w:rFonts w:hint="eastAsia" w:ascii="仿宋_GB2312" w:hAnsi="仿宋_GB2312" w:eastAsia="仿宋_GB2312" w:cs="仿宋_GB2312"/>
          <w:color w:val="000000"/>
          <w:kern w:val="0"/>
          <w:sz w:val="28"/>
          <w:szCs w:val="28"/>
          <w:highlight w:val="none"/>
          <w:lang w:val="en-US" w:eastAsia="zh-CN"/>
        </w:rPr>
        <w:t>农村财务及资产状况</w:t>
      </w:r>
      <w:r>
        <w:rPr>
          <w:rFonts w:hint="eastAsia" w:ascii="仿宋_GB2312" w:hAnsi="仿宋_GB2312" w:eastAsia="仿宋_GB2312" w:cs="仿宋_GB2312"/>
          <w:color w:val="000000"/>
          <w:kern w:val="0"/>
          <w:sz w:val="28"/>
          <w:szCs w:val="28"/>
          <w:highlight w:val="none"/>
        </w:rPr>
        <w:t>，实现</w:t>
      </w:r>
      <w:r>
        <w:rPr>
          <w:rFonts w:hint="eastAsia" w:ascii="仿宋_GB2312" w:hAnsi="仿宋_GB2312" w:eastAsia="仿宋_GB2312" w:cs="仿宋_GB2312"/>
          <w:color w:val="000000"/>
          <w:kern w:val="0"/>
          <w:sz w:val="28"/>
          <w:szCs w:val="28"/>
          <w:highlight w:val="none"/>
          <w:lang w:eastAsia="zh-CN"/>
        </w:rPr>
        <w:t>农村财务及</w:t>
      </w:r>
      <w:r>
        <w:rPr>
          <w:rFonts w:hint="eastAsia" w:ascii="仿宋_GB2312" w:hAnsi="仿宋_GB2312" w:eastAsia="仿宋_GB2312" w:cs="仿宋_GB2312"/>
          <w:color w:val="000000"/>
          <w:kern w:val="0"/>
          <w:sz w:val="28"/>
          <w:szCs w:val="28"/>
          <w:highlight w:val="none"/>
        </w:rPr>
        <w:t>资产管理的科学化、规范化、制度化，做到账账相符、账卡相符、帐</w:t>
      </w:r>
      <w:r>
        <w:rPr>
          <w:rFonts w:hint="eastAsia" w:ascii="仿宋_GB2312" w:hAnsi="仿宋_GB2312" w:eastAsia="仿宋_GB2312" w:cs="仿宋_GB2312"/>
          <w:color w:val="000000"/>
          <w:kern w:val="0"/>
          <w:sz w:val="28"/>
          <w:szCs w:val="28"/>
          <w:highlight w:val="none"/>
          <w:lang w:eastAsia="zh-CN"/>
        </w:rPr>
        <w:t>实</w:t>
      </w:r>
      <w:r>
        <w:rPr>
          <w:rFonts w:hint="eastAsia" w:ascii="仿宋_GB2312" w:hAnsi="仿宋_GB2312" w:eastAsia="仿宋_GB2312" w:cs="仿宋_GB2312"/>
          <w:color w:val="000000"/>
          <w:kern w:val="0"/>
          <w:sz w:val="28"/>
          <w:szCs w:val="28"/>
          <w:highlight w:val="none"/>
        </w:rPr>
        <w:t>相符</w:t>
      </w:r>
      <w:r>
        <w:rPr>
          <w:rFonts w:hint="eastAsia" w:ascii="仿宋_GB2312" w:hAnsi="仿宋_GB2312" w:eastAsia="仿宋_GB2312" w:cs="仿宋_GB2312"/>
          <w:color w:val="000000"/>
          <w:kern w:val="0"/>
          <w:sz w:val="28"/>
          <w:szCs w:val="28"/>
          <w:highlight w:val="none"/>
          <w:lang w:eastAsia="zh-CN"/>
        </w:rPr>
        <w:t>，对村级财务及资产进行审计监督，维护集体经济利益和社会稳定，开展对黄村、西红门、安定、旧宫、瀛海、亦庄六个镇</w:t>
      </w:r>
      <w:r>
        <w:rPr>
          <w:rFonts w:hint="eastAsia" w:ascii="仿宋_GB2312" w:hAnsi="仿宋_GB2312" w:eastAsia="仿宋_GB2312" w:cs="仿宋_GB2312"/>
          <w:color w:val="000000"/>
          <w:kern w:val="0"/>
          <w:sz w:val="28"/>
          <w:szCs w:val="28"/>
          <w:highlight w:val="none"/>
          <w:lang w:val="en-US" w:eastAsia="zh-CN"/>
        </w:rPr>
        <w:t>188个村</w:t>
      </w:r>
      <w:r>
        <w:rPr>
          <w:rFonts w:hint="eastAsia" w:ascii="仿宋_GB2312" w:hAnsi="仿宋_GB2312" w:eastAsia="仿宋_GB2312" w:cs="仿宋_GB2312"/>
          <w:color w:val="000000"/>
          <w:kern w:val="0"/>
          <w:sz w:val="28"/>
          <w:szCs w:val="28"/>
          <w:highlight w:val="none"/>
          <w:lang w:eastAsia="zh-CN"/>
        </w:rPr>
        <w:t>村级财务资产审计检查工作。</w:t>
      </w:r>
      <w:r>
        <w:rPr>
          <w:rFonts w:hint="eastAsia" w:ascii="仿宋_GB2312" w:hAnsi="仿宋_GB2312" w:eastAsia="仿宋_GB2312" w:cs="仿宋_GB2312"/>
          <w:color w:val="000000"/>
          <w:kern w:val="0"/>
          <w:sz w:val="28"/>
          <w:szCs w:val="28"/>
          <w:highlight w:val="none"/>
        </w:rPr>
        <w:t>区经管站组织</w:t>
      </w:r>
      <w:r>
        <w:rPr>
          <w:rFonts w:hint="eastAsia" w:ascii="仿宋_GB2312" w:hAnsi="仿宋_GB2312" w:eastAsia="仿宋_GB2312" w:cs="仿宋_GB2312"/>
          <w:color w:val="000000"/>
          <w:kern w:val="0"/>
          <w:sz w:val="28"/>
          <w:szCs w:val="28"/>
          <w:highlight w:val="none"/>
          <w:lang w:eastAsia="zh-CN"/>
        </w:rPr>
        <w:t>采取</w:t>
      </w:r>
      <w:r>
        <w:rPr>
          <w:rFonts w:hint="eastAsia" w:ascii="仿宋_GB2312" w:hAnsi="仿宋_GB2312" w:eastAsia="仿宋_GB2312" w:cs="仿宋_GB2312"/>
          <w:color w:val="000000"/>
          <w:kern w:val="0"/>
          <w:sz w:val="28"/>
          <w:szCs w:val="28"/>
          <w:highlight w:val="none"/>
        </w:rPr>
        <w:t>公开招标，聘请第三方公司参与开展村级财务资产审计检查工作</w:t>
      </w:r>
      <w:r>
        <w:rPr>
          <w:rFonts w:hint="eastAsia" w:ascii="仿宋_GB2312" w:hAnsi="仿宋_GB2312" w:eastAsia="仿宋_GB2312" w:cs="仿宋_GB2312"/>
          <w:color w:val="000000"/>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村级财务资产审计检查项目总金额</w:t>
      </w:r>
      <w:r>
        <w:rPr>
          <w:rFonts w:hint="eastAsia" w:ascii="仿宋_GB2312" w:hAnsi="仿宋_GB2312" w:eastAsia="仿宋_GB2312" w:cs="仿宋_GB2312"/>
          <w:color w:val="000000"/>
          <w:kern w:val="0"/>
          <w:sz w:val="28"/>
          <w:szCs w:val="28"/>
          <w:highlight w:val="none"/>
          <w:lang w:val="en-US" w:eastAsia="zh-CN"/>
        </w:rPr>
        <w:t>1519.53万元</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lang w:val="en" w:eastAsia="zh-CN"/>
        </w:rPr>
        <w:t>202</w:t>
      </w:r>
      <w:r>
        <w:rPr>
          <w:rFonts w:hint="eastAsia" w:ascii="仿宋_GB2312" w:hAnsi="仿宋_GB2312" w:eastAsia="仿宋_GB2312" w:cs="仿宋_GB2312"/>
          <w:color w:val="000000"/>
          <w:kern w:val="0"/>
          <w:sz w:val="28"/>
          <w:szCs w:val="28"/>
          <w:highlight w:val="none"/>
          <w:lang w:val="en-US" w:eastAsia="zh-CN"/>
        </w:rPr>
        <w:t>3年预算安排727万元，实际支出727万元。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（二）</w:t>
      </w:r>
      <w:r>
        <w:rPr>
          <w:rFonts w:hint="eastAsia" w:ascii="仿宋_GB2312" w:hAnsi="仿宋_GB2312" w:eastAsia="仿宋_GB2312" w:cs="仿宋_GB2312"/>
          <w:color w:val="000000"/>
          <w:kern w:val="0"/>
          <w:sz w:val="28"/>
          <w:szCs w:val="28"/>
          <w:highlight w:val="none"/>
        </w:rPr>
        <w:t>项目绩效目标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val="en-US" w:eastAsia="zh-CN"/>
        </w:rPr>
        <w:t>1.</w:t>
      </w:r>
      <w:r>
        <w:rPr>
          <w:rFonts w:hint="eastAsia" w:ascii="仿宋_GB2312" w:hAnsi="仿宋_GB2312" w:eastAsia="仿宋_GB2312" w:cs="仿宋_GB2312"/>
          <w:color w:val="000000"/>
          <w:kern w:val="0"/>
          <w:sz w:val="28"/>
          <w:szCs w:val="28"/>
          <w:highlight w:val="none"/>
        </w:rPr>
        <w:t>总体目标</w:t>
      </w:r>
      <w:r>
        <w:rPr>
          <w:rFonts w:hint="eastAsia" w:ascii="仿宋_GB2312" w:hAnsi="仿宋_GB2312" w:eastAsia="仿宋_GB2312" w:cs="仿宋_GB2312"/>
          <w:color w:val="000000"/>
          <w:kern w:val="0"/>
          <w:sz w:val="28"/>
          <w:szCs w:val="28"/>
          <w:highlight w:val="none"/>
          <w:lang w:eastAsia="zh-CN"/>
        </w:rPr>
        <w:t>：为</w:t>
      </w:r>
      <w:r>
        <w:rPr>
          <w:rFonts w:hint="eastAsia" w:ascii="仿宋_GB2312" w:hAnsi="仿宋_GB2312" w:eastAsia="仿宋_GB2312" w:cs="仿宋_GB2312"/>
          <w:color w:val="000000"/>
          <w:kern w:val="0"/>
          <w:sz w:val="28"/>
          <w:szCs w:val="28"/>
          <w:highlight w:val="none"/>
        </w:rPr>
        <w:t>实现农村财务及资产管理的科学化、规范化、制度化，做到账账相符、账卡相符、帐实相符，对村级财务及资产进行审计监督，维护集体经济利益和社会稳定。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2.绩效指标值：2023年</w:t>
      </w:r>
      <w:r>
        <w:rPr>
          <w:rFonts w:hint="eastAsia" w:ascii="仿宋_GB2312" w:hAnsi="仿宋_GB2312" w:eastAsia="仿宋_GB2312" w:cs="仿宋_GB2312"/>
          <w:color w:val="000000"/>
          <w:kern w:val="0"/>
          <w:sz w:val="28"/>
          <w:szCs w:val="28"/>
          <w:highlight w:val="none"/>
        </w:rPr>
        <w:t>项目资金安排</w:t>
      </w:r>
      <w:r>
        <w:rPr>
          <w:rFonts w:hint="eastAsia" w:ascii="仿宋_GB2312" w:hAnsi="仿宋_GB2312" w:eastAsia="仿宋_GB2312" w:cs="仿宋_GB2312"/>
          <w:color w:val="000000"/>
          <w:kern w:val="0"/>
          <w:sz w:val="28"/>
          <w:szCs w:val="28"/>
          <w:highlight w:val="none"/>
          <w:lang w:val="en-US" w:eastAsia="zh-CN"/>
        </w:rPr>
        <w:t>727万元，</w:t>
      </w:r>
      <w:r>
        <w:rPr>
          <w:rFonts w:hint="eastAsia" w:ascii="仿宋_GB2312" w:hAnsi="仿宋_GB2312" w:eastAsia="仿宋_GB2312" w:cs="仿宋_GB2312"/>
          <w:color w:val="000000"/>
          <w:kern w:val="0"/>
          <w:sz w:val="28"/>
          <w:szCs w:val="28"/>
          <w:highlight w:val="none"/>
          <w:lang w:eastAsia="zh-CN"/>
        </w:rPr>
        <w:t>及时拨付，执行率</w:t>
      </w:r>
      <w:r>
        <w:rPr>
          <w:rFonts w:hint="eastAsia" w:ascii="仿宋_GB2312" w:hAnsi="仿宋_GB2312" w:eastAsia="仿宋_GB2312" w:cs="仿宋_GB2312"/>
          <w:color w:val="000000"/>
          <w:kern w:val="0"/>
          <w:sz w:val="28"/>
          <w:szCs w:val="28"/>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val="en-US" w:eastAsia="zh-CN"/>
        </w:rPr>
        <w:t>产出指标中，数量指标是</w:t>
      </w:r>
      <w:r>
        <w:rPr>
          <w:rFonts w:hint="eastAsia" w:ascii="仿宋_GB2312" w:hAnsi="仿宋_GB2312" w:eastAsia="仿宋_GB2312" w:cs="仿宋_GB2312"/>
          <w:color w:val="000000"/>
          <w:kern w:val="0"/>
          <w:sz w:val="28"/>
          <w:szCs w:val="28"/>
          <w:highlight w:val="none"/>
          <w:lang w:eastAsia="zh-CN"/>
        </w:rPr>
        <w:t>审计镇村数，完成预定目标黄村、西红门、安定、旧宫、瀛海、亦庄六个镇</w:t>
      </w:r>
      <w:r>
        <w:rPr>
          <w:rFonts w:hint="eastAsia" w:ascii="仿宋_GB2312" w:hAnsi="仿宋_GB2312" w:eastAsia="仿宋_GB2312" w:cs="仿宋_GB2312"/>
          <w:color w:val="000000"/>
          <w:kern w:val="0"/>
          <w:sz w:val="28"/>
          <w:szCs w:val="28"/>
          <w:highlight w:val="none"/>
          <w:lang w:val="en-US" w:eastAsia="zh-CN"/>
        </w:rPr>
        <w:t>188个村</w:t>
      </w:r>
      <w:r>
        <w:rPr>
          <w:rFonts w:hint="eastAsia" w:ascii="仿宋_GB2312" w:hAnsi="仿宋_GB2312" w:eastAsia="仿宋_GB2312" w:cs="仿宋_GB2312"/>
          <w:color w:val="000000"/>
          <w:kern w:val="0"/>
          <w:sz w:val="28"/>
          <w:szCs w:val="28"/>
          <w:highlight w:val="none"/>
          <w:lang w:eastAsia="zh-CN"/>
        </w:rPr>
        <w:t>；质量指标是资产清查审计检查，已完成摸清家底理清权属关系，对审计出问题进行督导</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val="en-US" w:eastAsia="zh-CN"/>
        </w:rPr>
        <w:t>时效指标是</w:t>
      </w:r>
      <w:r>
        <w:rPr>
          <w:rFonts w:hint="eastAsia" w:ascii="仿宋_GB2312" w:hAnsi="仿宋_GB2312" w:eastAsia="仿宋_GB2312" w:cs="仿宋_GB2312"/>
          <w:color w:val="000000"/>
          <w:kern w:val="0"/>
          <w:sz w:val="28"/>
          <w:szCs w:val="28"/>
          <w:highlight w:val="none"/>
          <w:lang w:eastAsia="zh-CN"/>
        </w:rPr>
        <w:t>项目进度，已于</w:t>
      </w:r>
      <w:r>
        <w:rPr>
          <w:rFonts w:hint="eastAsia" w:ascii="仿宋_GB2312" w:hAnsi="仿宋_GB2312" w:eastAsia="仿宋_GB2312" w:cs="仿宋_GB2312"/>
          <w:color w:val="000000"/>
          <w:kern w:val="0"/>
          <w:sz w:val="28"/>
          <w:szCs w:val="28"/>
          <w:highlight w:val="none"/>
          <w:lang w:val="en-US" w:eastAsia="zh-CN"/>
        </w:rPr>
        <w:t>2023年12月31日出具审计报告初稿；成本指标是</w:t>
      </w:r>
      <w:r>
        <w:rPr>
          <w:rFonts w:hint="eastAsia" w:ascii="仿宋_GB2312" w:hAnsi="仿宋_GB2312" w:eastAsia="仿宋_GB2312" w:cs="仿宋_GB2312"/>
          <w:color w:val="000000"/>
          <w:kern w:val="0"/>
          <w:sz w:val="28"/>
          <w:szCs w:val="28"/>
          <w:highlight w:val="none"/>
          <w:lang w:eastAsia="zh-CN"/>
        </w:rPr>
        <w:t>项目预算资金安排，财政资金全部拨付。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eastAsia="zh-CN"/>
        </w:rPr>
        <w:t>效益指标中，社会指标是村级财务资产审计检查，维护集体经济利益和社会稳定；</w:t>
      </w:r>
      <w:r>
        <w:rPr>
          <w:rFonts w:hint="eastAsia" w:ascii="仿宋_GB2312" w:hAnsi="仿宋_GB2312" w:eastAsia="仿宋_GB2312" w:cs="仿宋_GB2312"/>
          <w:color w:val="000000"/>
          <w:kern w:val="0"/>
          <w:sz w:val="28"/>
          <w:szCs w:val="28"/>
          <w:highlight w:val="none"/>
          <w:lang w:val="en-US" w:eastAsia="zh-CN"/>
        </w:rPr>
        <w:t>可持续影响指标是村级财务资产审计检查，保证财政资金发挥实效，</w:t>
      </w:r>
      <w:r>
        <w:rPr>
          <w:rFonts w:hint="eastAsia" w:ascii="仿宋_GB2312" w:hAnsi="仿宋_GB2312" w:eastAsia="仿宋_GB2312" w:cs="仿宋_GB2312"/>
          <w:color w:val="000000"/>
          <w:kern w:val="0"/>
          <w:sz w:val="28"/>
          <w:szCs w:val="28"/>
          <w:highlight w:val="none"/>
          <w:lang w:eastAsia="zh-CN"/>
        </w:rPr>
        <w:t>实现农村财务及资产管理的科学化、规范化、制度化，持续保持整改效果。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服务对象满意度指标是涉及镇、村对村级财务资产审计检查工作的满意度，满意度为</w:t>
      </w:r>
      <w:r>
        <w:rPr>
          <w:rFonts w:hint="eastAsia" w:ascii="仿宋_GB2312" w:hAnsi="仿宋_GB2312" w:eastAsia="仿宋_GB2312" w:cs="仿宋_GB2312"/>
          <w:color w:val="000000"/>
          <w:kern w:val="0"/>
          <w:sz w:val="28"/>
          <w:szCs w:val="28"/>
          <w:highlight w:val="none"/>
          <w:lang w:val="en-US" w:eastAsia="zh-CN"/>
        </w:rPr>
        <w:t>99.97%。</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（一）绩效评价目的、对象和范围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eastAsia="zh-CN"/>
        </w:rPr>
        <w:t>为全面实施预算绩效管理，建立科学、合理的项目绩效评价管理体系，提高财政资源配置效率和使用效益，</w:t>
      </w:r>
      <w:r>
        <w:rPr>
          <w:rFonts w:hint="eastAsia" w:ascii="仿宋_GB2312" w:hAnsi="仿宋_GB2312" w:eastAsia="仿宋_GB2312" w:cs="仿宋_GB2312"/>
          <w:color w:val="auto"/>
          <w:kern w:val="0"/>
          <w:sz w:val="28"/>
          <w:szCs w:val="28"/>
        </w:rPr>
        <w:t>按照《关于开展</w:t>
      </w:r>
      <w:r>
        <w:rPr>
          <w:rFonts w:hint="eastAsia" w:ascii="仿宋_GB2312" w:hAnsi="仿宋_GB2312" w:eastAsia="仿宋_GB2312" w:cs="仿宋_GB2312"/>
          <w:color w:val="auto"/>
          <w:kern w:val="0"/>
          <w:sz w:val="28"/>
          <w:szCs w:val="28"/>
          <w:lang w:eastAsia="zh-CN"/>
        </w:rPr>
        <w:t>大兴区</w:t>
      </w:r>
      <w:r>
        <w:rPr>
          <w:rFonts w:hint="eastAsia" w:ascii="仿宋_GB2312" w:hAnsi="仿宋_GB2312" w:eastAsia="仿宋_GB2312" w:cs="仿宋_GB2312"/>
          <w:color w:val="auto"/>
          <w:kern w:val="0"/>
          <w:sz w:val="28"/>
          <w:szCs w:val="28"/>
        </w:rPr>
        <w:t>202</w:t>
      </w:r>
      <w:r>
        <w:rPr>
          <w:rFonts w:hint="eastAsia" w:ascii="仿宋_GB2312" w:hAnsi="仿宋_GB2312" w:eastAsia="仿宋_GB2312" w:cs="仿宋_GB2312"/>
          <w:color w:val="auto"/>
          <w:kern w:val="0"/>
          <w:sz w:val="28"/>
          <w:szCs w:val="28"/>
          <w:lang w:val="en-US" w:eastAsia="zh-CN"/>
        </w:rPr>
        <w:t>3</w:t>
      </w:r>
      <w:r>
        <w:rPr>
          <w:rFonts w:hint="eastAsia" w:ascii="仿宋_GB2312" w:hAnsi="仿宋_GB2312" w:eastAsia="仿宋_GB2312" w:cs="仿宋_GB2312"/>
          <w:color w:val="auto"/>
          <w:kern w:val="0"/>
          <w:sz w:val="28"/>
          <w:szCs w:val="28"/>
        </w:rPr>
        <w:t>年度财政支出</w:t>
      </w:r>
      <w:r>
        <w:rPr>
          <w:rFonts w:hint="eastAsia" w:ascii="仿宋_GB2312" w:hAnsi="仿宋_GB2312" w:eastAsia="仿宋_GB2312" w:cs="仿宋_GB2312"/>
          <w:color w:val="auto"/>
          <w:kern w:val="0"/>
          <w:sz w:val="28"/>
          <w:szCs w:val="28"/>
          <w:lang w:eastAsia="zh-CN"/>
        </w:rPr>
        <w:t>绩效</w:t>
      </w:r>
      <w:r>
        <w:rPr>
          <w:rFonts w:hint="eastAsia" w:ascii="仿宋_GB2312" w:hAnsi="仿宋_GB2312" w:eastAsia="仿宋_GB2312" w:cs="仿宋_GB2312"/>
          <w:color w:val="auto"/>
          <w:kern w:val="0"/>
          <w:sz w:val="28"/>
          <w:szCs w:val="28"/>
        </w:rPr>
        <w:t>评价工作的通知》及《</w:t>
      </w:r>
      <w:r>
        <w:rPr>
          <w:rFonts w:hint="eastAsia" w:ascii="仿宋_GB2312" w:hAnsi="仿宋_GB2312" w:eastAsia="仿宋_GB2312" w:cs="仿宋_GB2312"/>
          <w:color w:val="auto"/>
          <w:kern w:val="0"/>
          <w:sz w:val="28"/>
          <w:szCs w:val="28"/>
          <w:lang w:eastAsia="zh-CN"/>
        </w:rPr>
        <w:t>大兴区</w:t>
      </w:r>
      <w:r>
        <w:rPr>
          <w:rFonts w:hint="eastAsia" w:ascii="仿宋_GB2312" w:hAnsi="仿宋_GB2312" w:eastAsia="仿宋_GB2312" w:cs="仿宋_GB2312"/>
          <w:color w:val="auto"/>
          <w:kern w:val="0"/>
          <w:sz w:val="28"/>
          <w:szCs w:val="28"/>
        </w:rPr>
        <w:t>项目支出绩效评价管理办法》文件要求，</w:t>
      </w:r>
      <w:r>
        <w:rPr>
          <w:rFonts w:hint="eastAsia" w:ascii="仿宋_GB2312" w:hAnsi="仿宋_GB2312" w:eastAsia="仿宋_GB2312" w:cs="仿宋_GB2312"/>
          <w:color w:val="auto"/>
          <w:kern w:val="0"/>
          <w:sz w:val="28"/>
          <w:szCs w:val="28"/>
          <w:lang w:eastAsia="zh-CN"/>
        </w:rPr>
        <w:t>区经管站</w:t>
      </w:r>
      <w:r>
        <w:rPr>
          <w:rFonts w:hint="eastAsia" w:ascii="仿宋_GB2312" w:hAnsi="仿宋_GB2312" w:eastAsia="仿宋_GB2312" w:cs="仿宋_GB2312"/>
          <w:color w:val="auto"/>
          <w:kern w:val="0"/>
          <w:sz w:val="28"/>
          <w:szCs w:val="28"/>
        </w:rPr>
        <w:t>对</w:t>
      </w:r>
      <w:r>
        <w:rPr>
          <w:rFonts w:hint="eastAsia" w:ascii="仿宋_GB2312" w:hAnsi="仿宋_GB2312" w:eastAsia="仿宋_GB2312" w:cs="仿宋_GB2312"/>
          <w:color w:val="000000"/>
          <w:kern w:val="0"/>
          <w:sz w:val="28"/>
          <w:szCs w:val="28"/>
          <w:highlight w:val="none"/>
          <w:lang w:eastAsia="zh-CN"/>
        </w:rPr>
        <w:t>黄村、西红门、安定、旧宫、瀛海、亦庄六个镇</w:t>
      </w:r>
      <w:r>
        <w:rPr>
          <w:rFonts w:hint="eastAsia" w:ascii="仿宋_GB2312" w:hAnsi="仿宋_GB2312" w:eastAsia="仿宋_GB2312" w:cs="仿宋_GB2312"/>
          <w:color w:val="auto"/>
          <w:kern w:val="0"/>
          <w:sz w:val="28"/>
          <w:szCs w:val="28"/>
        </w:rPr>
        <w:t>村级财务资产审计检查项目支出进行绩效自评。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通过项目绩效自评掌握</w:t>
      </w:r>
      <w:r>
        <w:rPr>
          <w:rFonts w:hint="eastAsia" w:ascii="仿宋_GB2312" w:hAnsi="仿宋_GB2312" w:eastAsia="仿宋_GB2312" w:cs="仿宋_GB2312"/>
          <w:color w:val="auto"/>
          <w:kern w:val="0"/>
          <w:sz w:val="28"/>
          <w:szCs w:val="28"/>
          <w:lang w:eastAsia="zh-CN"/>
        </w:rPr>
        <w:t>黄村、西红门、安定、旧宫、瀛海、亦庄六个镇</w:t>
      </w:r>
      <w:r>
        <w:rPr>
          <w:rFonts w:hint="eastAsia" w:ascii="仿宋_GB2312" w:hAnsi="仿宋_GB2312" w:eastAsia="仿宋_GB2312" w:cs="仿宋_GB2312"/>
          <w:color w:val="auto"/>
          <w:kern w:val="0"/>
          <w:sz w:val="28"/>
          <w:szCs w:val="28"/>
        </w:rPr>
        <w:t>村级财务资产审计检查项目支出情况及取得的成效，并找出项目支出中存在的问题，以此完善制度、创新机制、加强管理、强化监督，保证部门项目资金使用管理的规范性、安全性和有效性，提高项目支出资金使用效益，为下一年度</w:t>
      </w:r>
      <w:r>
        <w:rPr>
          <w:rFonts w:hint="eastAsia" w:ascii="仿宋_GB2312" w:hAnsi="仿宋_GB2312" w:eastAsia="仿宋_GB2312" w:cs="仿宋_GB2312"/>
          <w:color w:val="auto"/>
          <w:kern w:val="0"/>
          <w:sz w:val="28"/>
          <w:szCs w:val="28"/>
          <w:lang w:eastAsia="zh-CN"/>
        </w:rPr>
        <w:t>此类</w:t>
      </w:r>
      <w:r>
        <w:rPr>
          <w:rFonts w:hint="eastAsia" w:ascii="仿宋_GB2312" w:hAnsi="仿宋_GB2312" w:eastAsia="仿宋_GB2312" w:cs="仿宋_GB2312"/>
          <w:color w:val="auto"/>
          <w:kern w:val="0"/>
          <w:sz w:val="28"/>
          <w:szCs w:val="28"/>
        </w:rPr>
        <w:t>项目支出预算安排提供决策参考和依据。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eastAsia="zh-CN"/>
        </w:rPr>
        <w:t>（二）</w:t>
      </w:r>
      <w:r>
        <w:rPr>
          <w:rFonts w:hint="eastAsia" w:ascii="仿宋_GB2312" w:hAnsi="仿宋_GB2312" w:eastAsia="仿宋_GB2312" w:cs="仿宋_GB2312"/>
          <w:color w:val="auto"/>
          <w:kern w:val="0"/>
          <w:sz w:val="28"/>
          <w:szCs w:val="28"/>
        </w:rPr>
        <w:t>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根据《大兴区项目支出绩效评价管理办法》文件要求，</w:t>
      </w:r>
      <w:r>
        <w:rPr>
          <w:rFonts w:hint="eastAsia" w:ascii="仿宋_GB2312" w:hAnsi="仿宋_GB2312" w:eastAsia="仿宋_GB2312" w:cs="仿宋_GB2312"/>
          <w:color w:val="auto"/>
          <w:kern w:val="0"/>
          <w:sz w:val="28"/>
          <w:szCs w:val="28"/>
        </w:rPr>
        <w:t>绩效自评遵循的原则为科学规范、公正公开、绩效相关原则，本评价采用比较法，定量与定性相结合方法。评价指标体系</w:t>
      </w:r>
      <w:r>
        <w:rPr>
          <w:rFonts w:hint="eastAsia" w:ascii="仿宋_GB2312" w:hAnsi="仿宋_GB2312" w:eastAsia="仿宋_GB2312" w:cs="仿宋_GB2312"/>
          <w:color w:val="auto"/>
          <w:kern w:val="0"/>
          <w:sz w:val="28"/>
          <w:szCs w:val="28"/>
          <w:lang w:eastAsia="zh-CN"/>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auto"/>
          <w:kern w:val="0"/>
          <w:sz w:val="28"/>
          <w:szCs w:val="28"/>
          <w:lang w:eastAsia="zh-CN"/>
        </w:rPr>
        <w:t>项目支出绩效评价指标体系表</w:t>
      </w:r>
    </w:p>
    <w:tbl>
      <w:tblPr>
        <w:tblStyle w:val="16"/>
        <w:tblpPr w:leftFromText="180" w:rightFromText="180" w:vertAnchor="text" w:horzAnchor="page" w:tblpX="2768" w:tblpY="634"/>
        <w:tblOverlap w:val="never"/>
        <w:tblW w:w="8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9"/>
        <w:gridCol w:w="2040"/>
        <w:gridCol w:w="870"/>
        <w:gridCol w:w="277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rPr>
                <w:rFonts w:hint="eastAsia" w:ascii="仿宋_GB2312" w:hAnsi="仿宋_GB2312" w:eastAsia="仿宋_GB2312" w:cs="仿宋_GB2312"/>
                <w:b/>
                <w:bCs/>
                <w:color w:val="auto"/>
                <w:kern w:val="0"/>
                <w:sz w:val="28"/>
                <w:szCs w:val="28"/>
                <w:vertAlign w:val="baseline"/>
                <w:lang w:eastAsia="zh-CN"/>
              </w:rPr>
            </w:pPr>
            <w:r>
              <w:rPr>
                <w:rFonts w:hint="eastAsia" w:ascii="仿宋_GB2312" w:hAnsi="仿宋_GB2312" w:eastAsia="仿宋_GB2312" w:cs="仿宋_GB2312"/>
                <w:b/>
                <w:bCs/>
                <w:color w:val="auto"/>
                <w:kern w:val="0"/>
                <w:sz w:val="28"/>
                <w:szCs w:val="28"/>
                <w:vertAlign w:val="baseline"/>
                <w:lang w:eastAsia="zh-CN"/>
              </w:rPr>
              <w:t>一级指标</w:t>
            </w:r>
          </w:p>
        </w:tc>
        <w:tc>
          <w:tcPr>
            <w:tcW w:w="204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rPr>
                <w:rFonts w:hint="eastAsia" w:ascii="仿宋_GB2312" w:hAnsi="仿宋_GB2312" w:eastAsia="仿宋_GB2312" w:cs="仿宋_GB2312"/>
                <w:b/>
                <w:bCs/>
                <w:color w:val="auto"/>
                <w:kern w:val="0"/>
                <w:sz w:val="28"/>
                <w:szCs w:val="28"/>
                <w:vertAlign w:val="baseline"/>
                <w:lang w:eastAsia="zh-CN"/>
              </w:rPr>
            </w:pPr>
            <w:r>
              <w:rPr>
                <w:rFonts w:hint="eastAsia" w:ascii="仿宋_GB2312" w:hAnsi="仿宋_GB2312" w:eastAsia="仿宋_GB2312" w:cs="仿宋_GB2312"/>
                <w:b/>
                <w:bCs/>
                <w:color w:val="auto"/>
                <w:kern w:val="0"/>
                <w:sz w:val="28"/>
                <w:szCs w:val="28"/>
                <w:vertAlign w:val="baseline"/>
                <w:lang w:eastAsia="zh-CN"/>
              </w:rPr>
              <w:t>二级指标</w:t>
            </w:r>
          </w:p>
        </w:tc>
        <w:tc>
          <w:tcPr>
            <w:tcW w:w="87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rPr>
                <w:rFonts w:hint="eastAsia" w:ascii="仿宋_GB2312" w:hAnsi="仿宋_GB2312" w:eastAsia="仿宋_GB2312" w:cs="仿宋_GB2312"/>
                <w:b/>
                <w:bCs/>
                <w:color w:val="auto"/>
                <w:kern w:val="0"/>
                <w:sz w:val="28"/>
                <w:szCs w:val="28"/>
                <w:vertAlign w:val="baseline"/>
                <w:lang w:eastAsia="zh-CN"/>
              </w:rPr>
            </w:pPr>
            <w:r>
              <w:rPr>
                <w:rFonts w:hint="eastAsia" w:ascii="仿宋_GB2312" w:hAnsi="仿宋_GB2312" w:eastAsia="仿宋_GB2312" w:cs="仿宋_GB2312"/>
                <w:b/>
                <w:bCs/>
                <w:color w:val="auto"/>
                <w:kern w:val="0"/>
                <w:sz w:val="28"/>
                <w:szCs w:val="28"/>
                <w:vertAlign w:val="baseline"/>
                <w:lang w:eastAsia="zh-CN"/>
              </w:rPr>
              <w:t>分值</w:t>
            </w:r>
          </w:p>
        </w:tc>
        <w:tc>
          <w:tcPr>
            <w:tcW w:w="2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rPr>
                <w:rFonts w:hint="eastAsia" w:ascii="仿宋_GB2312" w:hAnsi="仿宋_GB2312" w:eastAsia="仿宋_GB2312" w:cs="仿宋_GB2312"/>
                <w:b/>
                <w:bCs/>
                <w:color w:val="auto"/>
                <w:kern w:val="0"/>
                <w:sz w:val="28"/>
                <w:szCs w:val="28"/>
                <w:vertAlign w:val="baseline"/>
                <w:lang w:eastAsia="zh-CN"/>
              </w:rPr>
            </w:pPr>
            <w:r>
              <w:rPr>
                <w:rFonts w:hint="eastAsia" w:ascii="仿宋_GB2312" w:hAnsi="仿宋_GB2312" w:eastAsia="仿宋_GB2312" w:cs="仿宋_GB2312"/>
                <w:b/>
                <w:bCs/>
                <w:color w:val="auto"/>
                <w:kern w:val="0"/>
                <w:sz w:val="28"/>
                <w:szCs w:val="28"/>
                <w:vertAlign w:val="baseline"/>
                <w:lang w:eastAsia="zh-CN"/>
              </w:rPr>
              <w:t>三级指标</w:t>
            </w:r>
          </w:p>
        </w:tc>
        <w:tc>
          <w:tcPr>
            <w:tcW w:w="82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rPr>
                <w:rFonts w:hint="eastAsia" w:ascii="仿宋_GB2312" w:hAnsi="仿宋_GB2312" w:eastAsia="仿宋_GB2312" w:cs="仿宋_GB2312"/>
                <w:b/>
                <w:bCs/>
                <w:color w:val="auto"/>
                <w:kern w:val="0"/>
                <w:sz w:val="28"/>
                <w:szCs w:val="28"/>
                <w:vertAlign w:val="baseline"/>
                <w:lang w:eastAsia="zh-CN"/>
              </w:rPr>
            </w:pPr>
            <w:r>
              <w:rPr>
                <w:rFonts w:hint="eastAsia" w:ascii="仿宋_GB2312" w:hAnsi="仿宋_GB2312" w:eastAsia="仿宋_GB2312" w:cs="仿宋_GB2312"/>
                <w:b/>
                <w:bCs/>
                <w:color w:val="auto"/>
                <w:kern w:val="0"/>
                <w:sz w:val="28"/>
                <w:szCs w:val="28"/>
                <w:vertAlign w:val="baseline"/>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项目立项6</w:t>
            </w: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项目立项</w:t>
            </w:r>
          </w:p>
        </w:tc>
        <w:tc>
          <w:tcPr>
            <w:tcW w:w="8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2</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eastAsia="zh-CN"/>
              </w:rPr>
              <w:t>立项依据充分性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立项程序规范性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绩效目标</w:t>
            </w:r>
          </w:p>
        </w:tc>
        <w:tc>
          <w:tcPr>
            <w:tcW w:w="8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2</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绩效目标合理性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绩效目标明确性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资金投入</w:t>
            </w:r>
          </w:p>
        </w:tc>
        <w:tc>
          <w:tcPr>
            <w:tcW w:w="8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2</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预算编制科学性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资金分配合理性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eastAsia="zh-CN"/>
              </w:rPr>
              <w:t>过程</w:t>
            </w:r>
            <w:r>
              <w:rPr>
                <w:rFonts w:hint="eastAsia" w:ascii="仿宋_GB2312" w:hAnsi="仿宋_GB2312" w:eastAsia="仿宋_GB2312" w:cs="仿宋_GB2312"/>
                <w:color w:val="auto"/>
                <w:kern w:val="0"/>
                <w:sz w:val="28"/>
                <w:szCs w:val="28"/>
                <w:vertAlign w:val="baseline"/>
                <w:lang w:val="en-US" w:eastAsia="zh-CN"/>
              </w:rPr>
              <w:t>4</w:t>
            </w: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资金管理</w:t>
            </w:r>
          </w:p>
        </w:tc>
        <w:tc>
          <w:tcPr>
            <w:tcW w:w="8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2</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预算执行率</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资金使用合规性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组织实施</w:t>
            </w:r>
          </w:p>
        </w:tc>
        <w:tc>
          <w:tcPr>
            <w:tcW w:w="8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2</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管理制度健全性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制度执行有效性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eastAsia="zh-CN"/>
              </w:rPr>
              <w:t>产出指标</w:t>
            </w:r>
            <w:r>
              <w:rPr>
                <w:rFonts w:hint="eastAsia" w:ascii="仿宋_GB2312" w:hAnsi="仿宋_GB2312" w:eastAsia="仿宋_GB2312" w:cs="仿宋_GB2312"/>
                <w:color w:val="auto"/>
                <w:kern w:val="0"/>
                <w:sz w:val="28"/>
                <w:szCs w:val="28"/>
                <w:vertAlign w:val="baseline"/>
                <w:lang w:val="en-US" w:eastAsia="zh-CN"/>
              </w:rPr>
              <w:t>50</w:t>
            </w: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数量指标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实际完成率</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质量指标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质量达标率</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质量达标率</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时效指标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完成及时性</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成本指标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成本节约率</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65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eastAsia="zh-CN"/>
              </w:rPr>
              <w:t>效益指标</w:t>
            </w:r>
            <w:r>
              <w:rPr>
                <w:rFonts w:hint="eastAsia" w:ascii="仿宋_GB2312" w:hAnsi="仿宋_GB2312" w:eastAsia="仿宋_GB2312" w:cs="仿宋_GB2312"/>
                <w:color w:val="auto"/>
                <w:kern w:val="0"/>
                <w:sz w:val="28"/>
                <w:szCs w:val="28"/>
                <w:vertAlign w:val="baseline"/>
                <w:lang w:val="en-US" w:eastAsia="zh-CN"/>
              </w:rPr>
              <w:t>30</w:t>
            </w: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社会效益指标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15</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社会效益</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6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可持续影响指标</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15</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可持续影响效益</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6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eastAsia="zh-CN"/>
              </w:rPr>
              <w:t>满意度</w:t>
            </w:r>
            <w:r>
              <w:rPr>
                <w:rFonts w:hint="eastAsia" w:ascii="仿宋_GB2312" w:hAnsi="仿宋_GB2312" w:eastAsia="仿宋_GB2312" w:cs="仿宋_GB2312"/>
                <w:color w:val="auto"/>
                <w:kern w:val="0"/>
                <w:sz w:val="28"/>
                <w:szCs w:val="28"/>
                <w:vertAlign w:val="baseline"/>
                <w:lang w:val="en-US" w:eastAsia="zh-CN"/>
              </w:rPr>
              <w:t>10</w:t>
            </w: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服务对象满意度</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涉及单位满意度</w:t>
            </w: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r>
              <w:rPr>
                <w:rFonts w:hint="eastAsia" w:ascii="仿宋_GB2312" w:hAnsi="仿宋_GB2312" w:eastAsia="仿宋_GB2312" w:cs="仿宋_GB2312"/>
                <w:color w:val="auto"/>
                <w:kern w:val="0"/>
                <w:sz w:val="28"/>
                <w:szCs w:val="28"/>
                <w:vertAlign w:val="baseline"/>
                <w:lang w:eastAsia="zh-CN"/>
              </w:rPr>
              <w:t>合计</w:t>
            </w:r>
          </w:p>
        </w:tc>
        <w:tc>
          <w:tcPr>
            <w:tcW w:w="20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100分</w:t>
            </w:r>
          </w:p>
        </w:tc>
        <w:tc>
          <w:tcPr>
            <w:tcW w:w="8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100</w:t>
            </w:r>
          </w:p>
        </w:tc>
        <w:tc>
          <w:tcPr>
            <w:tcW w:w="2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eastAsia="zh-CN"/>
              </w:rPr>
            </w:pPr>
          </w:p>
        </w:tc>
        <w:tc>
          <w:tcPr>
            <w:tcW w:w="82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center"/>
              <w:textAlignment w:val="auto"/>
              <w:rPr>
                <w:rFonts w:hint="eastAsia" w:ascii="仿宋_GB2312" w:hAnsi="仿宋_GB2312" w:eastAsia="仿宋_GB2312" w:cs="仿宋_GB2312"/>
                <w:color w:val="auto"/>
                <w:kern w:val="0"/>
                <w:sz w:val="28"/>
                <w:szCs w:val="28"/>
                <w:vertAlign w:val="baseline"/>
                <w:lang w:val="en-US" w:eastAsia="zh-CN"/>
              </w:rPr>
            </w:pPr>
            <w:r>
              <w:rPr>
                <w:rFonts w:hint="eastAsia" w:ascii="仿宋_GB2312" w:hAnsi="仿宋_GB2312" w:eastAsia="仿宋_GB2312" w:cs="仿宋_GB2312"/>
                <w:color w:val="auto"/>
                <w:kern w:val="0"/>
                <w:sz w:val="28"/>
                <w:szCs w:val="28"/>
                <w:vertAlign w:val="baseline"/>
                <w:lang w:val="en-US" w:eastAsia="zh-CN"/>
              </w:rPr>
              <w:t>100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280" w:firstLineChars="1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280" w:firstLineChars="100"/>
        <w:jc w:val="both"/>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eastAsia="zh-CN"/>
        </w:rPr>
        <w:t>（三）</w:t>
      </w:r>
      <w:r>
        <w:rPr>
          <w:rFonts w:hint="eastAsia" w:ascii="仿宋_GB2312" w:hAnsi="仿宋_GB2312" w:eastAsia="仿宋_GB2312" w:cs="仿宋_GB2312"/>
          <w:color w:val="auto"/>
          <w:kern w:val="0"/>
          <w:sz w:val="28"/>
          <w:szCs w:val="28"/>
        </w:rPr>
        <w:t>绩效评价工作过程</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auto"/>
          <w:kern w:val="0"/>
          <w:sz w:val="28"/>
          <w:szCs w:val="28"/>
        </w:rPr>
        <w:t>按照《关于开展</w:t>
      </w:r>
      <w:r>
        <w:rPr>
          <w:rFonts w:hint="eastAsia" w:ascii="仿宋_GB2312" w:hAnsi="仿宋_GB2312" w:eastAsia="仿宋_GB2312" w:cs="仿宋_GB2312"/>
          <w:color w:val="auto"/>
          <w:kern w:val="0"/>
          <w:sz w:val="28"/>
          <w:szCs w:val="28"/>
          <w:lang w:eastAsia="zh-CN"/>
        </w:rPr>
        <w:t>大兴区</w:t>
      </w:r>
      <w:r>
        <w:rPr>
          <w:rFonts w:hint="eastAsia" w:ascii="仿宋_GB2312" w:hAnsi="仿宋_GB2312" w:eastAsia="仿宋_GB2312" w:cs="仿宋_GB2312"/>
          <w:color w:val="auto"/>
          <w:kern w:val="0"/>
          <w:sz w:val="28"/>
          <w:szCs w:val="28"/>
        </w:rPr>
        <w:t>202</w:t>
      </w:r>
      <w:r>
        <w:rPr>
          <w:rFonts w:hint="eastAsia" w:ascii="仿宋_GB2312" w:hAnsi="仿宋_GB2312" w:eastAsia="仿宋_GB2312" w:cs="仿宋_GB2312"/>
          <w:color w:val="auto"/>
          <w:kern w:val="0"/>
          <w:sz w:val="28"/>
          <w:szCs w:val="28"/>
          <w:lang w:val="en-US" w:eastAsia="zh-CN"/>
        </w:rPr>
        <w:t>3</w:t>
      </w:r>
      <w:r>
        <w:rPr>
          <w:rFonts w:hint="eastAsia" w:ascii="仿宋_GB2312" w:hAnsi="仿宋_GB2312" w:eastAsia="仿宋_GB2312" w:cs="仿宋_GB2312"/>
          <w:color w:val="auto"/>
          <w:kern w:val="0"/>
          <w:sz w:val="28"/>
          <w:szCs w:val="28"/>
        </w:rPr>
        <w:t>年度财政支出</w:t>
      </w:r>
      <w:r>
        <w:rPr>
          <w:rFonts w:hint="eastAsia" w:ascii="仿宋_GB2312" w:hAnsi="仿宋_GB2312" w:eastAsia="仿宋_GB2312" w:cs="仿宋_GB2312"/>
          <w:color w:val="auto"/>
          <w:kern w:val="0"/>
          <w:sz w:val="28"/>
          <w:szCs w:val="28"/>
          <w:lang w:eastAsia="zh-CN"/>
        </w:rPr>
        <w:t>绩效</w:t>
      </w:r>
      <w:r>
        <w:rPr>
          <w:rFonts w:hint="eastAsia" w:ascii="仿宋_GB2312" w:hAnsi="仿宋_GB2312" w:eastAsia="仿宋_GB2312" w:cs="仿宋_GB2312"/>
          <w:color w:val="auto"/>
          <w:kern w:val="0"/>
          <w:sz w:val="28"/>
          <w:szCs w:val="28"/>
        </w:rPr>
        <w:t>评价工作的通知》及《</w:t>
      </w:r>
      <w:r>
        <w:rPr>
          <w:rFonts w:hint="eastAsia" w:ascii="仿宋_GB2312" w:hAnsi="仿宋_GB2312" w:eastAsia="仿宋_GB2312" w:cs="仿宋_GB2312"/>
          <w:color w:val="auto"/>
          <w:kern w:val="0"/>
          <w:sz w:val="28"/>
          <w:szCs w:val="28"/>
          <w:lang w:eastAsia="zh-CN"/>
        </w:rPr>
        <w:t>大兴区</w:t>
      </w:r>
      <w:r>
        <w:rPr>
          <w:rFonts w:hint="eastAsia" w:ascii="仿宋_GB2312" w:hAnsi="仿宋_GB2312" w:eastAsia="仿宋_GB2312" w:cs="仿宋_GB2312"/>
          <w:color w:val="auto"/>
          <w:kern w:val="0"/>
          <w:sz w:val="28"/>
          <w:szCs w:val="28"/>
        </w:rPr>
        <w:t>项目支出绩效评价管理办法》文件要求</w:t>
      </w:r>
      <w:r>
        <w:rPr>
          <w:rFonts w:hint="eastAsia" w:ascii="仿宋_GB2312" w:hAnsi="仿宋_GB2312" w:eastAsia="仿宋_GB2312" w:cs="仿宋_GB2312"/>
          <w:color w:val="auto"/>
          <w:kern w:val="0"/>
          <w:sz w:val="28"/>
          <w:szCs w:val="28"/>
          <w:lang w:eastAsia="zh-CN"/>
        </w:rPr>
        <w:t>，区经管站针对项目了解</w:t>
      </w:r>
      <w:r>
        <w:rPr>
          <w:rFonts w:hint="eastAsia" w:ascii="仿宋_GB2312" w:hAnsi="仿宋_GB2312" w:eastAsia="仿宋_GB2312" w:cs="仿宋_GB2312"/>
          <w:color w:val="auto"/>
          <w:kern w:val="0"/>
          <w:sz w:val="28"/>
          <w:szCs w:val="28"/>
        </w:rPr>
        <w:t>情况、收集资料</w:t>
      </w:r>
      <w:r>
        <w:rPr>
          <w:rFonts w:hint="eastAsia" w:ascii="仿宋_GB2312" w:hAnsi="仿宋_GB2312" w:eastAsia="仿宋_GB2312" w:cs="仿宋_GB2312"/>
          <w:color w:val="auto"/>
          <w:kern w:val="0"/>
          <w:sz w:val="28"/>
          <w:szCs w:val="28"/>
          <w:lang w:eastAsia="zh-CN"/>
        </w:rPr>
        <w:t>合理设置</w:t>
      </w:r>
      <w:r>
        <w:rPr>
          <w:rFonts w:hint="eastAsia" w:ascii="仿宋_GB2312" w:hAnsi="仿宋_GB2312" w:eastAsia="仿宋_GB2312" w:cs="仿宋_GB2312"/>
          <w:color w:val="auto"/>
          <w:kern w:val="0"/>
          <w:sz w:val="28"/>
          <w:szCs w:val="28"/>
        </w:rPr>
        <w:t>绩效评价指标，以及相关基础信息表。</w:t>
      </w:r>
      <w:r>
        <w:rPr>
          <w:rFonts w:hint="eastAsia" w:ascii="仿宋_GB2312" w:hAnsi="仿宋_GB2312" w:eastAsia="仿宋_GB2312" w:cs="仿宋_GB2312"/>
          <w:color w:val="auto"/>
          <w:kern w:val="0"/>
          <w:sz w:val="28"/>
          <w:szCs w:val="28"/>
          <w:lang w:eastAsia="zh-CN"/>
        </w:rPr>
        <w:t>对</w:t>
      </w:r>
      <w:r>
        <w:rPr>
          <w:rFonts w:hint="eastAsia" w:ascii="仿宋_GB2312" w:hAnsi="仿宋_GB2312" w:eastAsia="仿宋_GB2312" w:cs="仿宋_GB2312"/>
          <w:color w:val="auto"/>
          <w:kern w:val="0"/>
          <w:sz w:val="28"/>
          <w:szCs w:val="28"/>
        </w:rPr>
        <w:t>绩效评价工作进行检查，针对绩效评价的相关要求，认真收集、核实评价基础数据，进行绩效自评</w:t>
      </w:r>
      <w:r>
        <w:rPr>
          <w:rFonts w:hint="eastAsia" w:ascii="仿宋_GB2312" w:hAnsi="仿宋_GB2312" w:eastAsia="仿宋_GB2312" w:cs="仿宋_GB2312"/>
          <w:color w:val="auto"/>
          <w:kern w:val="0"/>
          <w:sz w:val="28"/>
          <w:szCs w:val="28"/>
          <w:lang w:eastAsia="zh-CN"/>
        </w:rPr>
        <w:t>，并</w:t>
      </w:r>
      <w:r>
        <w:rPr>
          <w:rFonts w:hint="eastAsia" w:ascii="仿宋_GB2312" w:hAnsi="仿宋_GB2312" w:eastAsia="仿宋_GB2312" w:cs="仿宋_GB2312"/>
          <w:color w:val="auto"/>
          <w:kern w:val="0"/>
          <w:sz w:val="28"/>
          <w:szCs w:val="28"/>
        </w:rPr>
        <w:t>撰写绩效自评报告。</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rPr>
      </w:pPr>
      <w:r>
        <w:rPr>
          <w:rFonts w:hint="eastAsia" w:ascii="黑体" w:hAnsi="黑体" w:eastAsia="黑体" w:cs="黑体"/>
          <w:b w:val="0"/>
          <w:bCs/>
          <w:color w:val="000000"/>
          <w:kern w:val="0"/>
          <w:sz w:val="28"/>
          <w:szCs w:val="28"/>
          <w:highlight w:val="none"/>
        </w:rPr>
        <w:t>三、综合评价情况及评价结论（附相关评分表）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eastAsia="zh-CN"/>
        </w:rPr>
      </w:pPr>
      <w:r>
        <w:rPr>
          <w:rFonts w:hint="eastAsia" w:ascii="仿宋_GB2312" w:hAnsi="仿宋_GB2312" w:eastAsia="仿宋_GB2312" w:cs="仿宋_GB2312"/>
          <w:b w:val="0"/>
          <w:bCs/>
          <w:color w:val="000000"/>
          <w:kern w:val="0"/>
          <w:sz w:val="28"/>
          <w:szCs w:val="28"/>
          <w:highlight w:val="none"/>
          <w:lang w:eastAsia="zh-CN"/>
        </w:rPr>
        <w:t>根据黄村、西红门、安定、旧宫、瀛海、亦庄六个镇村级财务资产审计检查项目支出绩效情况，项目支出绩效自评指标进行了评分，自评分为：</w:t>
      </w:r>
      <w:r>
        <w:rPr>
          <w:rFonts w:hint="eastAsia" w:ascii="仿宋_GB2312" w:hAnsi="仿宋_GB2312" w:eastAsia="仿宋_GB2312" w:cs="仿宋_GB2312"/>
          <w:color w:val="000000"/>
          <w:kern w:val="0"/>
          <w:sz w:val="28"/>
          <w:szCs w:val="28"/>
          <w:highlight w:val="none"/>
          <w:lang w:eastAsia="zh-CN"/>
        </w:rPr>
        <w:t>黄村、西红门、安定、旧宫、瀛海、亦庄六个镇</w:t>
      </w:r>
      <w:r>
        <w:rPr>
          <w:rFonts w:hint="eastAsia" w:ascii="仿宋_GB2312" w:hAnsi="仿宋_GB2312" w:eastAsia="仿宋_GB2312" w:cs="仿宋_GB2312"/>
          <w:b w:val="0"/>
          <w:bCs/>
          <w:color w:val="000000"/>
          <w:kern w:val="0"/>
          <w:sz w:val="28"/>
          <w:szCs w:val="28"/>
          <w:highlight w:val="none"/>
          <w:lang w:eastAsia="zh-CN"/>
        </w:rPr>
        <w:t>村级财务资产审计检查项目为</w:t>
      </w:r>
      <w:r>
        <w:rPr>
          <w:rFonts w:hint="eastAsia" w:ascii="仿宋_GB2312" w:hAnsi="仿宋_GB2312" w:eastAsia="仿宋_GB2312" w:cs="仿宋_GB2312"/>
          <w:b w:val="0"/>
          <w:bCs/>
          <w:color w:val="000000"/>
          <w:kern w:val="0"/>
          <w:sz w:val="28"/>
          <w:szCs w:val="28"/>
          <w:highlight w:val="none"/>
          <w:lang w:val="en-US" w:eastAsia="zh-CN"/>
        </w:rPr>
        <w:t>100</w:t>
      </w:r>
      <w:r>
        <w:rPr>
          <w:rFonts w:hint="eastAsia" w:ascii="仿宋_GB2312" w:hAnsi="仿宋_GB2312" w:eastAsia="仿宋_GB2312" w:cs="仿宋_GB2312"/>
          <w:b w:val="0"/>
          <w:bCs/>
          <w:color w:val="000000"/>
          <w:kern w:val="0"/>
          <w:sz w:val="28"/>
          <w:szCs w:val="28"/>
          <w:highlight w:val="none"/>
          <w:lang w:eastAsia="zh-CN"/>
        </w:rPr>
        <w:t>分,评定等级为“优”（指标体系自评分详见附件）。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val="en-US" w:eastAsia="zh-CN"/>
        </w:rPr>
        <w:t>2023年2月17日，</w:t>
      </w:r>
      <w:r>
        <w:rPr>
          <w:rFonts w:hint="eastAsia" w:ascii="仿宋_GB2312" w:hAnsi="仿宋_GB2312" w:eastAsia="仿宋_GB2312" w:cs="仿宋_GB2312"/>
          <w:color w:val="000000"/>
          <w:kern w:val="0"/>
          <w:sz w:val="28"/>
          <w:szCs w:val="28"/>
          <w:highlight w:val="none"/>
          <w:lang w:eastAsia="zh-CN"/>
        </w:rPr>
        <w:t>大兴区经管站党组会及办公会集体通过</w:t>
      </w:r>
      <w:r>
        <w:rPr>
          <w:rFonts w:hint="eastAsia" w:ascii="仿宋_GB2312" w:hAnsi="仿宋_GB2312" w:eastAsia="仿宋_GB2312" w:cs="仿宋_GB2312"/>
          <w:color w:val="000000"/>
          <w:kern w:val="0"/>
          <w:sz w:val="28"/>
          <w:szCs w:val="28"/>
          <w:highlight w:val="none"/>
        </w:rPr>
        <w:t>大兴区</w:t>
      </w:r>
      <w:r>
        <w:rPr>
          <w:rFonts w:hint="eastAsia" w:ascii="仿宋_GB2312" w:hAnsi="仿宋_GB2312" w:eastAsia="仿宋_GB2312" w:cs="仿宋_GB2312"/>
          <w:color w:val="000000"/>
          <w:kern w:val="0"/>
          <w:sz w:val="28"/>
          <w:szCs w:val="28"/>
          <w:highlight w:val="none"/>
          <w:lang w:val="en-US" w:eastAsia="zh-CN"/>
        </w:rPr>
        <w:t>2023年</w:t>
      </w:r>
      <w:r>
        <w:rPr>
          <w:rFonts w:hint="eastAsia" w:ascii="仿宋_GB2312" w:hAnsi="仿宋_GB2312" w:eastAsia="仿宋_GB2312" w:cs="仿宋_GB2312"/>
          <w:color w:val="000000"/>
          <w:kern w:val="0"/>
          <w:sz w:val="28"/>
          <w:szCs w:val="28"/>
          <w:highlight w:val="none"/>
        </w:rPr>
        <w:t>村级财务资产审计检查</w:t>
      </w:r>
      <w:r>
        <w:rPr>
          <w:rFonts w:hint="eastAsia" w:ascii="仿宋_GB2312" w:hAnsi="仿宋_GB2312" w:eastAsia="仿宋_GB2312" w:cs="仿宋_GB2312"/>
          <w:color w:val="000000"/>
          <w:kern w:val="0"/>
          <w:sz w:val="28"/>
          <w:szCs w:val="28"/>
          <w:highlight w:val="none"/>
          <w:lang w:eastAsia="zh-CN"/>
        </w:rPr>
        <w:t>工作方案。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w:t>
      </w:r>
      <w:r>
        <w:rPr>
          <w:rFonts w:hint="eastAsia" w:ascii="仿宋_GB2312" w:hAnsi="仿宋_GB2312" w:eastAsia="仿宋_GB2312" w:cs="仿宋_GB2312"/>
          <w:color w:val="000000"/>
          <w:kern w:val="0"/>
          <w:sz w:val="28"/>
          <w:szCs w:val="28"/>
          <w:highlight w:val="none"/>
          <w:lang w:val="en-US" w:eastAsia="zh-CN"/>
        </w:rPr>
        <w:t>2</w:t>
      </w:r>
      <w:r>
        <w:rPr>
          <w:rFonts w:hint="eastAsia" w:ascii="仿宋_GB2312" w:hAnsi="仿宋_GB2312" w:eastAsia="仿宋_GB2312" w:cs="仿宋_GB2312"/>
          <w:color w:val="000000"/>
          <w:kern w:val="0"/>
          <w:sz w:val="28"/>
          <w:szCs w:val="28"/>
          <w:highlight w:val="none"/>
        </w:rPr>
        <w:t>月</w:t>
      </w:r>
      <w:r>
        <w:rPr>
          <w:rFonts w:hint="eastAsia" w:ascii="仿宋_GB2312" w:hAnsi="仿宋_GB2312" w:eastAsia="仿宋_GB2312" w:cs="仿宋_GB2312"/>
          <w:color w:val="000000"/>
          <w:kern w:val="0"/>
          <w:sz w:val="28"/>
          <w:szCs w:val="28"/>
          <w:highlight w:val="none"/>
          <w:lang w:val="en-US" w:eastAsia="zh-CN"/>
        </w:rPr>
        <w:t>17</w:t>
      </w:r>
      <w:r>
        <w:rPr>
          <w:rFonts w:hint="eastAsia" w:ascii="仿宋_GB2312" w:hAnsi="仿宋_GB2312" w:eastAsia="仿宋_GB2312" w:cs="仿宋_GB2312"/>
          <w:color w:val="000000"/>
          <w:kern w:val="0"/>
          <w:sz w:val="28"/>
          <w:szCs w:val="28"/>
          <w:highlight w:val="none"/>
        </w:rPr>
        <w:t>日，</w:t>
      </w:r>
      <w:r>
        <w:rPr>
          <w:rFonts w:hint="eastAsia" w:ascii="仿宋_GB2312" w:hAnsi="仿宋_GB2312" w:eastAsia="仿宋_GB2312" w:cs="仿宋_GB2312"/>
          <w:color w:val="000000"/>
          <w:kern w:val="0"/>
          <w:sz w:val="28"/>
          <w:szCs w:val="28"/>
          <w:highlight w:val="none"/>
          <w:lang w:val="en-US" w:eastAsia="zh-CN"/>
        </w:rPr>
        <w:t>2023年</w:t>
      </w:r>
      <w:r>
        <w:rPr>
          <w:rFonts w:hint="eastAsia" w:ascii="仿宋_GB2312" w:hAnsi="仿宋_GB2312" w:eastAsia="仿宋_GB2312" w:cs="仿宋_GB2312"/>
          <w:color w:val="000000"/>
          <w:kern w:val="0"/>
          <w:sz w:val="28"/>
          <w:szCs w:val="28"/>
          <w:highlight w:val="none"/>
        </w:rPr>
        <w:t>村级财务资产审计检查项目由北京市大兴区农村合作经济经营管理站通过预算管理一体化系统立项并委托给北京捷迅通力工程咨询有限公司。</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年村级财务资产审计检查专项经费项目立项程序</w:t>
      </w:r>
      <w:r>
        <w:rPr>
          <w:rFonts w:hint="eastAsia" w:ascii="仿宋_GB2312" w:hAnsi="仿宋_GB2312" w:eastAsia="仿宋_GB2312" w:cs="仿宋_GB2312"/>
          <w:color w:val="000000"/>
          <w:kern w:val="0"/>
          <w:sz w:val="28"/>
          <w:szCs w:val="28"/>
          <w:highlight w:val="none"/>
          <w:lang w:eastAsia="zh-CN"/>
        </w:rPr>
        <w:t>规范</w:t>
      </w:r>
      <w:r>
        <w:rPr>
          <w:rFonts w:hint="eastAsia" w:ascii="仿宋_GB2312" w:hAnsi="仿宋_GB2312" w:eastAsia="仿宋_GB2312" w:cs="仿宋_GB2312"/>
          <w:color w:val="000000"/>
          <w:kern w:val="0"/>
          <w:sz w:val="28"/>
          <w:szCs w:val="28"/>
          <w:highlight w:val="none"/>
        </w:rPr>
        <w:t>、过程规范，绩效目标设置合理。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（二）</w:t>
      </w:r>
      <w:r>
        <w:rPr>
          <w:rFonts w:hint="eastAsia" w:ascii="仿宋_GB2312" w:hAnsi="仿宋_GB2312" w:eastAsia="仿宋_GB2312" w:cs="仿宋_GB2312"/>
          <w:color w:val="000000"/>
          <w:kern w:val="0"/>
          <w:sz w:val="28"/>
          <w:szCs w:val="28"/>
          <w:highlight w:val="none"/>
        </w:rPr>
        <w:t>项目过程情况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w:t>
      </w:r>
      <w:r>
        <w:rPr>
          <w:rFonts w:hint="eastAsia" w:ascii="仿宋_GB2312" w:hAnsi="仿宋_GB2312" w:eastAsia="仿宋_GB2312" w:cs="仿宋_GB2312"/>
          <w:color w:val="000000"/>
          <w:kern w:val="0"/>
          <w:sz w:val="28"/>
          <w:szCs w:val="28"/>
          <w:highlight w:val="none"/>
          <w:lang w:val="en"/>
        </w:rPr>
        <w:t>3</w:t>
      </w:r>
      <w:r>
        <w:rPr>
          <w:rFonts w:hint="eastAsia" w:ascii="仿宋_GB2312" w:hAnsi="仿宋_GB2312" w:eastAsia="仿宋_GB2312" w:cs="仿宋_GB2312"/>
          <w:color w:val="000000"/>
          <w:kern w:val="0"/>
          <w:sz w:val="28"/>
          <w:szCs w:val="28"/>
          <w:highlight w:val="none"/>
        </w:rPr>
        <w:t>月</w:t>
      </w:r>
      <w:r>
        <w:rPr>
          <w:rFonts w:hint="eastAsia" w:ascii="仿宋_GB2312" w:hAnsi="仿宋_GB2312" w:eastAsia="仿宋_GB2312" w:cs="仿宋_GB2312"/>
          <w:color w:val="000000"/>
          <w:kern w:val="0"/>
          <w:sz w:val="28"/>
          <w:szCs w:val="28"/>
          <w:highlight w:val="none"/>
          <w:lang w:val="en"/>
        </w:rPr>
        <w:t>24</w:t>
      </w:r>
      <w:r>
        <w:rPr>
          <w:rFonts w:hint="eastAsia" w:ascii="仿宋_GB2312" w:hAnsi="仿宋_GB2312" w:eastAsia="仿宋_GB2312" w:cs="仿宋_GB2312"/>
          <w:color w:val="000000"/>
          <w:kern w:val="0"/>
          <w:sz w:val="28"/>
          <w:szCs w:val="28"/>
          <w:highlight w:val="none"/>
        </w:rPr>
        <w:t>日</w:t>
      </w:r>
      <w:r>
        <w:rPr>
          <w:rFonts w:hint="eastAsia" w:ascii="仿宋_GB2312" w:hAnsi="仿宋_GB2312" w:eastAsia="仿宋_GB2312" w:cs="仿宋_GB2312"/>
          <w:color w:val="000000"/>
          <w:kern w:val="0"/>
          <w:sz w:val="28"/>
          <w:szCs w:val="28"/>
          <w:highlight w:val="none"/>
          <w:lang w:eastAsia="zh-CN"/>
        </w:rPr>
        <w:t>，区经管站分别与中审华会计师事务所(特殊普通合伙)、北京中仁思泰会计师事务所有限公司、北京兴拓达会计师事务所（普通合伙）和北京中诚和汇会计师事务所（普通合伙）签署</w:t>
      </w:r>
      <w:r>
        <w:rPr>
          <w:rFonts w:hint="eastAsia" w:ascii="仿宋_GB2312" w:hAnsi="仿宋_GB2312" w:eastAsia="仿宋_GB2312" w:cs="仿宋_GB2312"/>
          <w:color w:val="000000"/>
          <w:kern w:val="0"/>
          <w:sz w:val="28"/>
          <w:szCs w:val="28"/>
          <w:highlight w:val="none"/>
        </w:rPr>
        <w:t>村级财务资产审计检查</w:t>
      </w:r>
      <w:r>
        <w:rPr>
          <w:rFonts w:hint="eastAsia" w:ascii="仿宋_GB2312" w:hAnsi="仿宋_GB2312" w:eastAsia="仿宋_GB2312" w:cs="仿宋_GB2312"/>
          <w:color w:val="000000"/>
          <w:kern w:val="0"/>
          <w:sz w:val="28"/>
          <w:szCs w:val="28"/>
          <w:highlight w:val="none"/>
          <w:lang w:eastAsia="zh-CN"/>
        </w:rPr>
        <w:t>项目委托协议书</w:t>
      </w:r>
      <w:r>
        <w:rPr>
          <w:rFonts w:hint="eastAsia" w:ascii="仿宋_GB2312" w:hAnsi="仿宋_GB2312" w:eastAsia="仿宋_GB2312" w:cs="仿宋_GB2312"/>
          <w:color w:val="000000"/>
          <w:kern w:val="0"/>
          <w:sz w:val="28"/>
          <w:szCs w:val="28"/>
          <w:highlight w:val="none"/>
        </w:rPr>
        <w:t>。按照政府采购信息公开要求，项目</w:t>
      </w:r>
      <w:r>
        <w:rPr>
          <w:rFonts w:hint="eastAsia" w:ascii="仿宋_GB2312" w:hAnsi="仿宋_GB2312" w:eastAsia="仿宋_GB2312" w:cs="仿宋_GB2312"/>
          <w:color w:val="000000"/>
          <w:kern w:val="0"/>
          <w:sz w:val="28"/>
          <w:szCs w:val="28"/>
          <w:highlight w:val="none"/>
          <w:lang w:eastAsia="zh-CN"/>
        </w:rPr>
        <w:t>委托书</w:t>
      </w:r>
      <w:r>
        <w:rPr>
          <w:rFonts w:hint="eastAsia" w:ascii="仿宋_GB2312" w:hAnsi="仿宋_GB2312" w:eastAsia="仿宋_GB2312" w:cs="仿宋_GB2312"/>
          <w:color w:val="000000"/>
          <w:kern w:val="0"/>
          <w:sz w:val="28"/>
          <w:szCs w:val="28"/>
          <w:highlight w:val="none"/>
        </w:rPr>
        <w:t>于202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月</w:t>
      </w:r>
      <w:r>
        <w:rPr>
          <w:rFonts w:hint="eastAsia" w:ascii="仿宋_GB2312" w:hAnsi="仿宋_GB2312" w:eastAsia="仿宋_GB2312" w:cs="仿宋_GB2312"/>
          <w:color w:val="000000"/>
          <w:kern w:val="0"/>
          <w:sz w:val="28"/>
          <w:szCs w:val="28"/>
          <w:highlight w:val="none"/>
          <w:lang w:val="en"/>
        </w:rPr>
        <w:t>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日在中国政府采购网、北京市政府采购网上公告</w:t>
      </w:r>
      <w:r>
        <w:rPr>
          <w:rFonts w:hint="eastAsia" w:ascii="仿宋_GB2312" w:hAnsi="仿宋_GB2312" w:eastAsia="仿宋_GB2312" w:cs="仿宋_GB2312"/>
          <w:color w:val="000000"/>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月</w:t>
      </w:r>
      <w:r>
        <w:rPr>
          <w:rFonts w:hint="eastAsia" w:ascii="仿宋_GB2312" w:hAnsi="仿宋_GB2312" w:eastAsia="仿宋_GB2312" w:cs="仿宋_GB2312"/>
          <w:color w:val="000000"/>
          <w:kern w:val="0"/>
          <w:sz w:val="28"/>
          <w:szCs w:val="28"/>
          <w:highlight w:val="none"/>
          <w:lang w:eastAsia="zh-CN"/>
        </w:rPr>
        <w:t>初</w:t>
      </w:r>
      <w:r>
        <w:rPr>
          <w:rFonts w:hint="eastAsia" w:ascii="仿宋_GB2312" w:hAnsi="仿宋_GB2312" w:eastAsia="仿宋_GB2312" w:cs="仿宋_GB2312"/>
          <w:color w:val="000000"/>
          <w:kern w:val="0"/>
          <w:sz w:val="28"/>
          <w:szCs w:val="28"/>
          <w:highlight w:val="none"/>
        </w:rPr>
        <w:t>财务资产审计检查</w:t>
      </w:r>
      <w:r>
        <w:rPr>
          <w:rFonts w:hint="eastAsia" w:ascii="仿宋_GB2312" w:hAnsi="仿宋_GB2312" w:eastAsia="仿宋_GB2312" w:cs="仿宋_GB2312"/>
          <w:color w:val="000000"/>
          <w:kern w:val="0"/>
          <w:sz w:val="28"/>
          <w:szCs w:val="28"/>
          <w:highlight w:val="none"/>
          <w:lang w:eastAsia="zh-CN"/>
        </w:rPr>
        <w:t>陆续</w:t>
      </w:r>
      <w:r>
        <w:rPr>
          <w:rFonts w:hint="eastAsia" w:ascii="仿宋_GB2312" w:hAnsi="仿宋_GB2312" w:eastAsia="仿宋_GB2312" w:cs="仿宋_GB2312"/>
          <w:color w:val="000000"/>
          <w:kern w:val="0"/>
          <w:sz w:val="28"/>
          <w:szCs w:val="28"/>
          <w:highlight w:val="none"/>
        </w:rPr>
        <w:t>进场工作</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3</w:t>
      </w:r>
      <w:r>
        <w:rPr>
          <w:rFonts w:hint="eastAsia" w:ascii="仿宋_GB2312" w:hAnsi="仿宋_GB2312" w:eastAsia="仿宋_GB2312" w:cs="仿宋_GB2312"/>
          <w:color w:val="000000"/>
          <w:kern w:val="0"/>
          <w:sz w:val="28"/>
          <w:szCs w:val="28"/>
          <w:highlight w:val="none"/>
        </w:rPr>
        <w:t>年1</w:t>
      </w:r>
      <w:r>
        <w:rPr>
          <w:rFonts w:hint="eastAsia" w:ascii="仿宋_GB2312" w:hAnsi="仿宋_GB2312" w:eastAsia="仿宋_GB2312" w:cs="仿宋_GB2312"/>
          <w:color w:val="000000"/>
          <w:kern w:val="0"/>
          <w:sz w:val="28"/>
          <w:szCs w:val="28"/>
          <w:highlight w:val="none"/>
          <w:lang w:val="en-US" w:eastAsia="zh-CN"/>
        </w:rPr>
        <w:t>2</w:t>
      </w:r>
      <w:r>
        <w:rPr>
          <w:rFonts w:hint="eastAsia" w:ascii="仿宋_GB2312" w:hAnsi="仿宋_GB2312" w:eastAsia="仿宋_GB2312" w:cs="仿宋_GB2312"/>
          <w:color w:val="000000"/>
          <w:kern w:val="0"/>
          <w:sz w:val="28"/>
          <w:szCs w:val="28"/>
          <w:highlight w:val="none"/>
        </w:rPr>
        <w:t>月出具审计报告</w:t>
      </w:r>
      <w:r>
        <w:rPr>
          <w:rFonts w:hint="eastAsia" w:ascii="仿宋_GB2312" w:hAnsi="仿宋_GB2312" w:eastAsia="仿宋_GB2312" w:cs="仿宋_GB2312"/>
          <w:color w:val="000000"/>
          <w:kern w:val="0"/>
          <w:sz w:val="28"/>
          <w:szCs w:val="28"/>
          <w:highlight w:val="none"/>
          <w:lang w:eastAsia="zh-CN"/>
        </w:rPr>
        <w:t>初稿</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区经管站对过程资料及时存档，项目过程控制良好。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依据</w:t>
      </w:r>
      <w:r>
        <w:rPr>
          <w:rFonts w:hint="eastAsia" w:ascii="仿宋_GB2312" w:hAnsi="仿宋_GB2312" w:eastAsia="仿宋_GB2312" w:cs="仿宋_GB2312"/>
          <w:color w:val="000000"/>
          <w:kern w:val="0"/>
          <w:sz w:val="28"/>
          <w:szCs w:val="28"/>
          <w:highlight w:val="none"/>
          <w:lang w:val="en-US" w:eastAsia="zh-CN"/>
        </w:rPr>
        <w:t>2019年修订了</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北京市大兴区经管站预算管理办法》，</w:t>
      </w:r>
      <w:r>
        <w:rPr>
          <w:rFonts w:hint="eastAsia" w:ascii="仿宋_GB2312" w:hAnsi="仿宋_GB2312" w:eastAsia="仿宋_GB2312" w:cs="仿宋_GB2312"/>
          <w:color w:val="000000"/>
          <w:kern w:val="0"/>
          <w:sz w:val="28"/>
          <w:szCs w:val="28"/>
          <w:highlight w:val="none"/>
        </w:rPr>
        <w:t>加强项目资金管理，规范支付业务，强化资金安全，</w:t>
      </w:r>
      <w:r>
        <w:rPr>
          <w:rFonts w:hint="eastAsia" w:ascii="仿宋_GB2312" w:hAnsi="仿宋_GB2312" w:eastAsia="仿宋_GB2312" w:cs="仿宋_GB2312"/>
          <w:color w:val="000000"/>
          <w:kern w:val="0"/>
          <w:sz w:val="28"/>
          <w:szCs w:val="28"/>
          <w:highlight w:val="none"/>
          <w:lang w:eastAsia="zh-CN"/>
        </w:rPr>
        <w:t>并</w:t>
      </w:r>
      <w:r>
        <w:rPr>
          <w:rFonts w:hint="eastAsia" w:ascii="仿宋_GB2312" w:hAnsi="仿宋_GB2312" w:eastAsia="仿宋_GB2312" w:cs="仿宋_GB2312"/>
          <w:color w:val="000000"/>
          <w:kern w:val="0"/>
          <w:sz w:val="28"/>
          <w:szCs w:val="28"/>
          <w:highlight w:val="none"/>
        </w:rPr>
        <w:t>在项目实施过程中</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rPr>
        <w:t>严格遵守相关法律法规和业务管理规定，资金使用符合国家财经法规和财务管理制度，以及有关专项资金管理办法的规定。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（三）</w:t>
      </w:r>
      <w:r>
        <w:rPr>
          <w:rFonts w:hint="eastAsia" w:ascii="仿宋_GB2312" w:hAnsi="仿宋_GB2312" w:eastAsia="仿宋_GB2312" w:cs="仿宋_GB2312"/>
          <w:color w:val="000000"/>
          <w:kern w:val="0"/>
          <w:sz w:val="28"/>
          <w:szCs w:val="28"/>
          <w:highlight w:val="none"/>
        </w:rPr>
        <w:t>项目产出情况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大兴区</w:t>
      </w:r>
      <w:r>
        <w:rPr>
          <w:rFonts w:hint="eastAsia" w:ascii="仿宋_GB2312" w:hAnsi="仿宋_GB2312" w:eastAsia="仿宋_GB2312" w:cs="仿宋_GB2312"/>
          <w:color w:val="000000"/>
          <w:kern w:val="0"/>
          <w:sz w:val="28"/>
          <w:szCs w:val="28"/>
          <w:highlight w:val="none"/>
          <w:lang w:val="en-US" w:eastAsia="zh-CN"/>
        </w:rPr>
        <w:t>2023年</w:t>
      </w:r>
      <w:r>
        <w:rPr>
          <w:rFonts w:hint="eastAsia" w:ascii="仿宋_GB2312" w:hAnsi="仿宋_GB2312" w:eastAsia="仿宋_GB2312" w:cs="仿宋_GB2312"/>
          <w:color w:val="000000"/>
          <w:kern w:val="0"/>
          <w:sz w:val="28"/>
          <w:szCs w:val="28"/>
          <w:highlight w:val="none"/>
        </w:rPr>
        <w:t>村级财务资产审计检查</w:t>
      </w:r>
      <w:r>
        <w:rPr>
          <w:rFonts w:hint="eastAsia" w:ascii="仿宋_GB2312" w:hAnsi="仿宋_GB2312" w:eastAsia="仿宋_GB2312" w:cs="仿宋_GB2312"/>
          <w:color w:val="000000"/>
          <w:kern w:val="0"/>
          <w:sz w:val="28"/>
          <w:szCs w:val="28"/>
          <w:highlight w:val="none"/>
          <w:lang w:eastAsia="zh-CN"/>
        </w:rPr>
        <w:t>项目，完成黄村、西红门、安定、旧宫、瀛海、亦庄六个镇</w:t>
      </w:r>
      <w:r>
        <w:rPr>
          <w:rFonts w:hint="eastAsia" w:ascii="仿宋_GB2312" w:hAnsi="仿宋_GB2312" w:eastAsia="仿宋_GB2312" w:cs="仿宋_GB2312"/>
          <w:color w:val="000000"/>
          <w:kern w:val="0"/>
          <w:sz w:val="28"/>
          <w:szCs w:val="28"/>
          <w:highlight w:val="none"/>
          <w:lang w:val="en-US" w:eastAsia="zh-CN"/>
        </w:rPr>
        <w:t>188</w:t>
      </w:r>
      <w:r>
        <w:rPr>
          <w:rFonts w:hint="eastAsia" w:ascii="仿宋_GB2312" w:hAnsi="仿宋_GB2312" w:eastAsia="仿宋_GB2312" w:cs="仿宋_GB2312"/>
          <w:color w:val="000000"/>
          <w:kern w:val="0"/>
          <w:sz w:val="28"/>
          <w:szCs w:val="28"/>
          <w:highlight w:val="none"/>
          <w:lang w:eastAsia="zh-CN"/>
        </w:rPr>
        <w:t>个村</w:t>
      </w:r>
      <w:r>
        <w:rPr>
          <w:rFonts w:hint="eastAsia" w:ascii="仿宋_GB2312" w:hAnsi="仿宋_GB2312" w:eastAsia="仿宋_GB2312" w:cs="仿宋_GB2312"/>
          <w:color w:val="000000"/>
          <w:kern w:val="0"/>
          <w:sz w:val="28"/>
          <w:szCs w:val="28"/>
          <w:highlight w:val="none"/>
          <w:lang w:val="en-US" w:eastAsia="zh-CN"/>
        </w:rPr>
        <w:t>村级经济组织及其所属企业财务资产审计，分别出具村级资产清查和财务审计专项审计报告，发现问题指出短板，提出整改建议，限期整改。有效的</w:t>
      </w:r>
      <w:r>
        <w:rPr>
          <w:rFonts w:hint="eastAsia" w:ascii="仿宋_GB2312" w:hAnsi="仿宋_GB2312" w:eastAsia="仿宋_GB2312" w:cs="仿宋_GB2312"/>
          <w:color w:val="000000"/>
          <w:kern w:val="0"/>
          <w:sz w:val="28"/>
          <w:szCs w:val="28"/>
          <w:highlight w:val="none"/>
        </w:rPr>
        <w:t>对村级财务资产</w:t>
      </w:r>
      <w:r>
        <w:rPr>
          <w:rFonts w:hint="eastAsia" w:ascii="仿宋_GB2312" w:hAnsi="仿宋_GB2312" w:eastAsia="仿宋_GB2312" w:cs="仿宋_GB2312"/>
          <w:color w:val="000000"/>
          <w:kern w:val="0"/>
          <w:sz w:val="28"/>
          <w:szCs w:val="28"/>
          <w:highlight w:val="none"/>
          <w:lang w:eastAsia="zh-CN"/>
        </w:rPr>
        <w:t>实施</w:t>
      </w:r>
      <w:r>
        <w:rPr>
          <w:rFonts w:hint="eastAsia" w:ascii="仿宋_GB2312" w:hAnsi="仿宋_GB2312" w:eastAsia="仿宋_GB2312" w:cs="仿宋_GB2312"/>
          <w:color w:val="000000"/>
          <w:kern w:val="0"/>
          <w:sz w:val="28"/>
          <w:szCs w:val="28"/>
          <w:highlight w:val="none"/>
        </w:rPr>
        <w:t>监督，维护</w:t>
      </w:r>
      <w:r>
        <w:rPr>
          <w:rFonts w:hint="eastAsia" w:ascii="仿宋_GB2312" w:hAnsi="仿宋_GB2312" w:eastAsia="仿宋_GB2312" w:cs="仿宋_GB2312"/>
          <w:color w:val="000000"/>
          <w:kern w:val="0"/>
          <w:sz w:val="28"/>
          <w:szCs w:val="28"/>
          <w:highlight w:val="none"/>
          <w:lang w:eastAsia="zh-CN"/>
        </w:rPr>
        <w:t>了</w:t>
      </w:r>
      <w:r>
        <w:rPr>
          <w:rFonts w:hint="eastAsia" w:ascii="仿宋_GB2312" w:hAnsi="仿宋_GB2312" w:eastAsia="仿宋_GB2312" w:cs="仿宋_GB2312"/>
          <w:color w:val="000000"/>
          <w:kern w:val="0"/>
          <w:sz w:val="28"/>
          <w:szCs w:val="28"/>
          <w:highlight w:val="none"/>
        </w:rPr>
        <w:t>集体经济利益和社会稳定。</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（四）</w:t>
      </w:r>
      <w:r>
        <w:rPr>
          <w:rFonts w:hint="eastAsia" w:ascii="仿宋_GB2312" w:hAnsi="仿宋_GB2312" w:eastAsia="仿宋_GB2312" w:cs="仿宋_GB2312"/>
          <w:color w:val="000000"/>
          <w:kern w:val="0"/>
          <w:sz w:val="28"/>
          <w:szCs w:val="28"/>
          <w:highlight w:val="none"/>
        </w:rPr>
        <w:t>项目效益情况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黄村、西红门、安定、旧宫、瀛海、亦庄六个镇</w:t>
      </w:r>
      <w:r>
        <w:rPr>
          <w:rFonts w:hint="eastAsia" w:ascii="仿宋_GB2312" w:hAnsi="仿宋_GB2312" w:eastAsia="仿宋_GB2312" w:cs="仿宋_GB2312"/>
          <w:color w:val="000000"/>
          <w:kern w:val="0"/>
          <w:sz w:val="28"/>
          <w:szCs w:val="28"/>
          <w:highlight w:val="none"/>
          <w:lang w:val="en-US" w:eastAsia="zh-CN"/>
        </w:rPr>
        <w:t>188</w:t>
      </w:r>
      <w:r>
        <w:rPr>
          <w:rFonts w:hint="eastAsia" w:ascii="仿宋_GB2312" w:hAnsi="仿宋_GB2312" w:eastAsia="仿宋_GB2312" w:cs="仿宋_GB2312"/>
          <w:color w:val="000000"/>
          <w:kern w:val="0"/>
          <w:sz w:val="28"/>
          <w:szCs w:val="28"/>
          <w:highlight w:val="none"/>
          <w:lang w:eastAsia="zh-CN"/>
        </w:rPr>
        <w:t>个村</w:t>
      </w:r>
      <w:r>
        <w:rPr>
          <w:rFonts w:hint="eastAsia" w:ascii="仿宋_GB2312" w:hAnsi="仿宋_GB2312" w:eastAsia="仿宋_GB2312" w:cs="仿宋_GB2312"/>
          <w:color w:val="000000"/>
          <w:kern w:val="0"/>
          <w:sz w:val="28"/>
          <w:szCs w:val="28"/>
          <w:highlight w:val="none"/>
          <w:lang w:val="en-US" w:eastAsia="zh-CN"/>
        </w:rPr>
        <w:t>实现了“账、款、章”三托管，村级三资管理基本上能够按照市、区相关政策执行。在市区两级政策的基础上，结合本镇具体情况，制定了一系列的镇级管理办法，有效提高了本镇农村三资管理水平。</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rPr>
      </w:pPr>
      <w:r>
        <w:rPr>
          <w:rFonts w:hint="eastAsia" w:ascii="仿宋_GB2312" w:hAnsi="仿宋_GB2312" w:eastAsia="仿宋_GB2312" w:cs="仿宋_GB2312"/>
          <w:b w:val="0"/>
          <w:bCs/>
          <w:color w:val="auto"/>
          <w:kern w:val="0"/>
          <w:sz w:val="28"/>
          <w:szCs w:val="28"/>
        </w:rPr>
        <w:t>由于预算绩效管理的专业性、复杂性等特性，现有工作人员业务水平还不能满足绩效管理工作要求，导致预算绩效管理</w:t>
      </w:r>
      <w:r>
        <w:rPr>
          <w:rFonts w:hint="eastAsia" w:ascii="仿宋_GB2312" w:hAnsi="仿宋_GB2312" w:eastAsia="仿宋_GB2312" w:cs="仿宋_GB2312"/>
          <w:b w:val="0"/>
          <w:bCs/>
          <w:color w:val="auto"/>
          <w:kern w:val="0"/>
          <w:sz w:val="28"/>
          <w:szCs w:val="28"/>
          <w:lang w:eastAsia="zh-CN"/>
        </w:rPr>
        <w:t>评价</w:t>
      </w:r>
      <w:r>
        <w:rPr>
          <w:rFonts w:hint="eastAsia" w:ascii="仿宋_GB2312" w:hAnsi="仿宋_GB2312" w:eastAsia="仿宋_GB2312" w:cs="仿宋_GB2312"/>
          <w:b w:val="0"/>
          <w:bCs/>
          <w:color w:val="auto"/>
          <w:kern w:val="0"/>
          <w:sz w:val="28"/>
          <w:szCs w:val="28"/>
        </w:rPr>
        <w:t>工作相对滞后，预算绩效自评</w:t>
      </w:r>
      <w:r>
        <w:rPr>
          <w:rFonts w:hint="eastAsia" w:ascii="仿宋_GB2312" w:hAnsi="仿宋_GB2312" w:eastAsia="仿宋_GB2312" w:cs="仿宋_GB2312"/>
          <w:b w:val="0"/>
          <w:bCs/>
          <w:color w:val="auto"/>
          <w:kern w:val="0"/>
          <w:sz w:val="28"/>
          <w:szCs w:val="28"/>
          <w:lang w:eastAsia="zh-CN"/>
        </w:rPr>
        <w:t>细化量程度不足，</w:t>
      </w:r>
      <w:r>
        <w:rPr>
          <w:rFonts w:hint="eastAsia" w:ascii="仿宋_GB2312" w:hAnsi="仿宋_GB2312" w:eastAsia="仿宋_GB2312" w:cs="仿宋_GB2312"/>
          <w:b w:val="0"/>
          <w:bCs/>
          <w:color w:val="auto"/>
          <w:kern w:val="0"/>
          <w:sz w:val="28"/>
          <w:szCs w:val="28"/>
        </w:rPr>
        <w:t>预算绩效管理基础工作有待进一步加强。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六、有关建议</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rPr>
      </w:pPr>
      <w:r>
        <w:rPr>
          <w:rFonts w:hint="eastAsia" w:ascii="仿宋_GB2312" w:hAnsi="仿宋_GB2312" w:eastAsia="仿宋_GB2312" w:cs="仿宋_GB2312"/>
          <w:b w:val="0"/>
          <w:bCs/>
          <w:color w:val="auto"/>
          <w:kern w:val="0"/>
          <w:sz w:val="28"/>
          <w:szCs w:val="28"/>
          <w:lang w:eastAsia="zh-CN"/>
        </w:rPr>
        <w:t>建议</w:t>
      </w:r>
      <w:r>
        <w:rPr>
          <w:rFonts w:hint="eastAsia" w:ascii="仿宋_GB2312" w:hAnsi="仿宋_GB2312" w:eastAsia="仿宋_GB2312" w:cs="仿宋_GB2312"/>
          <w:b w:val="0"/>
          <w:bCs/>
          <w:color w:val="auto"/>
          <w:kern w:val="0"/>
          <w:sz w:val="28"/>
          <w:szCs w:val="28"/>
        </w:rPr>
        <w:t>加强对单位预算绩效管理人员的培训，提升绩效评价人员的业务水平</w:t>
      </w:r>
      <w:r>
        <w:rPr>
          <w:rFonts w:hint="eastAsia" w:ascii="仿宋_GB2312" w:hAnsi="仿宋_GB2312" w:eastAsia="仿宋_GB2312" w:cs="仿宋_GB2312"/>
          <w:b w:val="0"/>
          <w:bCs/>
          <w:color w:val="auto"/>
          <w:kern w:val="0"/>
          <w:sz w:val="28"/>
          <w:szCs w:val="28"/>
          <w:lang w:eastAsia="zh-CN"/>
        </w:rPr>
        <w:t>。</w:t>
      </w:r>
    </w:p>
    <w:p>
      <w:pPr>
        <w:keepNext w:val="0"/>
        <w:keepLines w:val="0"/>
        <w:pageBreakBefore w:val="0"/>
        <w:widowControl w:val="0"/>
        <w:numPr>
          <w:ilvl w:val="0"/>
          <w:numId w:val="10"/>
        </w:numPr>
        <w:kinsoku/>
        <w:wordWrap/>
        <w:overflowPunct/>
        <w:topLinePunct w:val="0"/>
        <w:autoSpaceDE/>
        <w:autoSpaceDN/>
        <w:bidi w:val="0"/>
        <w:adjustRightInd/>
        <w:snapToGrid/>
        <w:spacing w:line="520" w:lineRule="exact"/>
        <w:ind w:left="-10" w:leftChars="0" w:right="0" w:rightChars="0" w:firstLine="640" w:firstLineChars="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right="0" w:rightChars="0" w:firstLine="280" w:firstLineChars="1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color w:val="auto"/>
          <w:kern w:val="0"/>
          <w:sz w:val="28"/>
          <w:szCs w:val="28"/>
          <w:lang w:eastAsia="zh-CN"/>
        </w:rPr>
        <w:t>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topLinePunct w:val="0"/>
        <w:autoSpaceDE/>
        <w:autoSpaceDN/>
        <w:bidi w:val="0"/>
        <w:adjustRightInd/>
        <w:snapToGrid/>
        <w:spacing w:line="560" w:lineRule="exact"/>
        <w:ind w:firstLine="3960" w:firstLineChars="900"/>
        <w:jc w:val="both"/>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农村土地确权登记颁证档案整理</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sz w:val="44"/>
          <w:szCs w:val="44"/>
        </w:rPr>
        <w:t>项目</w:t>
      </w:r>
      <w:r>
        <w:rPr>
          <w:rFonts w:hint="eastAsia" w:ascii="方正小标宋简体" w:hAnsi="方正小标宋简体" w:eastAsia="方正小标宋简体" w:cs="方正小标宋简体"/>
          <w:b w:val="0"/>
          <w:bCs w:val="0"/>
          <w:sz w:val="44"/>
          <w:szCs w:val="44"/>
          <w:highlight w:val="none"/>
        </w:rPr>
        <w:t>支出绩效评价报告</w:t>
      </w:r>
    </w:p>
    <w:p>
      <w:pPr>
        <w:keepNext w:val="0"/>
        <w:keepLines w:val="0"/>
        <w:pageBreakBefore w:val="0"/>
        <w:widowControl w:val="0"/>
        <w:kinsoku/>
        <w:wordWrap/>
        <w:topLinePunct w:val="0"/>
        <w:autoSpaceDE/>
        <w:autoSpaceDN/>
        <w:bidi w:val="0"/>
        <w:adjustRightInd/>
        <w:snapToGrid/>
        <w:spacing w:line="560" w:lineRule="exact"/>
        <w:jc w:val="center"/>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根据《关于开展大兴区2023年度财政支出绩效评价工作的通知》要求，区经管站对农村土地确权登记颁证档案整理项目支出进行绩效评价。具体情况报告如下：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color w:val="000000"/>
          <w:kern w:val="0"/>
          <w:sz w:val="28"/>
          <w:szCs w:val="28"/>
          <w:highlight w:val="none"/>
        </w:rPr>
        <w:t>（一）项目概况</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2"/>
          <w:sz w:val="28"/>
          <w:szCs w:val="28"/>
          <w:lang w:val="en-US" w:eastAsia="zh-CN" w:bidi="ar-SA"/>
        </w:rPr>
        <w:t>　　</w:t>
      </w:r>
      <w:r>
        <w:rPr>
          <w:rFonts w:hint="eastAsia" w:ascii="仿宋_GB2312" w:hAnsi="仿宋_GB2312" w:eastAsia="仿宋_GB2312" w:cs="仿宋_GB2312"/>
          <w:b/>
          <w:bCs/>
          <w:kern w:val="2"/>
          <w:sz w:val="28"/>
          <w:szCs w:val="28"/>
          <w:lang w:val="en-US" w:eastAsia="zh-CN" w:bidi="ar-SA"/>
        </w:rPr>
        <w:t>1.项目背景。</w:t>
      </w:r>
      <w:r>
        <w:rPr>
          <w:rFonts w:hint="eastAsia" w:ascii="仿宋_GB2312" w:hAnsi="仿宋_GB2312" w:eastAsia="仿宋_GB2312" w:cs="仿宋_GB2312"/>
          <w:kern w:val="2"/>
          <w:sz w:val="28"/>
          <w:szCs w:val="28"/>
          <w:lang w:val="en-US" w:eastAsia="zh-CN" w:bidi="ar-SA"/>
        </w:rPr>
        <w:t>为了规范我区农村土地承包经营权确权登记颁证工作，科学管理和有效利用农村土地承包经营权确权</w:t>
      </w:r>
      <w:r>
        <w:rPr>
          <w:rFonts w:hint="eastAsia" w:ascii="仿宋_GB2312" w:hAnsi="仿宋_GB2312" w:eastAsia="仿宋_GB2312" w:cs="仿宋_GB2312"/>
          <w:sz w:val="28"/>
          <w:szCs w:val="28"/>
        </w:rPr>
        <w:t>登记颁证档案，根据《中华人民共和国档案法》、《中华人民共和国农村土地承包法》、《中华人民共和国物权法》、《北京市实施〈中华人民共和国档案法〉办法》等有关法律法规以及《农业部国家档案局关于印发&lt;农村土地承包经营权确权登记颁证档案管理办法&gt;的通知》（农经发〔2014〕12号）和《中共北京市委办公厅、北京市人民政府办公厅印发&lt;关于认真做好本市农村土地承包经营权确权登记颁证工作的意见&gt;的通知》（京办字</w:t>
      </w:r>
      <w:r>
        <w:rPr>
          <w:rFonts w:hint="eastAsia" w:ascii="仿宋_GB2312" w:hAnsi="仿宋_GB2312" w:eastAsia="仿宋_GB2312" w:cs="仿宋_GB2312"/>
          <w:w w:val="94"/>
          <w:sz w:val="28"/>
          <w:szCs w:val="28"/>
        </w:rPr>
        <w:t>〔2015〕10</w:t>
      </w:r>
      <w:r>
        <w:rPr>
          <w:rFonts w:hint="eastAsia" w:ascii="仿宋_GB2312" w:hAnsi="仿宋_GB2312" w:eastAsia="仿宋_GB2312" w:cs="仿宋_GB2312"/>
          <w:sz w:val="28"/>
          <w:szCs w:val="28"/>
        </w:rPr>
        <w:t>号）等有关文件精神，</w:t>
      </w:r>
      <w:r>
        <w:rPr>
          <w:rFonts w:hint="eastAsia" w:ascii="仿宋_GB2312" w:hAnsi="仿宋_GB2312" w:eastAsia="仿宋_GB2312" w:cs="仿宋_GB2312"/>
          <w:sz w:val="28"/>
          <w:szCs w:val="28"/>
          <w:lang w:eastAsia="zh-CN"/>
        </w:rPr>
        <w:t>开展</w:t>
      </w:r>
      <w:r>
        <w:rPr>
          <w:rFonts w:hint="eastAsia" w:ascii="仿宋_GB2312" w:hAnsi="仿宋_GB2312" w:eastAsia="仿宋_GB2312" w:cs="仿宋_GB2312"/>
          <w:b w:val="0"/>
          <w:bCs w:val="0"/>
          <w:sz w:val="28"/>
          <w:szCs w:val="28"/>
        </w:rPr>
        <w:t>农村土地确权登记颁证档案整理项目</w:t>
      </w:r>
      <w:r>
        <w:rPr>
          <w:rFonts w:hint="eastAsia" w:ascii="仿宋_GB2312" w:hAnsi="仿宋_GB2312" w:eastAsia="仿宋_GB2312" w:cs="仿宋_GB2312"/>
          <w:sz w:val="28"/>
          <w:szCs w:val="28"/>
        </w:rPr>
        <w:t>。</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u w:val="none"/>
          <w:lang w:eastAsia="zh-CN"/>
        </w:rPr>
      </w:pPr>
      <w:r>
        <w:rPr>
          <w:rFonts w:hint="eastAsia" w:ascii="仿宋_GB2312" w:hAnsi="仿宋_GB2312" w:eastAsia="仿宋_GB2312" w:cs="仿宋_GB2312"/>
          <w:b/>
          <w:bCs/>
          <w:color w:val="000000"/>
          <w:kern w:val="0"/>
          <w:sz w:val="28"/>
          <w:szCs w:val="28"/>
          <w:lang w:val="en-US" w:eastAsia="zh-CN"/>
        </w:rPr>
        <w:t>2.</w:t>
      </w:r>
      <w:r>
        <w:rPr>
          <w:rFonts w:hint="eastAsia" w:ascii="仿宋_GB2312" w:hAnsi="仿宋_GB2312" w:eastAsia="仿宋_GB2312" w:cs="仿宋_GB2312"/>
          <w:b/>
          <w:bCs/>
          <w:color w:val="000000"/>
          <w:kern w:val="0"/>
          <w:sz w:val="28"/>
          <w:szCs w:val="28"/>
        </w:rPr>
        <w:t>主要内容及</w:t>
      </w:r>
      <w:r>
        <w:rPr>
          <w:rFonts w:hint="eastAsia" w:ascii="仿宋_GB2312" w:hAnsi="仿宋_GB2312" w:eastAsia="仿宋_GB2312" w:cs="仿宋_GB2312"/>
          <w:b/>
          <w:bCs/>
          <w:color w:val="000000"/>
          <w:kern w:val="0"/>
          <w:sz w:val="28"/>
          <w:szCs w:val="28"/>
          <w:lang w:eastAsia="zh-CN"/>
        </w:rPr>
        <w:t>计划</w:t>
      </w:r>
      <w:r>
        <w:rPr>
          <w:rFonts w:hint="eastAsia" w:ascii="仿宋_GB2312" w:hAnsi="仿宋_GB2312" w:eastAsia="仿宋_GB2312" w:cs="仿宋_GB2312"/>
          <w:b/>
          <w:bCs/>
          <w:color w:val="000000"/>
          <w:kern w:val="0"/>
          <w:sz w:val="28"/>
          <w:szCs w:val="28"/>
        </w:rPr>
        <w:t>实施情况</w:t>
      </w:r>
      <w:r>
        <w:rPr>
          <w:rFonts w:hint="eastAsia" w:ascii="仿宋_GB2312" w:hAnsi="仿宋_GB2312" w:eastAsia="仿宋_GB2312" w:cs="仿宋_GB2312"/>
          <w:b/>
          <w:bCs/>
          <w:color w:val="000000"/>
          <w:kern w:val="0"/>
          <w:sz w:val="28"/>
          <w:szCs w:val="28"/>
          <w:lang w:eastAsia="zh-CN"/>
        </w:rPr>
        <w:t>：</w:t>
      </w:r>
      <w:r>
        <w:rPr>
          <w:rFonts w:hint="eastAsia" w:ascii="仿宋_GB2312" w:hAnsi="仿宋_GB2312" w:eastAsia="仿宋_GB2312" w:cs="仿宋_GB2312"/>
          <w:sz w:val="28"/>
          <w:szCs w:val="28"/>
        </w:rPr>
        <w:t>农村土地承包经营权确权登记颁证档案是指在农村土地承包经营权确权登记颁证工作中形成的，对国家、社会和个人有保存价值的文字、图表、声像、数据等各种形式和载体的文件材料的总称，是确权登记颁证的重要凭证和历史记录。</w:t>
      </w:r>
      <w:r>
        <w:rPr>
          <w:rFonts w:hint="eastAsia" w:ascii="仿宋_GB2312" w:hAnsi="仿宋_GB2312" w:eastAsia="仿宋_GB2312" w:cs="仿宋_GB2312"/>
          <w:sz w:val="28"/>
          <w:szCs w:val="28"/>
          <w:lang w:eastAsia="zh-CN"/>
        </w:rPr>
        <w:t>我区自</w:t>
      </w:r>
      <w:r>
        <w:rPr>
          <w:rFonts w:hint="eastAsia" w:ascii="仿宋_GB2312" w:hAnsi="仿宋_GB2312" w:eastAsia="仿宋_GB2312" w:cs="仿宋_GB2312"/>
          <w:sz w:val="28"/>
          <w:szCs w:val="28"/>
          <w:lang w:val="en-US" w:eastAsia="zh-CN"/>
        </w:rPr>
        <w:t>2021年下半年开始</w:t>
      </w:r>
      <w:r>
        <w:rPr>
          <w:rFonts w:hint="eastAsia" w:ascii="仿宋_GB2312" w:hAnsi="仿宋_GB2312" w:eastAsia="仿宋_GB2312" w:cs="仿宋_GB2312"/>
          <w:sz w:val="28"/>
          <w:szCs w:val="28"/>
          <w:lang w:eastAsia="zh-CN"/>
        </w:rPr>
        <w:t>启动农村土地确权登记颁证档案整理工作，按照《北京市农村土地承包经营权确权登记颁证档案管理实施办法》的要求，结合实际情况，对在大兴区农村土地承包经营权确权登记颁证工作中形成的区级、镇级及村级档案进行收集整理，整理的内容包括综合管理类和确权登记类档案，并完成相关纸质档案数字化扫描工作，最终将区级纸质档案按照区档案馆要求进行入馆移交，对形成的数字化成果完成数据库挂接工作，镇级、村级纸质档案及电子档案整理完成后归还各镇保存。</w:t>
      </w:r>
    </w:p>
    <w:p>
      <w:pPr>
        <w:keepNext w:val="0"/>
        <w:keepLines w:val="0"/>
        <w:pageBreakBefore w:val="0"/>
        <w:widowControl w:val="0"/>
        <w:kinsoku/>
        <w:wordWrap/>
        <w:topLinePunct w:val="0"/>
        <w:autoSpaceDE/>
        <w:autoSpaceDN/>
        <w:bidi w:val="0"/>
        <w:adjustRightInd/>
        <w:snapToGrid/>
        <w:spacing w:line="560" w:lineRule="exact"/>
        <w:ind w:firstLine="585"/>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color w:val="000000"/>
          <w:kern w:val="0"/>
          <w:sz w:val="28"/>
          <w:szCs w:val="28"/>
        </w:rPr>
        <w:t>资金投入和使用情况</w:t>
      </w:r>
      <w:r>
        <w:rPr>
          <w:rFonts w:hint="eastAsia" w:ascii="仿宋_GB2312" w:hAnsi="仿宋_GB2312" w:eastAsia="仿宋_GB2312" w:cs="仿宋_GB2312"/>
          <w:b/>
          <w:bCs/>
          <w:color w:val="000000"/>
          <w:kern w:val="0"/>
          <w:sz w:val="28"/>
          <w:szCs w:val="28"/>
          <w:lang w:eastAsia="zh-CN"/>
        </w:rPr>
        <w:t>：</w:t>
      </w:r>
      <w:r>
        <w:rPr>
          <w:rFonts w:hint="eastAsia" w:ascii="仿宋_GB2312" w:hAnsi="仿宋_GB2312" w:eastAsia="仿宋_GB2312" w:cs="仿宋_GB2312"/>
          <w:sz w:val="28"/>
          <w:szCs w:val="28"/>
          <w:lang w:eastAsia="zh-CN"/>
        </w:rPr>
        <w:t>项目最初预算</w:t>
      </w:r>
      <w:r>
        <w:rPr>
          <w:rFonts w:hint="eastAsia" w:ascii="仿宋_GB2312" w:hAnsi="仿宋_GB2312" w:eastAsia="仿宋_GB2312" w:cs="仿宋_GB2312"/>
          <w:sz w:val="28"/>
          <w:szCs w:val="28"/>
          <w:lang w:val="en-US" w:eastAsia="zh-CN"/>
        </w:rPr>
        <w:t>348.364512万元，通过公开招标，最终确定苍穹数码技术股份有限公司负责此项目。2021年7月，双方正式签订《技术服务合同》，项目费用总价330万元。根据工作进展，2021年底前已支付198万元，执行率60%。2023年度项目预算为132万元，1月底完成全部档案整理及数字化扫描工作，按照合同约定，支付项目总款25%，即82.5万元，剩余49.5万元需完成区级档案入馆移交及数据库挂接工作后方可支付。因区档案馆容量饱和，新馆预计2024年底建成，2023年只移交了部分档案，因此项目预算未能全部支出</w:t>
      </w:r>
      <w:r>
        <w:rPr>
          <w:rFonts w:hint="eastAsia" w:ascii="仿宋_GB2312" w:hAnsi="仿宋_GB2312" w:eastAsia="仿宋_GB2312" w:cs="仿宋_GB2312"/>
          <w:color w:val="000000"/>
          <w:kern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zh-CN" w:eastAsia="zh-CN"/>
        </w:rPr>
        <w:t>年度绩效总目标：</w:t>
      </w:r>
      <w:r>
        <w:rPr>
          <w:rFonts w:hint="eastAsia" w:ascii="仿宋_GB2312" w:hAnsi="仿宋_GB2312" w:eastAsia="仿宋_GB2312" w:cs="仿宋_GB2312"/>
          <w:sz w:val="28"/>
          <w:szCs w:val="28"/>
          <w:lang w:val="en-US" w:eastAsia="zh-CN"/>
        </w:rPr>
        <w:t>2023年底前完成54728户农村土地确权登记颁证档案整理工作，纸质档案按照区档案馆要求进行入馆移交，</w:t>
      </w:r>
      <w:r>
        <w:rPr>
          <w:rFonts w:hint="eastAsia" w:ascii="仿宋_GB2312" w:hAnsi="仿宋_GB2312" w:eastAsia="仿宋_GB2312" w:cs="仿宋_GB2312"/>
          <w:sz w:val="28"/>
          <w:szCs w:val="28"/>
          <w:lang w:val="zh-CN" w:eastAsia="zh-CN"/>
        </w:rPr>
        <w:t>支付项目尾款</w:t>
      </w:r>
      <w:r>
        <w:rPr>
          <w:rFonts w:hint="eastAsia" w:ascii="仿宋_GB2312" w:hAnsi="仿宋_GB2312" w:eastAsia="仿宋_GB2312" w:cs="仿宋_GB2312"/>
          <w:sz w:val="28"/>
          <w:szCs w:val="28"/>
          <w:lang w:val="en-US" w:eastAsia="zh-CN"/>
        </w:rPr>
        <w:t>132万元。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sz w:val="28"/>
          <w:szCs w:val="28"/>
          <w:lang w:val="en-US" w:eastAsia="zh-CN"/>
        </w:rPr>
        <w:t>具体绩效目标：数量指标，完成档案整理户数</w:t>
      </w:r>
      <w:r>
        <w:rPr>
          <w:rFonts w:hint="eastAsia" w:ascii="仿宋_GB2312" w:hAnsi="仿宋_GB2312" w:eastAsia="仿宋_GB2312" w:cs="仿宋_GB2312"/>
          <w:sz w:val="28"/>
          <w:szCs w:val="28"/>
          <w:lang w:val="zh-CN" w:eastAsia="zh-CN"/>
        </w:rPr>
        <w:t>54728户；质量指标</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zh-CN" w:eastAsia="zh-CN"/>
        </w:rPr>
        <w:t>档案整理质量合格；时效指标</w:t>
      </w:r>
      <w:r>
        <w:rPr>
          <w:rFonts w:hint="eastAsia" w:ascii="仿宋_GB2312" w:hAnsi="仿宋_GB2312" w:eastAsia="仿宋_GB2312" w:cs="仿宋_GB2312"/>
          <w:sz w:val="28"/>
          <w:szCs w:val="28"/>
          <w:lang w:val="en-US" w:eastAsia="zh-CN"/>
        </w:rPr>
        <w:t>，项目尾款支付时间≤12月；社会效益指标，推进信息化建设,提高档案利用率，调取时间节省50%；满意度指标，镇级满意度≥95%，村级满意度≥90%。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通过对2023年度</w:t>
      </w:r>
      <w:r>
        <w:rPr>
          <w:rFonts w:hint="eastAsia" w:ascii="仿宋_GB2312" w:hAnsi="仿宋_GB2312" w:eastAsia="仿宋_GB2312" w:cs="仿宋_GB2312"/>
          <w:b w:val="0"/>
          <w:bCs w:val="0"/>
          <w:sz w:val="28"/>
          <w:szCs w:val="28"/>
        </w:rPr>
        <w:t>农村土地确权登记颁证档案整理</w:t>
      </w:r>
      <w:r>
        <w:rPr>
          <w:rFonts w:hint="eastAsia" w:ascii="仿宋_GB2312" w:hAnsi="仿宋_GB2312" w:eastAsia="仿宋_GB2312" w:cs="仿宋_GB2312"/>
          <w:b w:val="0"/>
          <w:bCs w:val="0"/>
          <w:sz w:val="28"/>
          <w:szCs w:val="28"/>
          <w:lang w:eastAsia="zh-CN"/>
        </w:rPr>
        <w:t>项目进展情况开展绩效评价，了解项目进展、</w:t>
      </w:r>
      <w:r>
        <w:rPr>
          <w:rFonts w:hint="eastAsia" w:ascii="仿宋_GB2312" w:hAnsi="仿宋_GB2312" w:eastAsia="仿宋_GB2312" w:cs="仿宋_GB2312"/>
          <w:sz w:val="28"/>
          <w:szCs w:val="28"/>
          <w:lang w:val="en-US" w:eastAsia="zh-CN"/>
        </w:rPr>
        <w:t>资金支出情况及取得的成效等，及时发现资金成本、产出、效益等方面的问题，以此控制成本、督促进度、加强管理，确保项目资金规范使用，实现年度绩效总体目标。</w:t>
      </w:r>
    </w:p>
    <w:p>
      <w:pPr>
        <w:keepNext w:val="0"/>
        <w:keepLines w:val="0"/>
        <w:pageBreakBefore w:val="0"/>
        <w:widowControl w:val="0"/>
        <w:numPr>
          <w:ilvl w:val="0"/>
          <w:numId w:val="11"/>
        </w:numPr>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绩效评价原则、评价指标体系、评价方法、评价标准等</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绩效评价遵循科学规范、公正公开等相关原则，采用定量与定性相结合方法。具体评价指标体系、评价标准详见项目支出绩效自评表（后附）。</w:t>
      </w:r>
    </w:p>
    <w:p>
      <w:pPr>
        <w:keepNext w:val="0"/>
        <w:keepLines w:val="0"/>
        <w:pageBreakBefore w:val="0"/>
        <w:widowControl w:val="0"/>
        <w:numPr>
          <w:ilvl w:val="0"/>
          <w:numId w:val="11"/>
        </w:numPr>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绩效评价工作过程</w:t>
      </w:r>
    </w:p>
    <w:p>
      <w:pPr>
        <w:keepNext w:val="0"/>
        <w:keepLines w:val="0"/>
        <w:pageBreakBefore w:val="0"/>
        <w:widowControl w:val="0"/>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根据2023年项目实施进展及成果，通过对档案整理成果开展分类验收进行年度项目绩效评价。</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区经管站临时保管档案：</w:t>
      </w:r>
      <w:r>
        <w:rPr>
          <w:rFonts w:hint="eastAsia" w:ascii="仿宋_GB2312" w:hAnsi="仿宋_GB2312" w:eastAsia="仿宋_GB2312" w:cs="仿宋_GB2312"/>
          <w:sz w:val="28"/>
          <w:szCs w:val="28"/>
          <w:lang w:val="en-US" w:eastAsia="zh-CN"/>
        </w:rPr>
        <w:t>因征占地等原因暂不移交区档案局的确权登记类档案，由区经管站临时保管。合同科根据《大兴区农村土地承包经营权确权登记颁证档案整理项目实施方案》组织验收，对照《档案移交清册》对纸质档案进行逐一清点核对。纸质档案按照编号存档，装订成卷，专柜存放。电子档案单独整理编目，与纸质材料建立对应关系。最终移交区经管站临时保管的确权登记类档案共11570卷（户），其他零散材料358卷。</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b/>
          <w:bCs/>
          <w:sz w:val="28"/>
          <w:szCs w:val="28"/>
          <w:lang w:val="en-US" w:eastAsia="zh-CN"/>
        </w:rPr>
        <w:t>区级档案中已移交区档案馆档案：</w:t>
      </w:r>
      <w:r>
        <w:rPr>
          <w:rFonts w:hint="eastAsia" w:ascii="仿宋_GB2312" w:hAnsi="仿宋_GB2312" w:eastAsia="仿宋_GB2312" w:cs="仿宋_GB2312"/>
          <w:sz w:val="28"/>
          <w:szCs w:val="28"/>
          <w:lang w:val="en-US" w:eastAsia="zh-CN"/>
        </w:rPr>
        <w:t>经统计，符合区档案馆入馆要求的档案共计39488卷（户），其中综合管理类16卷（户），确权登记类39472卷（户）。因区档案馆容量饱和，只在2023年2月移交了确权登记类档案9999卷（户），剩余综合管理类16卷（户）和确权登记类29473卷（户）档案需等区档案馆新馆建成后再移交，预计时间为2024年底，届时同步完成</w:t>
      </w:r>
      <w:r>
        <w:rPr>
          <w:rFonts w:hint="eastAsia" w:ascii="仿宋_GB2312" w:hAnsi="仿宋_GB2312" w:eastAsia="仿宋_GB2312" w:cs="仿宋_GB2312"/>
          <w:sz w:val="28"/>
          <w:szCs w:val="28"/>
          <w:lang w:eastAsia="zh-CN"/>
        </w:rPr>
        <w:t>数据库挂接工作</w:t>
      </w:r>
      <w:r>
        <w:rPr>
          <w:rFonts w:hint="eastAsia" w:ascii="仿宋_GB2312" w:hAnsi="仿宋_GB2312" w:eastAsia="仿宋_GB2312" w:cs="仿宋_GB2312"/>
          <w:sz w:val="28"/>
          <w:szCs w:val="28"/>
          <w:lang w:val="en-US" w:eastAsia="zh-CN"/>
        </w:rPr>
        <w:t>。目前剩余档案临时存放在区经管站档案室。</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镇、村级档案：</w:t>
      </w:r>
      <w:r>
        <w:rPr>
          <w:rFonts w:hint="eastAsia" w:ascii="仿宋_GB2312" w:hAnsi="仿宋_GB2312" w:eastAsia="仿宋_GB2312" w:cs="仿宋_GB2312"/>
          <w:sz w:val="28"/>
          <w:szCs w:val="28"/>
          <w:lang w:val="en-US" w:eastAsia="zh-CN"/>
        </w:rPr>
        <w:t>由合同科负责牵头组织各镇与项目中标单位对接，先行移交纸质档案材料。各镇、村逐份核对综合管理类档案材料，逐户核实确权登记类档案材料，以镇为单位进行统计汇总，填写核对确认单及问题反馈表等有关材料，盖章签字后报送至合同科。项目中标单位根据各镇反馈情况进行查漏补缺，并同步对电子档案进行修正，待全部整改完成后，将电子档案移交各镇，各镇签字领取后，完成档案交接，最终移交镇级档案55743卷（户），其中综合管理类档案4701卷（户），确权登记类档案51042卷（户）。移交村级档案52297卷（户），其中综合管理类档案1255卷（户），确权登记类档案51042卷（户）。</w:t>
      </w:r>
    </w:p>
    <w:p>
      <w:pPr>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rPr>
        <w:t>根据</w:t>
      </w:r>
      <w:r>
        <w:rPr>
          <w:rFonts w:hint="eastAsia" w:ascii="仿宋_GB2312" w:hAnsi="仿宋_GB2312" w:eastAsia="仿宋_GB2312" w:cs="仿宋_GB2312"/>
          <w:color w:val="000000"/>
          <w:kern w:val="0"/>
          <w:sz w:val="28"/>
          <w:szCs w:val="28"/>
          <w:highlight w:val="none"/>
          <w:lang w:eastAsia="zh-CN"/>
        </w:rPr>
        <w:t>档案整理工作成果的验收结果及档案移交进度，区经管站</w:t>
      </w:r>
      <w:r>
        <w:rPr>
          <w:rFonts w:hint="eastAsia" w:ascii="仿宋_GB2312" w:hAnsi="仿宋_GB2312" w:eastAsia="仿宋_GB2312" w:cs="仿宋_GB2312"/>
          <w:color w:val="000000"/>
          <w:kern w:val="0"/>
          <w:sz w:val="28"/>
          <w:szCs w:val="28"/>
          <w:highlight w:val="none"/>
        </w:rPr>
        <w:t>对项目支出绩效</w:t>
      </w:r>
      <w:r>
        <w:rPr>
          <w:rFonts w:hint="eastAsia" w:ascii="仿宋_GB2312" w:hAnsi="仿宋_GB2312" w:eastAsia="仿宋_GB2312" w:cs="仿宋_GB2312"/>
          <w:color w:val="000000"/>
          <w:kern w:val="0"/>
          <w:sz w:val="28"/>
          <w:szCs w:val="28"/>
          <w:highlight w:val="none"/>
          <w:lang w:eastAsia="zh-CN"/>
        </w:rPr>
        <w:t>进行了自评打分</w:t>
      </w:r>
      <w:r>
        <w:rPr>
          <w:rFonts w:hint="eastAsia" w:ascii="仿宋_GB2312" w:hAnsi="仿宋_GB2312" w:eastAsia="仿宋_GB2312" w:cs="仿宋_GB2312"/>
          <w:color w:val="000000"/>
          <w:kern w:val="0"/>
          <w:sz w:val="28"/>
          <w:szCs w:val="28"/>
          <w:highlight w:val="none"/>
        </w:rPr>
        <w:t>，</w:t>
      </w:r>
      <w:r>
        <w:rPr>
          <w:rFonts w:hint="eastAsia" w:ascii="仿宋_GB2312" w:hAnsi="仿宋_GB2312" w:eastAsia="仿宋_GB2312" w:cs="仿宋_GB2312"/>
          <w:color w:val="000000"/>
          <w:kern w:val="0"/>
          <w:sz w:val="28"/>
          <w:szCs w:val="28"/>
          <w:highlight w:val="none"/>
          <w:lang w:eastAsia="zh-CN"/>
        </w:rPr>
        <w:t>按照年初预算</w:t>
      </w:r>
      <w:r>
        <w:rPr>
          <w:rFonts w:hint="eastAsia" w:ascii="仿宋_GB2312" w:hAnsi="仿宋_GB2312" w:eastAsia="仿宋_GB2312" w:cs="仿宋_GB2312"/>
          <w:color w:val="000000"/>
          <w:kern w:val="0"/>
          <w:sz w:val="28"/>
          <w:szCs w:val="28"/>
          <w:highlight w:val="none"/>
          <w:lang w:val="en-US" w:eastAsia="zh-CN"/>
        </w:rPr>
        <w:t>132万元，实际支出82.5万元，执行率62.5%，此项获6.25分（满分10分），其余产出指标、成本指标、效益指标、满意度指标均获满分，最终</w:t>
      </w:r>
      <w:r>
        <w:rPr>
          <w:rFonts w:hint="eastAsia" w:ascii="仿宋_GB2312" w:hAnsi="仿宋_GB2312" w:eastAsia="仿宋_GB2312" w:cs="仿宋_GB2312"/>
          <w:color w:val="000000"/>
          <w:kern w:val="0"/>
          <w:sz w:val="28"/>
          <w:szCs w:val="28"/>
          <w:highlight w:val="none"/>
        </w:rPr>
        <w:t>农村土地确权登记颁证档案整理项目</w:t>
      </w:r>
      <w:r>
        <w:rPr>
          <w:rFonts w:hint="eastAsia" w:ascii="仿宋_GB2312" w:hAnsi="仿宋_GB2312" w:eastAsia="仿宋_GB2312" w:cs="仿宋_GB2312"/>
          <w:color w:val="000000"/>
          <w:kern w:val="0"/>
          <w:sz w:val="28"/>
          <w:szCs w:val="28"/>
          <w:highlight w:val="none"/>
          <w:lang w:eastAsia="zh-CN"/>
        </w:rPr>
        <w:t>绩效</w:t>
      </w:r>
      <w:r>
        <w:rPr>
          <w:rFonts w:hint="eastAsia" w:ascii="仿宋_GB2312" w:hAnsi="仿宋_GB2312" w:eastAsia="仿宋_GB2312" w:cs="仿宋_GB2312"/>
          <w:color w:val="000000"/>
          <w:kern w:val="0"/>
          <w:sz w:val="28"/>
          <w:szCs w:val="28"/>
          <w:highlight w:val="none"/>
        </w:rPr>
        <w:t>自评分为</w:t>
      </w:r>
      <w:r>
        <w:rPr>
          <w:rFonts w:hint="eastAsia" w:ascii="仿宋_GB2312" w:hAnsi="仿宋_GB2312" w:eastAsia="仿宋_GB2312" w:cs="仿宋_GB2312"/>
          <w:color w:val="000000"/>
          <w:kern w:val="0"/>
          <w:sz w:val="28"/>
          <w:szCs w:val="28"/>
          <w:highlight w:val="none"/>
          <w:lang w:val="en-US" w:eastAsia="zh-CN"/>
        </w:rPr>
        <w:t>96.25</w:t>
      </w:r>
      <w:r>
        <w:rPr>
          <w:rFonts w:hint="eastAsia" w:ascii="仿宋_GB2312" w:hAnsi="仿宋_GB2312" w:eastAsia="仿宋_GB2312" w:cs="仿宋_GB2312"/>
          <w:color w:val="000000"/>
          <w:kern w:val="0"/>
          <w:sz w:val="28"/>
          <w:szCs w:val="28"/>
          <w:highlight w:val="none"/>
        </w:rPr>
        <w:t>分,评定等级为“优”</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b w:val="0"/>
          <w:bCs w:val="0"/>
          <w:sz w:val="28"/>
          <w:szCs w:val="28"/>
          <w:lang w:val="en-US" w:eastAsia="zh-CN"/>
        </w:rPr>
        <w:t>详见项目支出绩效自评表。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依据市级相关政策要求进行立项，对项目整体工作内容进行了科学评估，通过公开招标、三方比选的方式确定项目承接方。</w:t>
      </w:r>
      <w:r>
        <w:rPr>
          <w:rFonts w:hint="eastAsia" w:ascii="仿宋_GB2312" w:hAnsi="仿宋_GB2312" w:eastAsia="仿宋_GB2312" w:cs="仿宋_GB2312"/>
          <w:sz w:val="28"/>
          <w:szCs w:val="28"/>
        </w:rPr>
        <w:t>项目</w:t>
      </w:r>
      <w:r>
        <w:rPr>
          <w:rFonts w:hint="eastAsia" w:ascii="仿宋_GB2312" w:hAnsi="仿宋_GB2312" w:eastAsia="仿宋_GB2312" w:cs="仿宋_GB2312"/>
          <w:sz w:val="28"/>
          <w:szCs w:val="28"/>
          <w:lang w:eastAsia="zh-CN"/>
        </w:rPr>
        <w:t>执行</w:t>
      </w:r>
      <w:r>
        <w:rPr>
          <w:rFonts w:hint="eastAsia" w:ascii="仿宋_GB2312" w:hAnsi="仿宋_GB2312" w:eastAsia="仿宋_GB2312" w:cs="仿宋_GB2312"/>
          <w:sz w:val="28"/>
          <w:szCs w:val="28"/>
        </w:rPr>
        <w:t>过程</w:t>
      </w:r>
      <w:r>
        <w:rPr>
          <w:rFonts w:hint="eastAsia" w:ascii="仿宋_GB2312" w:hAnsi="仿宋_GB2312" w:eastAsia="仿宋_GB2312" w:cs="仿宋_GB2312"/>
          <w:sz w:val="28"/>
          <w:szCs w:val="28"/>
          <w:lang w:eastAsia="zh-CN"/>
        </w:rPr>
        <w:t>严格</w:t>
      </w:r>
      <w:r>
        <w:rPr>
          <w:rFonts w:hint="eastAsia" w:ascii="仿宋_GB2312" w:hAnsi="仿宋_GB2312" w:eastAsia="仿宋_GB2312" w:cs="仿宋_GB2312"/>
          <w:sz w:val="28"/>
          <w:szCs w:val="28"/>
        </w:rPr>
        <w:t>规范，绩效</w:t>
      </w:r>
      <w:r>
        <w:rPr>
          <w:rFonts w:hint="eastAsia" w:ascii="仿宋_GB2312" w:hAnsi="仿宋_GB2312" w:eastAsia="仿宋_GB2312" w:cs="仿宋_GB2312"/>
          <w:sz w:val="28"/>
          <w:szCs w:val="28"/>
          <w:lang w:eastAsia="zh-CN"/>
        </w:rPr>
        <w:t>评价指标设定清晰、可量化。</w:t>
      </w:r>
    </w:p>
    <w:p>
      <w:pPr>
        <w:keepNext w:val="0"/>
        <w:keepLines w:val="0"/>
        <w:pageBreakBefore w:val="0"/>
        <w:widowControl w:val="0"/>
        <w:numPr>
          <w:ilvl w:val="0"/>
          <w:numId w:val="13"/>
        </w:numPr>
        <w:kinsoku/>
        <w:wordWrap/>
        <w:topLinePunct w:val="0"/>
        <w:autoSpaceDE/>
        <w:autoSpaceDN/>
        <w:bidi w:val="0"/>
        <w:adjustRightInd/>
        <w:snapToGrid/>
        <w:spacing w:line="560" w:lineRule="exact"/>
        <w:ind w:firstLine="585"/>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1月底项目承接方完成了全部档案整理及数字化扫描工作。但因区档案馆容量饱和，新馆预计2024年底建成，2023年度无法完成纸质档案移交及电子档案数据挂接工作。为保障项目资金规范使用，区经管站严格按照合同约定，对档案整理工作成果开展了验收评估，经验收合格后支付项目总款25%，即82.5万元。保留15%项目尾款49.5万元，待完成区级档案入馆移交及数据库挂接工作后再支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（三）项目产出情况</w:t>
      </w:r>
    </w:p>
    <w:p>
      <w:pPr>
        <w:keepNext w:val="0"/>
        <w:keepLines w:val="0"/>
        <w:pageBreakBefore w:val="0"/>
        <w:widowControl w:val="0"/>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本项目原计划</w:t>
      </w:r>
      <w:r>
        <w:rPr>
          <w:rFonts w:hint="eastAsia" w:ascii="仿宋_GB2312" w:hAnsi="仿宋_GB2312" w:eastAsia="仿宋_GB2312" w:cs="仿宋_GB2312"/>
          <w:sz w:val="28"/>
          <w:szCs w:val="28"/>
        </w:rPr>
        <w:t>涉</w:t>
      </w:r>
      <w:r>
        <w:rPr>
          <w:rFonts w:hint="eastAsia" w:ascii="仿宋_GB2312" w:hAnsi="仿宋_GB2312" w:eastAsia="仿宋_GB2312" w:cs="仿宋_GB2312"/>
          <w:sz w:val="28"/>
          <w:szCs w:val="28"/>
          <w:lang w:eastAsia="zh-CN"/>
        </w:rPr>
        <w:t>及全区9个镇</w:t>
      </w:r>
      <w:r>
        <w:rPr>
          <w:rFonts w:hint="eastAsia" w:ascii="仿宋_GB2312" w:hAnsi="仿宋_GB2312" w:eastAsia="仿宋_GB2312" w:cs="仿宋_GB2312"/>
          <w:sz w:val="28"/>
          <w:szCs w:val="28"/>
          <w:lang w:val="en-US" w:eastAsia="zh-CN"/>
        </w:rPr>
        <w:t>282个村</w:t>
      </w:r>
      <w:r>
        <w:rPr>
          <w:rFonts w:hint="eastAsia" w:ascii="仿宋_GB2312" w:hAnsi="仿宋_GB2312" w:eastAsia="仿宋_GB2312" w:cs="仿宋_GB2312"/>
          <w:sz w:val="28"/>
          <w:szCs w:val="28"/>
          <w:lang w:eastAsia="zh-CN"/>
        </w:rPr>
        <w:t>54728户档案材料，其中综合管理类</w:t>
      </w:r>
      <w:r>
        <w:rPr>
          <w:rFonts w:hint="eastAsia" w:ascii="仿宋_GB2312" w:hAnsi="仿宋_GB2312" w:eastAsia="仿宋_GB2312" w:cs="仿宋_GB2312"/>
          <w:sz w:val="28"/>
          <w:szCs w:val="28"/>
          <w:lang w:val="en-US" w:eastAsia="zh-CN"/>
        </w:rPr>
        <w:t>5000户，确权登记类49728户</w:t>
      </w:r>
      <w:r>
        <w:rPr>
          <w:rFonts w:hint="eastAsia" w:ascii="仿宋_GB2312" w:hAnsi="仿宋_GB2312" w:eastAsia="仿宋_GB2312" w:cs="仿宋_GB2312"/>
          <w:sz w:val="28"/>
          <w:szCs w:val="28"/>
          <w:lang w:eastAsia="zh-CN"/>
        </w:rPr>
        <w:t>。实际完成</w:t>
      </w:r>
      <w:r>
        <w:rPr>
          <w:rFonts w:hint="eastAsia" w:ascii="仿宋_GB2312" w:hAnsi="仿宋_GB2312" w:eastAsia="仿宋_GB2312" w:cs="仿宋_GB2312"/>
          <w:sz w:val="28"/>
          <w:szCs w:val="28"/>
          <w:lang w:val="en-US" w:eastAsia="zh-CN"/>
        </w:rPr>
        <w:t>290个村57014户档案整理，其中综合管理类5972户，确权登记类51042户。</w:t>
      </w:r>
      <w:r>
        <w:rPr>
          <w:rFonts w:hint="eastAsia" w:ascii="仿宋_GB2312" w:hAnsi="仿宋_GB2312" w:eastAsia="仿宋_GB2312" w:cs="仿宋_GB2312"/>
          <w:sz w:val="28"/>
          <w:szCs w:val="28"/>
          <w:lang w:val="zh-CN"/>
        </w:rPr>
        <w:t>完成比例</w:t>
      </w:r>
      <w:r>
        <w:rPr>
          <w:rFonts w:hint="eastAsia" w:ascii="仿宋_GB2312" w:hAnsi="仿宋_GB2312" w:eastAsia="仿宋_GB2312" w:cs="仿宋_GB2312"/>
          <w:sz w:val="28"/>
          <w:szCs w:val="28"/>
          <w:lang w:val="en-US" w:eastAsia="zh-CN"/>
        </w:rPr>
        <w:t>104.18</w:t>
      </w:r>
      <w:r>
        <w:rPr>
          <w:rFonts w:hint="eastAsia" w:ascii="仿宋_GB2312" w:hAnsi="仿宋_GB2312" w:eastAsia="仿宋_GB2312" w:cs="仿宋_GB2312"/>
          <w:sz w:val="28"/>
          <w:szCs w:val="28"/>
          <w:lang w:val="zh-CN"/>
        </w:rPr>
        <w:t>%，超额完成</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lang w:eastAsia="zh-CN"/>
        </w:rPr>
        <w:t>（四）</w:t>
      </w:r>
      <w:r>
        <w:rPr>
          <w:rFonts w:hint="eastAsia" w:ascii="仿宋_GB2312" w:hAnsi="仿宋_GB2312" w:eastAsia="仿宋_GB2312" w:cs="仿宋_GB2312"/>
          <w:color w:val="000000"/>
          <w:kern w:val="0"/>
          <w:sz w:val="28"/>
          <w:szCs w:val="28"/>
          <w:highlight w:val="none"/>
        </w:rPr>
        <w:t>项目效益情况</w:t>
      </w:r>
    </w:p>
    <w:p>
      <w:pPr>
        <w:keepNext w:val="0"/>
        <w:keepLines w:val="0"/>
        <w:pageBreakBefore w:val="0"/>
        <w:widowControl w:val="0"/>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通过项目实施，一是对全区确权登记颁证工作进行了系统梳理与总结，通过档案整理对工作成果予以记录和保存，积累了经验，形成了基础数据资料。二是为开展二轮土地承包到期后再延长30年工作奠定了扎实基础，促进土地经营权的流转。三是项目实施过程中确权地块的矢量数据成果与规自部门进行共享，为全区开展自然资源统一确权登记提供了重要数据，提高了项目成果的利用率。此外，纸质档案移交区档案局后，电子档案将同步挂接全区数字化档案管理系统统一管理，实现数字化档案的反复利用，将大幅节省档案调取时间，提高档案查阅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eastAsia="zh-CN"/>
        </w:rPr>
        <w:t>（一）</w:t>
      </w:r>
      <w:r>
        <w:rPr>
          <w:rFonts w:hint="eastAsia" w:ascii="仿宋_GB2312" w:hAnsi="仿宋_GB2312" w:eastAsia="仿宋_GB2312" w:cs="仿宋_GB2312"/>
          <w:color w:val="000000"/>
          <w:kern w:val="0"/>
          <w:sz w:val="28"/>
          <w:szCs w:val="28"/>
          <w:highlight w:val="none"/>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kern w:val="2"/>
          <w:sz w:val="28"/>
          <w:szCs w:val="28"/>
          <w:lang w:val="en-US" w:eastAsia="zh-CN" w:bidi="ar-SA"/>
        </w:rPr>
        <w:t>1.明确管理责任：</w:t>
      </w:r>
      <w:r>
        <w:rPr>
          <w:rFonts w:hint="eastAsia" w:ascii="仿宋_GB2312" w:hAnsi="仿宋_GB2312" w:eastAsia="仿宋_GB2312" w:cs="仿宋_GB2312"/>
          <w:sz w:val="28"/>
          <w:szCs w:val="28"/>
          <w:lang w:val="en-US" w:eastAsia="zh-CN"/>
        </w:rPr>
        <w:t>确权登记颁证档案在实际整理完成后分为三类，第一类为镇、村级档案，整理完成后统一移交各镇保存管理；第二类为暂不移交区档案馆的档案，由区经管站负责保存管理；第三类为移交区档案馆的档案，由于区档案馆容量饱和，目前只接收了部分档案，剩余档案临时存放在区经管站,由经管站和项目承接单位共同保管，直至全部移交。</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kern w:val="2"/>
          <w:sz w:val="28"/>
          <w:szCs w:val="28"/>
          <w:lang w:val="en-US" w:eastAsia="zh-CN" w:bidi="ar-SA"/>
        </w:rPr>
        <w:t>2.规范管理指引：</w:t>
      </w:r>
      <w:r>
        <w:rPr>
          <w:rFonts w:hint="eastAsia" w:ascii="仿宋_GB2312" w:hAnsi="仿宋_GB2312" w:eastAsia="仿宋_GB2312" w:cs="仿宋_GB2312"/>
          <w:sz w:val="28"/>
          <w:szCs w:val="28"/>
          <w:lang w:val="en-US" w:eastAsia="zh-CN"/>
        </w:rPr>
        <w:t>针对档案审核过程中存在信息不全、不准确或有权属争议等不符合归档条件的档案，主要分三种情况进行处理：第一种信息不全或不准确的，返还各镇进行补全及修正，直至复审通过进行归档；第二种有权属、确权土地信息等争议的，单独整理存档，由区经管站保存；第三种涉及有征占地的，单独整理存档，由区经管站保存。</w:t>
      </w:r>
    </w:p>
    <w:p>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3.分级核对档案：一是区级档案。</w:t>
      </w:r>
      <w:r>
        <w:rPr>
          <w:rFonts w:hint="eastAsia" w:ascii="仿宋_GB2312" w:hAnsi="仿宋_GB2312" w:eastAsia="仿宋_GB2312" w:cs="仿宋_GB2312"/>
          <w:sz w:val="28"/>
          <w:szCs w:val="28"/>
          <w:lang w:val="en-US" w:eastAsia="zh-CN"/>
        </w:rPr>
        <w:t>因征占地等原因暂不移交区档案局的确权登记类档案，由区经管站临时保管，对照《档案移交清册》对纸质档案进行逐一清点核对。纸质档案按照编号存档，装订成卷，专柜存放。电子档案单独整理编目，与纸质材料建立对应关系。</w:t>
      </w:r>
      <w:r>
        <w:rPr>
          <w:rFonts w:hint="eastAsia" w:ascii="仿宋_GB2312" w:hAnsi="仿宋_GB2312" w:eastAsia="仿宋_GB2312" w:cs="仿宋_GB2312"/>
          <w:b/>
          <w:bCs/>
          <w:sz w:val="28"/>
          <w:szCs w:val="28"/>
          <w:lang w:val="en-US" w:eastAsia="zh-CN"/>
        </w:rPr>
        <w:t>二是镇、村级档案。</w:t>
      </w:r>
      <w:r>
        <w:rPr>
          <w:rFonts w:hint="eastAsia" w:ascii="仿宋_GB2312" w:hAnsi="仿宋_GB2312" w:eastAsia="仿宋_GB2312" w:cs="仿宋_GB2312"/>
          <w:sz w:val="28"/>
          <w:szCs w:val="28"/>
          <w:lang w:val="en-US" w:eastAsia="zh-CN"/>
        </w:rPr>
        <w:t>区经管站负责牵头组织各镇与项目中标单位对接，先行移交纸质档案材料。各镇、村逐份核对综合管理类档案材料，逐户核实确权登记类档案材料，以镇为单位进行统计汇总，填写核对确认单及问题反馈表等有关材料，盖章签字后报送至区经管站。项目中标单位根据各镇反馈情况进行查漏补缺，并同步对电子档案进行修正，待全部整改完成后，将电子档案移交各镇，各镇签字领取后，完成档案交接。</w:t>
      </w:r>
    </w:p>
    <w:p>
      <w:pPr>
        <w:pStyle w:val="2"/>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4.强化安全管理：</w:t>
      </w:r>
      <w:r>
        <w:rPr>
          <w:rFonts w:hint="eastAsia" w:ascii="仿宋_GB2312" w:hAnsi="仿宋_GB2312" w:eastAsia="仿宋_GB2312" w:cs="仿宋_GB2312"/>
          <w:b w:val="0"/>
          <w:bCs w:val="0"/>
          <w:kern w:val="2"/>
          <w:sz w:val="28"/>
          <w:szCs w:val="28"/>
          <w:lang w:val="en-US" w:eastAsia="zh-CN" w:bidi="ar-SA"/>
        </w:rPr>
        <w:t>一是工作人员签订《保密承诺书》，严格遵守档案管理的相关规定及档案部门的相关制度，认真做好扫描档案的保密和保护工作。二是严格管理项目设备，每个档案录入员拥有自己的电脑，每台电脑设定密码，电脑密码权归设备管理员，个人不得私自更改密码，两班轮换人员设立独立文件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eastAsia="zh-CN"/>
        </w:rPr>
      </w:pPr>
      <w:r>
        <w:rPr>
          <w:rFonts w:hint="eastAsia" w:ascii="仿宋_GB2312" w:hAnsi="仿宋_GB2312" w:eastAsia="仿宋_GB2312" w:cs="仿宋_GB2312"/>
          <w:color w:val="000000"/>
          <w:kern w:val="0"/>
          <w:sz w:val="28"/>
          <w:szCs w:val="28"/>
          <w:highlight w:val="none"/>
          <w:lang w:eastAsia="zh-CN"/>
        </w:rPr>
        <w:t>（二）</w:t>
      </w:r>
      <w:r>
        <w:rPr>
          <w:rFonts w:hint="eastAsia" w:ascii="仿宋_GB2312" w:hAnsi="仿宋_GB2312" w:eastAsia="仿宋_GB2312" w:cs="仿宋_GB2312"/>
          <w:color w:val="000000"/>
          <w:kern w:val="0"/>
          <w:sz w:val="28"/>
          <w:szCs w:val="28"/>
          <w:highlight w:val="none"/>
        </w:rPr>
        <w:t>存在的问题及原因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由于区档案馆容量饱和，因此只在2023年2月移交了确权登记类档案9999卷（户），剩余综合管理类16卷（户）和确权登记类29473卷（户）档案需等区档案馆新馆建成后再移交，预计时间为2024年底，同步完成</w:t>
      </w:r>
      <w:r>
        <w:rPr>
          <w:rFonts w:hint="eastAsia" w:ascii="仿宋_GB2312" w:hAnsi="仿宋_GB2312" w:eastAsia="仿宋_GB2312" w:cs="仿宋_GB2312"/>
          <w:sz w:val="28"/>
          <w:szCs w:val="28"/>
          <w:lang w:eastAsia="zh-CN"/>
        </w:rPr>
        <w:t>数据库挂接工作后支付全部尾款</w:t>
      </w:r>
      <w:r>
        <w:rPr>
          <w:rFonts w:hint="eastAsia" w:ascii="仿宋_GB2312" w:hAnsi="仿宋_GB2312" w:eastAsia="仿宋_GB2312" w:cs="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auto"/>
          <w:kern w:val="0"/>
          <w:sz w:val="28"/>
          <w:szCs w:val="28"/>
        </w:rPr>
      </w:pPr>
      <w:r>
        <w:rPr>
          <w:rFonts w:hint="eastAsia" w:ascii="黑体" w:hAnsi="黑体" w:eastAsia="黑体" w:cs="黑体"/>
          <w:b w:val="0"/>
          <w:bCs/>
          <w:color w:val="auto"/>
          <w:kern w:val="0"/>
          <w:sz w:val="28"/>
          <w:szCs w:val="28"/>
        </w:rPr>
        <w:t>六、有关建议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建议项目绩效评价指标的设置更加可执行、可量化，更贴合项目产出的实际效果。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rPr>
      </w:pPr>
      <w:r>
        <w:rPr>
          <w:rFonts w:hint="eastAsia" w:ascii="黑体" w:hAnsi="黑体" w:eastAsia="黑体" w:cs="黑体"/>
          <w:b w:val="0"/>
          <w:bCs/>
          <w:color w:val="000000"/>
          <w:kern w:val="0"/>
          <w:sz w:val="28"/>
          <w:szCs w:val="28"/>
          <w:highlight w:val="none"/>
        </w:rPr>
        <w:t>七、其他需要说明的问题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b w:val="0"/>
          <w:bCs/>
          <w:color w:val="auto"/>
          <w:kern w:val="0"/>
          <w:sz w:val="28"/>
          <w:szCs w:val="28"/>
          <w:lang w:eastAsia="zh-CN"/>
        </w:rPr>
      </w:pPr>
      <w:r>
        <w:rPr>
          <w:rFonts w:hint="eastAsia" w:ascii="仿宋_GB2312" w:hAnsi="仿宋_GB2312" w:eastAsia="仿宋_GB2312" w:cs="仿宋_GB2312"/>
          <w:b w:val="0"/>
          <w:bCs/>
          <w:color w:val="auto"/>
          <w:kern w:val="0"/>
          <w:sz w:val="28"/>
          <w:szCs w:val="28"/>
          <w:lang w:eastAsia="zh-CN"/>
        </w:rPr>
        <w:t>无。</w:t>
      </w:r>
    </w:p>
    <w:p>
      <w:pPr>
        <w:spacing w:line="480" w:lineRule="exact"/>
        <w:ind w:firstLine="480" w:firstLineChars="200"/>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tbl>
      <w:tblPr>
        <w:tblStyle w:val="15"/>
        <w:tblpPr w:leftFromText="180" w:rightFromText="180" w:vertAnchor="text" w:horzAnchor="page" w:tblpX="1498" w:tblpY="297"/>
        <w:tblOverlap w:val="never"/>
        <w:tblW w:w="144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0"/>
        <w:gridCol w:w="1011"/>
        <w:gridCol w:w="1439"/>
        <w:gridCol w:w="1436"/>
        <w:gridCol w:w="1002"/>
        <w:gridCol w:w="527"/>
        <w:gridCol w:w="1443"/>
        <w:gridCol w:w="1556"/>
        <w:gridCol w:w="1528"/>
        <w:gridCol w:w="1296"/>
        <w:gridCol w:w="250"/>
        <w:gridCol w:w="1085"/>
        <w:gridCol w:w="1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4439"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39"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3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村级财务资产审计检查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区经管站</w:t>
            </w: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8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李国峰</w:t>
            </w: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81298752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8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0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727万元</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0"/>
                <w:lang w:val="en-US" w:eastAsia="zh-CN" w:bidi="ar"/>
              </w:rPr>
              <w:t xml:space="preserve">     上年结转资金</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0"/>
                <w:lang w:val="en-US" w:eastAsia="zh-CN" w:bidi="ar"/>
              </w:rPr>
              <w:t xml:space="preserve">  其他资金</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0"/>
                <w:lang w:val="en-US" w:eastAsia="zh-CN" w:bidi="ar"/>
              </w:rPr>
              <w:t>中央直达资金</w:t>
            </w:r>
            <w:r>
              <w:rPr>
                <w:rStyle w:val="31"/>
                <w:lang w:val="en-US" w:eastAsia="zh-CN" w:bidi="ar"/>
              </w:rPr>
              <w:t xml:space="preserve"> </w:t>
            </w:r>
          </w:p>
        </w:tc>
        <w:tc>
          <w:tcPr>
            <w:tcW w:w="10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目标：实现农村财务及资产管理的科学化、规范化、制度化，做到账账相符、账卡相符、帐实相符，对村级财务及资产进行审计监督，维护集体经济利益和社会稳定。</w:t>
            </w:r>
          </w:p>
        </w:tc>
        <w:tc>
          <w:tcPr>
            <w:tcW w:w="67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开展并完成了对黄村、西红门、安定、旧宫、瀛海、亦庄六个镇188个村村级财务资产审计检查工作。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指标1：审计镇、村数</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安定、黄村、西红门、旧宫、瀛海、亦庄6个镇188个村</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完成了安定、黄村、西红门、旧宫、瀛海、亦庄6个镇188个村</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指标1：资产清查</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摸清家底理清权属关系</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通过审计对6个镇的资产进行了梳理盘点，摸清家底理清权属关系</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指标2：审计检查</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对审计出问题进行督导</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对审计查出问题进行指导整改。</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指标1：项目进度</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2023年12月31日</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指标1：项目预算资金安排</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财政资金拨款727万元</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支出727万元</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指标1：村级财务资产审计检查，维护集体经济利益和社会稳定</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加强农村集体经济财务管理。</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通过审计查出问题的整改加强财务管理。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指标1：村级财务资产审计检查，保证财政资金发挥实效</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实现农村财务及资产管理规范化、制度化，持续保持整改效果</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通过审计对财务及资产进行规范管理。</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指标1：相涉及单位满意度</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99.97%</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92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tbl>
      <w:tblPr>
        <w:tblStyle w:val="15"/>
        <w:tblpPr w:leftFromText="180" w:rightFromText="180" w:vertAnchor="text" w:horzAnchor="page" w:tblpX="2968" w:tblpY="159"/>
        <w:tblOverlap w:val="never"/>
        <w:tblW w:w="983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73"/>
        <w:gridCol w:w="774"/>
        <w:gridCol w:w="1287"/>
        <w:gridCol w:w="1282"/>
        <w:gridCol w:w="926"/>
        <w:gridCol w:w="864"/>
        <w:gridCol w:w="864"/>
        <w:gridCol w:w="525"/>
        <w:gridCol w:w="646"/>
        <w:gridCol w:w="1208"/>
        <w:gridCol w:w="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9833"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9833"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48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11011523T000001938689-确权登记颁证档案整理工作经费（尾款）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3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43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孙明媛</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2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81298730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5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132万元</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82.5万元</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62.50%</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132万元</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82.5万元</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2"/>
                <w:lang w:val="en-US" w:eastAsia="zh-CN" w:bidi="ar"/>
              </w:rPr>
              <w:t xml:space="preserve">     上年结转资金</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2"/>
                <w:lang w:val="en-US" w:eastAsia="zh-CN" w:bidi="ar"/>
              </w:rPr>
              <w:t xml:space="preserve">  其他资金</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2"/>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5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1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5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1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完成54728户农村土地确权登记颁证档案整理工作，纸质档案按照区档案馆要求进行入馆移交。</w:t>
            </w:r>
          </w:p>
        </w:tc>
        <w:tc>
          <w:tcPr>
            <w:tcW w:w="41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完成57014户农村土地确权登记颁证档案整理工作，因区档案馆容量饱和，只移交了部分档案，剩余档案需等区档案馆新馆建成后再移交。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57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08"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525" w:type="dxa"/>
            <w:tcBorders>
              <w:top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需要整理的档案户数</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54728户</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57014户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档案整理质量合格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项目尾款支付时间</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Style w:val="33"/>
                <w:rFonts w:eastAsia="宋体"/>
                <w:lang w:val="en-US" w:eastAsia="zh-CN" w:bidi="ar"/>
              </w:rPr>
              <w:t>≤</w:t>
            </w:r>
            <w:r>
              <w:rPr>
                <w:rStyle w:val="32"/>
                <w:lang w:val="en-US" w:eastAsia="zh-CN" w:bidi="ar"/>
              </w:rPr>
              <w:t>12月</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项目本年成本</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≤132万元</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82.5万元</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因区档案馆容量饱和，纸质档案无法全部移交，按照合同约定，最后49.5万尾款未能支付。待区档案馆新馆建成后，及时完成移交验收工作，付清全部尾款。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推进信息化建设,提高档案利用率</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调取时间节省50%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调取时间节省50%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28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镇级满意度</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Style w:val="33"/>
                <w:rFonts w:eastAsia="宋体"/>
                <w:lang w:val="en-US" w:eastAsia="zh-CN" w:bidi="ar"/>
              </w:rPr>
              <w:t>≥</w:t>
            </w:r>
            <w:r>
              <w:rPr>
                <w:rStyle w:val="32"/>
                <w:lang w:val="en-US" w:eastAsia="zh-CN" w:bidi="ar"/>
              </w:rPr>
              <w:t>95%</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5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村级满意度</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Style w:val="33"/>
                <w:rFonts w:eastAsia="宋体"/>
                <w:lang w:val="en-US" w:eastAsia="zh-CN" w:bidi="ar"/>
              </w:rPr>
              <w:t>≥</w:t>
            </w:r>
            <w:r>
              <w:rPr>
                <w:rStyle w:val="32"/>
                <w:lang w:val="en-US" w:eastAsia="zh-CN" w:bidi="ar"/>
              </w:rPr>
              <w:t>90%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6" w:hRule="atLeast"/>
        </w:trPr>
        <w:tc>
          <w:tcPr>
            <w:tcW w:w="65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96.25</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pStyle w:val="2"/>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tbl>
      <w:tblPr>
        <w:tblStyle w:val="15"/>
        <w:tblpPr w:leftFromText="180" w:rightFromText="180" w:vertAnchor="text" w:horzAnchor="page" w:tblpX="3148" w:tblpY="309"/>
        <w:tblOverlap w:val="never"/>
        <w:tblW w:w="1012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91"/>
        <w:gridCol w:w="873"/>
        <w:gridCol w:w="1265"/>
        <w:gridCol w:w="1258"/>
        <w:gridCol w:w="657"/>
        <w:gridCol w:w="373"/>
        <w:gridCol w:w="861"/>
        <w:gridCol w:w="837"/>
        <w:gridCol w:w="835"/>
        <w:gridCol w:w="583"/>
        <w:gridCol w:w="588"/>
        <w:gridCol w:w="572"/>
        <w:gridCol w:w="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12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012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56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11011523T000001938671-仲裁员、镇村调解员培训费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4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4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44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孙明媛</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24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81298730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5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5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0.34万元</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0.34万元</w:t>
            </w: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4"/>
                <w:lang w:val="en-US" w:eastAsia="zh-CN" w:bidi="ar"/>
              </w:rPr>
              <w:t xml:space="preserve">     上年结转资金</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4"/>
                <w:lang w:val="en-US" w:eastAsia="zh-CN" w:bidi="ar"/>
              </w:rPr>
              <w:t xml:space="preserve">  其他资金</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5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5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34"/>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2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2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开展对全区农村土地承包纠纷调解员、仲裁员的宣传培训工作</w:t>
            </w:r>
          </w:p>
        </w:tc>
        <w:tc>
          <w:tcPr>
            <w:tcW w:w="41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开展对全区农村土地承包纠纷调解员、仲裁员的宣传培训工作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rPr>
        <w:tc>
          <w:tcPr>
            <w:tcW w:w="691"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培训班次</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培训人数</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100人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87人</w:t>
            </w:r>
          </w:p>
        </w:tc>
        <w:tc>
          <w:tcPr>
            <w:tcW w:w="835" w:type="dxa"/>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培训天数</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1天</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835" w:type="dxa"/>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培训课程数</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3门</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2门</w:t>
            </w:r>
          </w:p>
        </w:tc>
        <w:tc>
          <w:tcPr>
            <w:tcW w:w="835" w:type="dxa"/>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讲师数量</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2人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835" w:type="dxa"/>
            <w:tcBorders>
              <w:top w:val="single" w:color="000000" w:sz="4" w:space="0"/>
              <w:left w:val="single" w:color="000000" w:sz="4" w:space="0"/>
              <w:bottom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场地数量</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1处</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1</w:t>
            </w:r>
            <w:r>
              <w:rPr>
                <w:rStyle w:val="34"/>
                <w:lang w:val="en-US" w:eastAsia="zh-CN" w:bidi="ar"/>
              </w:rPr>
              <w:t>处</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学员用餐</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100人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0人</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讲师职级</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正高级或副高级</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正高级1人，副高级1人</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培训进度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1天</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0.5天</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总体培训成本</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0.5万元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0.3万元</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培训人员合格率</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691"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26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学员满意度</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Style w:val="34"/>
                <w:lang w:val="en-US" w:eastAsia="zh-CN" w:bidi="ar"/>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8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96.8</w:t>
            </w:r>
          </w:p>
        </w:tc>
        <w:tc>
          <w:tcPr>
            <w:tcW w:w="1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ascii="仿宋_GB2312" w:hAnsi="宋体" w:eastAsia="仿宋_GB2312" w:cs="宋体"/>
          <w:color w:val="000000"/>
          <w:kern w:val="0"/>
          <w:sz w:val="24"/>
        </w:rPr>
      </w:pPr>
    </w:p>
    <w:p>
      <w:pPr>
        <w:rPr>
          <w:rFonts w:hint="eastAsia" w:ascii="仿宋_GB2312" w:hAnsi="宋体" w:eastAsia="仿宋_GB2312" w:cs="宋体"/>
          <w:color w:val="000000"/>
          <w:kern w:val="0"/>
          <w:sz w:val="24"/>
        </w:rPr>
      </w:pPr>
    </w:p>
    <w:p>
      <w:pPr>
        <w:tabs>
          <w:tab w:val="left" w:pos="11800"/>
        </w:tabs>
        <w:jc w:val="left"/>
        <w:rPr>
          <w:rFonts w:hint="eastAsia" w:ascii="仿宋_GB2312" w:hAnsi="宋体" w:eastAsia="仿宋_GB2312" w:cs="宋体"/>
          <w:color w:val="000000"/>
          <w:kern w:val="0"/>
          <w:sz w:val="24"/>
          <w:lang w:eastAsia="zh-CN"/>
        </w:rPr>
      </w:pPr>
      <w:r>
        <w:rPr>
          <w:rFonts w:hint="eastAsia" w:ascii="仿宋_GB2312" w:hAnsi="宋体" w:eastAsia="仿宋_GB2312" w:cs="宋体"/>
          <w:color w:val="000000"/>
          <w:kern w:val="0"/>
          <w:sz w:val="24"/>
          <w:lang w:eastAsia="zh-CN"/>
        </w:rPr>
        <w:tab/>
      </w:r>
    </w:p>
    <w:p>
      <w:pPr>
        <w:pStyle w:val="2"/>
        <w:rPr>
          <w:rFonts w:hint="eastAsia" w:ascii="仿宋_GB2312" w:hAnsi="宋体" w:eastAsia="仿宋_GB2312" w:cs="宋体"/>
          <w:color w:val="000000"/>
          <w:kern w:val="0"/>
          <w:sz w:val="24"/>
          <w:lang w:eastAsia="zh-CN"/>
        </w:rPr>
      </w:pPr>
    </w:p>
    <w:p>
      <w:pPr>
        <w:pStyle w:val="2"/>
        <w:rPr>
          <w:rFonts w:hint="eastAsia" w:ascii="仿宋_GB2312" w:hAnsi="宋体" w:eastAsia="仿宋_GB2312" w:cs="宋体"/>
          <w:color w:val="000000"/>
          <w:kern w:val="0"/>
          <w:sz w:val="24"/>
          <w:lang w:eastAsia="zh-CN"/>
        </w:rPr>
      </w:pPr>
    </w:p>
    <w:p>
      <w:pPr>
        <w:pStyle w:val="2"/>
        <w:rPr>
          <w:rFonts w:hint="eastAsia" w:ascii="仿宋_GB2312" w:hAnsi="宋体" w:eastAsia="仿宋_GB2312" w:cs="宋体"/>
          <w:color w:val="000000"/>
          <w:kern w:val="0"/>
          <w:sz w:val="24"/>
          <w:lang w:eastAsia="zh-CN"/>
        </w:rPr>
      </w:pPr>
    </w:p>
    <w:p>
      <w:pPr>
        <w:pStyle w:val="2"/>
        <w:rPr>
          <w:rFonts w:hint="eastAsia" w:ascii="仿宋_GB2312" w:hAnsi="宋体" w:eastAsia="仿宋_GB2312" w:cs="宋体"/>
          <w:color w:val="000000"/>
          <w:kern w:val="0"/>
          <w:sz w:val="24"/>
          <w:lang w:eastAsia="zh-CN"/>
        </w:rPr>
      </w:pPr>
    </w:p>
    <w:p>
      <w:pPr>
        <w:pStyle w:val="2"/>
        <w:rPr>
          <w:rFonts w:hint="eastAsia" w:ascii="仿宋_GB2312" w:hAnsi="宋体" w:eastAsia="仿宋_GB2312" w:cs="宋体"/>
          <w:color w:val="000000"/>
          <w:kern w:val="0"/>
          <w:sz w:val="24"/>
          <w:lang w:eastAsia="zh-CN"/>
        </w:rPr>
      </w:pPr>
    </w:p>
    <w:p>
      <w:pPr>
        <w:pStyle w:val="2"/>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 xml:space="preserve">           </w:t>
      </w: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tbl>
      <w:tblPr>
        <w:tblStyle w:val="15"/>
        <w:tblpPr w:leftFromText="180" w:rightFromText="180" w:vertAnchor="text" w:horzAnchor="page" w:tblpX="3568" w:tblpY="6"/>
        <w:tblOverlap w:val="never"/>
        <w:tblW w:w="102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6"/>
        <w:gridCol w:w="836"/>
        <w:gridCol w:w="1350"/>
        <w:gridCol w:w="1361"/>
        <w:gridCol w:w="755"/>
        <w:gridCol w:w="1225"/>
        <w:gridCol w:w="939"/>
        <w:gridCol w:w="944"/>
        <w:gridCol w:w="507"/>
        <w:gridCol w:w="588"/>
        <w:gridCol w:w="1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10238" w:type="dxa"/>
            <w:gridSpan w:val="11"/>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0238" w:type="dxa"/>
            <w:gridSpan w:val="11"/>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79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基础律师费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办公室</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2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4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武玉新</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22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81298767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7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6万元</w:t>
            </w: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14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5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5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北京一格律师事务所委托1-2名律师担任我单位常年法律顾问，为我单位提供法律服务，依法维护我单位的合法权益</w:t>
            </w:r>
          </w:p>
        </w:tc>
        <w:tc>
          <w:tcPr>
            <w:tcW w:w="4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北京一格律师事务所委托1-2名律师担任我单位常年法律顾问，为我单位提供法律服务，依法维护我单位的合法权益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6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指标1：：配备律师数</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1-2人</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1人</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指标1：按需求提供专业法律服务</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无不满意反馈,依法维护我单位的合法权益</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无不满意反馈,依法维护我单位的合法权益</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指标1：支付时间</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≤4月</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4月</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指标1：项目成本</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6万元</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6万元</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指标1：法律顾问作用</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依法维护我单位的合法权益</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依法维护我单位的合法权益</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指标1：服务科室满意度</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无不满意反馈</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6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6" w:hRule="atLeast"/>
        </w:trPr>
        <w:tc>
          <w:tcPr>
            <w:tcW w:w="70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p>
    <w:p>
      <w:pPr>
        <w:pStyle w:val="2"/>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 xml:space="preserve">               </w:t>
      </w:r>
    </w:p>
    <w:sectPr>
      <w:pgSz w:w="16838" w:h="11906" w:orient="landscape"/>
      <w:pgMar w:top="1134" w:right="1134" w:bottom="1020" w:left="1134"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楷体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9Ux0jMkBAACZAwAADgAAAAAA&#10;AAABACAAAAA0AQAAZHJzL2Uyb0RvYy54bWxQSwUGAAAAAAYABgBZAQAAbwU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AF159E"/>
    <w:multiLevelType w:val="singleLevel"/>
    <w:tmpl w:val="BFAF159E"/>
    <w:lvl w:ilvl="0" w:tentative="0">
      <w:start w:val="7"/>
      <w:numFmt w:val="chineseCounting"/>
      <w:suff w:val="nothing"/>
      <w:lvlText w:val="%1、"/>
      <w:lvlJc w:val="left"/>
      <w:rPr>
        <w:rFonts w:hint="eastAsia"/>
      </w:rPr>
    </w:lvl>
  </w:abstractNum>
  <w:abstractNum w:abstractNumId="1">
    <w:nsid w:val="D7DF49B6"/>
    <w:multiLevelType w:val="singleLevel"/>
    <w:tmpl w:val="D7DF49B6"/>
    <w:lvl w:ilvl="0" w:tentative="0">
      <w:start w:val="2"/>
      <w:numFmt w:val="chineseCounting"/>
      <w:suff w:val="nothing"/>
      <w:lvlText w:val="（%1）"/>
      <w:lvlJc w:val="left"/>
      <w:rPr>
        <w:rFonts w:hint="eastAsia"/>
      </w:rPr>
    </w:lvl>
  </w:abstractNum>
  <w:abstractNum w:abstractNumId="2">
    <w:nsid w:val="DFD6B3D0"/>
    <w:multiLevelType w:val="singleLevel"/>
    <w:tmpl w:val="DFD6B3D0"/>
    <w:lvl w:ilvl="0" w:tentative="0">
      <w:start w:val="2"/>
      <w:numFmt w:val="chineseCounting"/>
      <w:suff w:val="nothing"/>
      <w:lvlText w:val="（%1）"/>
      <w:lvlJc w:val="left"/>
      <w:rPr>
        <w:rFonts w:hint="eastAsia"/>
      </w:rPr>
    </w:lvl>
  </w:abstractNum>
  <w:abstractNum w:abstractNumId="3">
    <w:nsid w:val="FF3F2B8F"/>
    <w:multiLevelType w:val="singleLevel"/>
    <w:tmpl w:val="FF3F2B8F"/>
    <w:lvl w:ilvl="0" w:tentative="0">
      <w:start w:val="3"/>
      <w:numFmt w:val="chineseCounting"/>
      <w:suff w:val="nothing"/>
      <w:lvlText w:val="%1、"/>
      <w:lvlJc w:val="left"/>
      <w:rPr>
        <w:rFonts w:hint="eastAsia"/>
      </w:rPr>
    </w:lvl>
  </w:abstractNum>
  <w:abstractNum w:abstractNumId="4">
    <w:nsid w:val="FF7A2B8F"/>
    <w:multiLevelType w:val="singleLevel"/>
    <w:tmpl w:val="FF7A2B8F"/>
    <w:lvl w:ilvl="0" w:tentative="0">
      <w:start w:val="6"/>
      <w:numFmt w:val="chineseCounting"/>
      <w:suff w:val="nothing"/>
      <w:lvlText w:val="%1、"/>
      <w:lvlJc w:val="left"/>
      <w:pPr>
        <w:ind w:left="-10"/>
      </w:pPr>
      <w:rPr>
        <w:rFonts w:hint="eastAsia"/>
      </w:rPr>
    </w:lvl>
  </w:abstractNum>
  <w:abstractNum w:abstractNumId="5">
    <w:nsid w:val="FFBEA49D"/>
    <w:multiLevelType w:val="singleLevel"/>
    <w:tmpl w:val="FFBEA49D"/>
    <w:lvl w:ilvl="0" w:tentative="0">
      <w:start w:val="3"/>
      <w:numFmt w:val="chineseCounting"/>
      <w:suff w:val="nothing"/>
      <w:lvlText w:val="%1、"/>
      <w:lvlJc w:val="left"/>
      <w:rPr>
        <w:rFonts w:hint="eastAsia"/>
      </w:rPr>
    </w:lvl>
  </w:abstractNum>
  <w:abstractNum w:abstractNumId="6">
    <w:nsid w:val="611B6526"/>
    <w:multiLevelType w:val="singleLevel"/>
    <w:tmpl w:val="611B6526"/>
    <w:lvl w:ilvl="0" w:tentative="0">
      <w:start w:val="2"/>
      <w:numFmt w:val="chineseCounting"/>
      <w:suff w:val="nothing"/>
      <w:lvlText w:val="（%1）"/>
      <w:lvlJc w:val="left"/>
    </w:lvl>
  </w:abstractNum>
  <w:abstractNum w:abstractNumId="7">
    <w:nsid w:val="62FCBE53"/>
    <w:multiLevelType w:val="singleLevel"/>
    <w:tmpl w:val="62FCBE53"/>
    <w:lvl w:ilvl="0" w:tentative="0">
      <w:start w:val="2"/>
      <w:numFmt w:val="chineseCounting"/>
      <w:suff w:val="nothing"/>
      <w:lvlText w:val="（%1）"/>
      <w:lvlJc w:val="left"/>
    </w:lvl>
  </w:abstractNum>
  <w:abstractNum w:abstractNumId="8">
    <w:nsid w:val="66B32AA3"/>
    <w:multiLevelType w:val="singleLevel"/>
    <w:tmpl w:val="66B32AA3"/>
    <w:lvl w:ilvl="0" w:tentative="0">
      <w:start w:val="1"/>
      <w:numFmt w:val="decimal"/>
      <w:suff w:val="nothing"/>
      <w:lvlText w:val="%1."/>
      <w:lvlJc w:val="left"/>
    </w:lvl>
  </w:abstractNum>
  <w:abstractNum w:abstractNumId="9">
    <w:nsid w:val="66B32B34"/>
    <w:multiLevelType w:val="singleLevel"/>
    <w:tmpl w:val="66B32B34"/>
    <w:lvl w:ilvl="0" w:tentative="0">
      <w:start w:val="1"/>
      <w:numFmt w:val="decimal"/>
      <w:suff w:val="nothing"/>
      <w:lvlText w:val="%1."/>
      <w:lvlJc w:val="left"/>
    </w:lvl>
  </w:abstractNum>
  <w:abstractNum w:abstractNumId="10">
    <w:nsid w:val="7AEFACA2"/>
    <w:multiLevelType w:val="singleLevel"/>
    <w:tmpl w:val="7AEFACA2"/>
    <w:lvl w:ilvl="0" w:tentative="0">
      <w:start w:val="2"/>
      <w:numFmt w:val="chineseCounting"/>
      <w:suff w:val="nothing"/>
      <w:lvlText w:val="（%1）"/>
      <w:lvlJc w:val="left"/>
      <w:rPr>
        <w:rFonts w:hint="eastAsia"/>
      </w:rPr>
    </w:lvl>
  </w:abstractNum>
  <w:abstractNum w:abstractNumId="11">
    <w:nsid w:val="7F3B318D"/>
    <w:multiLevelType w:val="singleLevel"/>
    <w:tmpl w:val="7F3B318D"/>
    <w:lvl w:ilvl="0" w:tentative="0">
      <w:start w:val="1"/>
      <w:numFmt w:val="chineseCounting"/>
      <w:suff w:val="nothing"/>
      <w:lvlText w:val="%1、"/>
      <w:lvlJc w:val="left"/>
      <w:rPr>
        <w:rFonts w:hint="eastAsia"/>
      </w:rPr>
    </w:lvl>
  </w:abstractNum>
  <w:abstractNum w:abstractNumId="12">
    <w:nsid w:val="7FFF49E8"/>
    <w:multiLevelType w:val="singleLevel"/>
    <w:tmpl w:val="7FFF49E8"/>
    <w:lvl w:ilvl="0" w:tentative="0">
      <w:start w:val="2"/>
      <w:numFmt w:val="chineseCounting"/>
      <w:suff w:val="nothing"/>
      <w:lvlText w:val="（%1）"/>
      <w:lvlJc w:val="left"/>
      <w:rPr>
        <w:rFonts w:hint="eastAsia"/>
      </w:rPr>
    </w:lvl>
  </w:abstractNum>
  <w:num w:numId="1">
    <w:abstractNumId w:val="8"/>
  </w:num>
  <w:num w:numId="2">
    <w:abstractNumId w:val="9"/>
  </w:num>
  <w:num w:numId="3">
    <w:abstractNumId w:val="7"/>
  </w:num>
  <w:num w:numId="4">
    <w:abstractNumId w:val="6"/>
  </w:num>
  <w:num w:numId="5">
    <w:abstractNumId w:val="0"/>
  </w:num>
  <w:num w:numId="6">
    <w:abstractNumId w:val="11"/>
  </w:num>
  <w:num w:numId="7">
    <w:abstractNumId w:val="5"/>
  </w:num>
  <w:num w:numId="8">
    <w:abstractNumId w:val="1"/>
  </w:num>
  <w:num w:numId="9">
    <w:abstractNumId w:val="12"/>
  </w:num>
  <w:num w:numId="10">
    <w:abstractNumId w:val="4"/>
  </w:num>
  <w:num w:numId="11">
    <w:abstractNumId w:val="1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246"/>
    <w:rsid w:val="00003B03"/>
    <w:rsid w:val="000040E6"/>
    <w:rsid w:val="0001182B"/>
    <w:rsid w:val="00011D72"/>
    <w:rsid w:val="00013CEC"/>
    <w:rsid w:val="000151AE"/>
    <w:rsid w:val="00027CD5"/>
    <w:rsid w:val="00030701"/>
    <w:rsid w:val="00031717"/>
    <w:rsid w:val="00031B8E"/>
    <w:rsid w:val="000331DA"/>
    <w:rsid w:val="00033EC1"/>
    <w:rsid w:val="00034224"/>
    <w:rsid w:val="00036102"/>
    <w:rsid w:val="00040275"/>
    <w:rsid w:val="00042925"/>
    <w:rsid w:val="0004719C"/>
    <w:rsid w:val="00047F6E"/>
    <w:rsid w:val="00051B00"/>
    <w:rsid w:val="000601B1"/>
    <w:rsid w:val="00066E19"/>
    <w:rsid w:val="0006752F"/>
    <w:rsid w:val="000711FB"/>
    <w:rsid w:val="00071797"/>
    <w:rsid w:val="00071860"/>
    <w:rsid w:val="0007258E"/>
    <w:rsid w:val="00077A9E"/>
    <w:rsid w:val="00077F4A"/>
    <w:rsid w:val="00077FE5"/>
    <w:rsid w:val="00080447"/>
    <w:rsid w:val="00080576"/>
    <w:rsid w:val="00084E8C"/>
    <w:rsid w:val="00085663"/>
    <w:rsid w:val="0008577F"/>
    <w:rsid w:val="00085C9B"/>
    <w:rsid w:val="00095948"/>
    <w:rsid w:val="00095C26"/>
    <w:rsid w:val="00096504"/>
    <w:rsid w:val="00096B86"/>
    <w:rsid w:val="000A04BD"/>
    <w:rsid w:val="000A1770"/>
    <w:rsid w:val="000A283C"/>
    <w:rsid w:val="000A464E"/>
    <w:rsid w:val="000A6E29"/>
    <w:rsid w:val="000B15B7"/>
    <w:rsid w:val="000B70F1"/>
    <w:rsid w:val="000C1EC5"/>
    <w:rsid w:val="000C2CD8"/>
    <w:rsid w:val="000C4611"/>
    <w:rsid w:val="000D0D2F"/>
    <w:rsid w:val="000D2BF4"/>
    <w:rsid w:val="000D6854"/>
    <w:rsid w:val="000D6BFA"/>
    <w:rsid w:val="000D720C"/>
    <w:rsid w:val="000E0B26"/>
    <w:rsid w:val="000E3291"/>
    <w:rsid w:val="000E56A1"/>
    <w:rsid w:val="000F08FE"/>
    <w:rsid w:val="000F278A"/>
    <w:rsid w:val="000F2A48"/>
    <w:rsid w:val="000F49BE"/>
    <w:rsid w:val="00100246"/>
    <w:rsid w:val="00104858"/>
    <w:rsid w:val="0010682D"/>
    <w:rsid w:val="001073C6"/>
    <w:rsid w:val="00107DB5"/>
    <w:rsid w:val="001141B7"/>
    <w:rsid w:val="0011483D"/>
    <w:rsid w:val="00115724"/>
    <w:rsid w:val="001211C1"/>
    <w:rsid w:val="00130995"/>
    <w:rsid w:val="00131FF9"/>
    <w:rsid w:val="00132320"/>
    <w:rsid w:val="001351C8"/>
    <w:rsid w:val="0013555C"/>
    <w:rsid w:val="001366D8"/>
    <w:rsid w:val="001369A7"/>
    <w:rsid w:val="001428C5"/>
    <w:rsid w:val="001503D8"/>
    <w:rsid w:val="0015083A"/>
    <w:rsid w:val="00156E6E"/>
    <w:rsid w:val="00157540"/>
    <w:rsid w:val="00157B8F"/>
    <w:rsid w:val="00164DC3"/>
    <w:rsid w:val="0017111F"/>
    <w:rsid w:val="00173393"/>
    <w:rsid w:val="00173CF6"/>
    <w:rsid w:val="00176C13"/>
    <w:rsid w:val="00177804"/>
    <w:rsid w:val="00180DAD"/>
    <w:rsid w:val="00181B15"/>
    <w:rsid w:val="00181BD8"/>
    <w:rsid w:val="0018370E"/>
    <w:rsid w:val="00183BC8"/>
    <w:rsid w:val="00183DF4"/>
    <w:rsid w:val="001852E1"/>
    <w:rsid w:val="00191568"/>
    <w:rsid w:val="0019509B"/>
    <w:rsid w:val="001A04EE"/>
    <w:rsid w:val="001A4277"/>
    <w:rsid w:val="001A5E6B"/>
    <w:rsid w:val="001A774A"/>
    <w:rsid w:val="001A7D2E"/>
    <w:rsid w:val="001B1DF9"/>
    <w:rsid w:val="001B1E93"/>
    <w:rsid w:val="001B375E"/>
    <w:rsid w:val="001B5E87"/>
    <w:rsid w:val="001B5E91"/>
    <w:rsid w:val="001B6B10"/>
    <w:rsid w:val="001B7988"/>
    <w:rsid w:val="001C3B5C"/>
    <w:rsid w:val="001D37F4"/>
    <w:rsid w:val="001D78D9"/>
    <w:rsid w:val="001E0556"/>
    <w:rsid w:val="001E2355"/>
    <w:rsid w:val="001E2379"/>
    <w:rsid w:val="001E29A9"/>
    <w:rsid w:val="001E5148"/>
    <w:rsid w:val="001E526B"/>
    <w:rsid w:val="001F5857"/>
    <w:rsid w:val="00206EC3"/>
    <w:rsid w:val="0021047C"/>
    <w:rsid w:val="002109A1"/>
    <w:rsid w:val="00211E4E"/>
    <w:rsid w:val="00213D1C"/>
    <w:rsid w:val="00213F9A"/>
    <w:rsid w:val="00214C3A"/>
    <w:rsid w:val="00214F36"/>
    <w:rsid w:val="00217517"/>
    <w:rsid w:val="00220836"/>
    <w:rsid w:val="0022204B"/>
    <w:rsid w:val="00222628"/>
    <w:rsid w:val="0022396B"/>
    <w:rsid w:val="002253CB"/>
    <w:rsid w:val="002326DE"/>
    <w:rsid w:val="00234314"/>
    <w:rsid w:val="00234EFB"/>
    <w:rsid w:val="00240A1B"/>
    <w:rsid w:val="00241724"/>
    <w:rsid w:val="00242904"/>
    <w:rsid w:val="0024390C"/>
    <w:rsid w:val="00243EB9"/>
    <w:rsid w:val="00244163"/>
    <w:rsid w:val="002441F4"/>
    <w:rsid w:val="00244204"/>
    <w:rsid w:val="002448A4"/>
    <w:rsid w:val="0024528B"/>
    <w:rsid w:val="00245A0A"/>
    <w:rsid w:val="00246C42"/>
    <w:rsid w:val="002515CC"/>
    <w:rsid w:val="0025205B"/>
    <w:rsid w:val="00253EC4"/>
    <w:rsid w:val="00254515"/>
    <w:rsid w:val="0026479D"/>
    <w:rsid w:val="002673C4"/>
    <w:rsid w:val="0027112B"/>
    <w:rsid w:val="00271C3F"/>
    <w:rsid w:val="00272460"/>
    <w:rsid w:val="00272DFF"/>
    <w:rsid w:val="00273070"/>
    <w:rsid w:val="0027394A"/>
    <w:rsid w:val="00273989"/>
    <w:rsid w:val="00274D50"/>
    <w:rsid w:val="002760D5"/>
    <w:rsid w:val="00276289"/>
    <w:rsid w:val="0028081D"/>
    <w:rsid w:val="0028458C"/>
    <w:rsid w:val="002911BD"/>
    <w:rsid w:val="00291C98"/>
    <w:rsid w:val="00294DE9"/>
    <w:rsid w:val="002A1488"/>
    <w:rsid w:val="002A4C2B"/>
    <w:rsid w:val="002A6BB5"/>
    <w:rsid w:val="002B19D0"/>
    <w:rsid w:val="002B3682"/>
    <w:rsid w:val="002B5464"/>
    <w:rsid w:val="002B646D"/>
    <w:rsid w:val="002C0443"/>
    <w:rsid w:val="002C09C7"/>
    <w:rsid w:val="002C12FB"/>
    <w:rsid w:val="002C24BC"/>
    <w:rsid w:val="002C75B6"/>
    <w:rsid w:val="002D03C6"/>
    <w:rsid w:val="002D08BF"/>
    <w:rsid w:val="002D0FDF"/>
    <w:rsid w:val="002D3955"/>
    <w:rsid w:val="002D5CBE"/>
    <w:rsid w:val="002D6867"/>
    <w:rsid w:val="002D68A9"/>
    <w:rsid w:val="002D72D1"/>
    <w:rsid w:val="002E06AE"/>
    <w:rsid w:val="002E4B75"/>
    <w:rsid w:val="002E68DD"/>
    <w:rsid w:val="002E6973"/>
    <w:rsid w:val="002F17C2"/>
    <w:rsid w:val="002F32EE"/>
    <w:rsid w:val="002F4054"/>
    <w:rsid w:val="002F4147"/>
    <w:rsid w:val="002F5574"/>
    <w:rsid w:val="002F6DB5"/>
    <w:rsid w:val="00300B5F"/>
    <w:rsid w:val="00301D20"/>
    <w:rsid w:val="00302B19"/>
    <w:rsid w:val="00303337"/>
    <w:rsid w:val="00303428"/>
    <w:rsid w:val="003051DF"/>
    <w:rsid w:val="003053C4"/>
    <w:rsid w:val="003058A3"/>
    <w:rsid w:val="00307DA5"/>
    <w:rsid w:val="0031106F"/>
    <w:rsid w:val="0031169D"/>
    <w:rsid w:val="0031170D"/>
    <w:rsid w:val="00313E14"/>
    <w:rsid w:val="00315182"/>
    <w:rsid w:val="0031582C"/>
    <w:rsid w:val="003167DD"/>
    <w:rsid w:val="00321BD8"/>
    <w:rsid w:val="00325687"/>
    <w:rsid w:val="00332C14"/>
    <w:rsid w:val="00335079"/>
    <w:rsid w:val="003352CE"/>
    <w:rsid w:val="00336496"/>
    <w:rsid w:val="00341D8E"/>
    <w:rsid w:val="00343DCD"/>
    <w:rsid w:val="00346172"/>
    <w:rsid w:val="003502B9"/>
    <w:rsid w:val="00351B8F"/>
    <w:rsid w:val="00353226"/>
    <w:rsid w:val="003532B1"/>
    <w:rsid w:val="00353675"/>
    <w:rsid w:val="00353717"/>
    <w:rsid w:val="00354630"/>
    <w:rsid w:val="003569FF"/>
    <w:rsid w:val="00361501"/>
    <w:rsid w:val="00365A24"/>
    <w:rsid w:val="003712DB"/>
    <w:rsid w:val="00373DDC"/>
    <w:rsid w:val="00375F7E"/>
    <w:rsid w:val="00381863"/>
    <w:rsid w:val="00382A86"/>
    <w:rsid w:val="00383BCC"/>
    <w:rsid w:val="00385243"/>
    <w:rsid w:val="003925D4"/>
    <w:rsid w:val="00392D10"/>
    <w:rsid w:val="00393366"/>
    <w:rsid w:val="003937DC"/>
    <w:rsid w:val="00393D75"/>
    <w:rsid w:val="00395361"/>
    <w:rsid w:val="003A2F2D"/>
    <w:rsid w:val="003A379F"/>
    <w:rsid w:val="003A43AC"/>
    <w:rsid w:val="003A4EB6"/>
    <w:rsid w:val="003A6E5D"/>
    <w:rsid w:val="003A7AE9"/>
    <w:rsid w:val="003A7BC5"/>
    <w:rsid w:val="003A7FF5"/>
    <w:rsid w:val="003B0352"/>
    <w:rsid w:val="003B4437"/>
    <w:rsid w:val="003B48C4"/>
    <w:rsid w:val="003B5E20"/>
    <w:rsid w:val="003B6DAD"/>
    <w:rsid w:val="003B735F"/>
    <w:rsid w:val="003C030C"/>
    <w:rsid w:val="003C45F4"/>
    <w:rsid w:val="003C4A29"/>
    <w:rsid w:val="003C55FC"/>
    <w:rsid w:val="003C5718"/>
    <w:rsid w:val="003C685F"/>
    <w:rsid w:val="003C71DA"/>
    <w:rsid w:val="003D0EC3"/>
    <w:rsid w:val="003D7274"/>
    <w:rsid w:val="003E2074"/>
    <w:rsid w:val="003E4B21"/>
    <w:rsid w:val="003E4D82"/>
    <w:rsid w:val="003E557A"/>
    <w:rsid w:val="003E5BC1"/>
    <w:rsid w:val="003F0D1B"/>
    <w:rsid w:val="003F1DD6"/>
    <w:rsid w:val="003F214A"/>
    <w:rsid w:val="00401087"/>
    <w:rsid w:val="00402E26"/>
    <w:rsid w:val="004049C7"/>
    <w:rsid w:val="004110BC"/>
    <w:rsid w:val="00411D17"/>
    <w:rsid w:val="004121B3"/>
    <w:rsid w:val="0041271F"/>
    <w:rsid w:val="004152CC"/>
    <w:rsid w:val="0041688E"/>
    <w:rsid w:val="004170EF"/>
    <w:rsid w:val="00417D28"/>
    <w:rsid w:val="0042093C"/>
    <w:rsid w:val="004212CD"/>
    <w:rsid w:val="004233DD"/>
    <w:rsid w:val="00423F0A"/>
    <w:rsid w:val="00424405"/>
    <w:rsid w:val="00425B25"/>
    <w:rsid w:val="00425D24"/>
    <w:rsid w:val="00426A4D"/>
    <w:rsid w:val="00427687"/>
    <w:rsid w:val="00430C87"/>
    <w:rsid w:val="00433231"/>
    <w:rsid w:val="004334CA"/>
    <w:rsid w:val="0043506A"/>
    <w:rsid w:val="00435830"/>
    <w:rsid w:val="0043619C"/>
    <w:rsid w:val="004445B8"/>
    <w:rsid w:val="0044475D"/>
    <w:rsid w:val="00444D1E"/>
    <w:rsid w:val="0044571A"/>
    <w:rsid w:val="0044705D"/>
    <w:rsid w:val="0045090E"/>
    <w:rsid w:val="004510B8"/>
    <w:rsid w:val="00453E36"/>
    <w:rsid w:val="00457286"/>
    <w:rsid w:val="00460BC2"/>
    <w:rsid w:val="00461FA5"/>
    <w:rsid w:val="00463566"/>
    <w:rsid w:val="00464182"/>
    <w:rsid w:val="00471C52"/>
    <w:rsid w:val="0047460C"/>
    <w:rsid w:val="00474FF2"/>
    <w:rsid w:val="00477429"/>
    <w:rsid w:val="00480098"/>
    <w:rsid w:val="00484211"/>
    <w:rsid w:val="004843AC"/>
    <w:rsid w:val="00484A93"/>
    <w:rsid w:val="004856B9"/>
    <w:rsid w:val="00485B54"/>
    <w:rsid w:val="00485E12"/>
    <w:rsid w:val="004865DA"/>
    <w:rsid w:val="0048779C"/>
    <w:rsid w:val="00487AB7"/>
    <w:rsid w:val="00487ED0"/>
    <w:rsid w:val="00495044"/>
    <w:rsid w:val="00495C98"/>
    <w:rsid w:val="0049682C"/>
    <w:rsid w:val="004A168E"/>
    <w:rsid w:val="004A482A"/>
    <w:rsid w:val="004A4EC7"/>
    <w:rsid w:val="004B0003"/>
    <w:rsid w:val="004C020A"/>
    <w:rsid w:val="004C03A3"/>
    <w:rsid w:val="004C0BF7"/>
    <w:rsid w:val="004C44B8"/>
    <w:rsid w:val="004C705D"/>
    <w:rsid w:val="004C73F4"/>
    <w:rsid w:val="004C7629"/>
    <w:rsid w:val="004D0D5D"/>
    <w:rsid w:val="004D250C"/>
    <w:rsid w:val="004D48B4"/>
    <w:rsid w:val="004E27DD"/>
    <w:rsid w:val="004E3350"/>
    <w:rsid w:val="004E5292"/>
    <w:rsid w:val="004F1C7E"/>
    <w:rsid w:val="004F2C5B"/>
    <w:rsid w:val="004F4178"/>
    <w:rsid w:val="004F641B"/>
    <w:rsid w:val="004F71F3"/>
    <w:rsid w:val="00500D0B"/>
    <w:rsid w:val="005027F0"/>
    <w:rsid w:val="005052FA"/>
    <w:rsid w:val="005069E1"/>
    <w:rsid w:val="005076D6"/>
    <w:rsid w:val="00507E59"/>
    <w:rsid w:val="005122B5"/>
    <w:rsid w:val="0052381C"/>
    <w:rsid w:val="005239D1"/>
    <w:rsid w:val="00523E52"/>
    <w:rsid w:val="005346B3"/>
    <w:rsid w:val="0053551F"/>
    <w:rsid w:val="00537DB3"/>
    <w:rsid w:val="0054051C"/>
    <w:rsid w:val="00543CA2"/>
    <w:rsid w:val="00545686"/>
    <w:rsid w:val="00545FC8"/>
    <w:rsid w:val="00546A84"/>
    <w:rsid w:val="00547BE2"/>
    <w:rsid w:val="0055353D"/>
    <w:rsid w:val="00555B6F"/>
    <w:rsid w:val="005606FD"/>
    <w:rsid w:val="0056187C"/>
    <w:rsid w:val="00562EA6"/>
    <w:rsid w:val="00570350"/>
    <w:rsid w:val="00571656"/>
    <w:rsid w:val="00576B03"/>
    <w:rsid w:val="0058691B"/>
    <w:rsid w:val="00591655"/>
    <w:rsid w:val="00591BEC"/>
    <w:rsid w:val="005940EA"/>
    <w:rsid w:val="00594448"/>
    <w:rsid w:val="005953D8"/>
    <w:rsid w:val="005A09F1"/>
    <w:rsid w:val="005A1D6F"/>
    <w:rsid w:val="005A4D82"/>
    <w:rsid w:val="005A52A6"/>
    <w:rsid w:val="005B0DEC"/>
    <w:rsid w:val="005B368E"/>
    <w:rsid w:val="005B6598"/>
    <w:rsid w:val="005B6E69"/>
    <w:rsid w:val="005C0015"/>
    <w:rsid w:val="005C2BCE"/>
    <w:rsid w:val="005C2CA5"/>
    <w:rsid w:val="005C45EE"/>
    <w:rsid w:val="005C667E"/>
    <w:rsid w:val="005C7062"/>
    <w:rsid w:val="005C7788"/>
    <w:rsid w:val="005D10B9"/>
    <w:rsid w:val="005D18DA"/>
    <w:rsid w:val="005D2868"/>
    <w:rsid w:val="005D6795"/>
    <w:rsid w:val="005E00DC"/>
    <w:rsid w:val="005E3BBC"/>
    <w:rsid w:val="005E3EC6"/>
    <w:rsid w:val="005E4E07"/>
    <w:rsid w:val="005E4E46"/>
    <w:rsid w:val="005E5275"/>
    <w:rsid w:val="005E6CC5"/>
    <w:rsid w:val="005E79F8"/>
    <w:rsid w:val="005E7DC8"/>
    <w:rsid w:val="005E7EC9"/>
    <w:rsid w:val="005F1806"/>
    <w:rsid w:val="005F6EB2"/>
    <w:rsid w:val="005F7087"/>
    <w:rsid w:val="005F7F3B"/>
    <w:rsid w:val="00603B88"/>
    <w:rsid w:val="00611BE4"/>
    <w:rsid w:val="0061219B"/>
    <w:rsid w:val="00612CB5"/>
    <w:rsid w:val="00614081"/>
    <w:rsid w:val="006161F6"/>
    <w:rsid w:val="006162AE"/>
    <w:rsid w:val="00621419"/>
    <w:rsid w:val="00626446"/>
    <w:rsid w:val="00626BE8"/>
    <w:rsid w:val="00632804"/>
    <w:rsid w:val="006370FF"/>
    <w:rsid w:val="006376DA"/>
    <w:rsid w:val="00641972"/>
    <w:rsid w:val="006459DA"/>
    <w:rsid w:val="00647BA8"/>
    <w:rsid w:val="006502E8"/>
    <w:rsid w:val="00650E8B"/>
    <w:rsid w:val="00652D60"/>
    <w:rsid w:val="0065675C"/>
    <w:rsid w:val="006573F2"/>
    <w:rsid w:val="0065793F"/>
    <w:rsid w:val="0066263B"/>
    <w:rsid w:val="00663072"/>
    <w:rsid w:val="0066543D"/>
    <w:rsid w:val="006659E4"/>
    <w:rsid w:val="0066713A"/>
    <w:rsid w:val="006701AB"/>
    <w:rsid w:val="0067195C"/>
    <w:rsid w:val="006724F7"/>
    <w:rsid w:val="00673A6E"/>
    <w:rsid w:val="00673CDC"/>
    <w:rsid w:val="006744EA"/>
    <w:rsid w:val="0067511A"/>
    <w:rsid w:val="0067539B"/>
    <w:rsid w:val="00675543"/>
    <w:rsid w:val="00677194"/>
    <w:rsid w:val="00677396"/>
    <w:rsid w:val="00677AD9"/>
    <w:rsid w:val="00681970"/>
    <w:rsid w:val="00682743"/>
    <w:rsid w:val="00683319"/>
    <w:rsid w:val="00685151"/>
    <w:rsid w:val="00690641"/>
    <w:rsid w:val="00690D88"/>
    <w:rsid w:val="00691844"/>
    <w:rsid w:val="006932C1"/>
    <w:rsid w:val="00693DDF"/>
    <w:rsid w:val="00696F9E"/>
    <w:rsid w:val="006A308B"/>
    <w:rsid w:val="006A374A"/>
    <w:rsid w:val="006A505E"/>
    <w:rsid w:val="006A513E"/>
    <w:rsid w:val="006A5265"/>
    <w:rsid w:val="006B045E"/>
    <w:rsid w:val="006B0CB9"/>
    <w:rsid w:val="006B1EF0"/>
    <w:rsid w:val="006B2609"/>
    <w:rsid w:val="006B2750"/>
    <w:rsid w:val="006B2AB4"/>
    <w:rsid w:val="006B3678"/>
    <w:rsid w:val="006B3C51"/>
    <w:rsid w:val="006B7390"/>
    <w:rsid w:val="006C0084"/>
    <w:rsid w:val="006C107D"/>
    <w:rsid w:val="006C3600"/>
    <w:rsid w:val="006C4534"/>
    <w:rsid w:val="006C4DA3"/>
    <w:rsid w:val="006C5205"/>
    <w:rsid w:val="006C7272"/>
    <w:rsid w:val="006C75F6"/>
    <w:rsid w:val="006D3F53"/>
    <w:rsid w:val="006D60AF"/>
    <w:rsid w:val="006E0A24"/>
    <w:rsid w:val="006E26FF"/>
    <w:rsid w:val="006E3B83"/>
    <w:rsid w:val="006E401F"/>
    <w:rsid w:val="006F5DD6"/>
    <w:rsid w:val="006F6F0B"/>
    <w:rsid w:val="00701651"/>
    <w:rsid w:val="007049BF"/>
    <w:rsid w:val="00704E79"/>
    <w:rsid w:val="00707A26"/>
    <w:rsid w:val="0071120F"/>
    <w:rsid w:val="00716380"/>
    <w:rsid w:val="00717CB2"/>
    <w:rsid w:val="00722165"/>
    <w:rsid w:val="00724B1C"/>
    <w:rsid w:val="00731228"/>
    <w:rsid w:val="00731779"/>
    <w:rsid w:val="00737A08"/>
    <w:rsid w:val="0074250A"/>
    <w:rsid w:val="007428F0"/>
    <w:rsid w:val="00742B05"/>
    <w:rsid w:val="00745919"/>
    <w:rsid w:val="00750E0E"/>
    <w:rsid w:val="007512EF"/>
    <w:rsid w:val="00755055"/>
    <w:rsid w:val="007551AC"/>
    <w:rsid w:val="00755BFF"/>
    <w:rsid w:val="00756247"/>
    <w:rsid w:val="007570A7"/>
    <w:rsid w:val="0076101C"/>
    <w:rsid w:val="007613FF"/>
    <w:rsid w:val="00763D87"/>
    <w:rsid w:val="007670B2"/>
    <w:rsid w:val="00771795"/>
    <w:rsid w:val="0077427C"/>
    <w:rsid w:val="00774925"/>
    <w:rsid w:val="00776D1A"/>
    <w:rsid w:val="00790DD2"/>
    <w:rsid w:val="0079279F"/>
    <w:rsid w:val="00793E69"/>
    <w:rsid w:val="007A063C"/>
    <w:rsid w:val="007A16B0"/>
    <w:rsid w:val="007A19EA"/>
    <w:rsid w:val="007A5AFC"/>
    <w:rsid w:val="007A6092"/>
    <w:rsid w:val="007A60B7"/>
    <w:rsid w:val="007A64A6"/>
    <w:rsid w:val="007A7C89"/>
    <w:rsid w:val="007B1487"/>
    <w:rsid w:val="007B2A43"/>
    <w:rsid w:val="007B326F"/>
    <w:rsid w:val="007B6A58"/>
    <w:rsid w:val="007B6C06"/>
    <w:rsid w:val="007B7B78"/>
    <w:rsid w:val="007C32B1"/>
    <w:rsid w:val="007C67E0"/>
    <w:rsid w:val="007C6887"/>
    <w:rsid w:val="007C7A22"/>
    <w:rsid w:val="007C7C62"/>
    <w:rsid w:val="007D1076"/>
    <w:rsid w:val="007D12B7"/>
    <w:rsid w:val="007D2A49"/>
    <w:rsid w:val="007D5E38"/>
    <w:rsid w:val="007D7AC4"/>
    <w:rsid w:val="007E0340"/>
    <w:rsid w:val="007E141D"/>
    <w:rsid w:val="007E1D4A"/>
    <w:rsid w:val="007E53C0"/>
    <w:rsid w:val="007E7703"/>
    <w:rsid w:val="007E7E5E"/>
    <w:rsid w:val="007F0850"/>
    <w:rsid w:val="007F251D"/>
    <w:rsid w:val="007F4558"/>
    <w:rsid w:val="007F5985"/>
    <w:rsid w:val="007F64DF"/>
    <w:rsid w:val="008050EF"/>
    <w:rsid w:val="0080652C"/>
    <w:rsid w:val="0080715F"/>
    <w:rsid w:val="008113D6"/>
    <w:rsid w:val="008127BF"/>
    <w:rsid w:val="00812BA7"/>
    <w:rsid w:val="00813A87"/>
    <w:rsid w:val="00815F57"/>
    <w:rsid w:val="0081760B"/>
    <w:rsid w:val="0082106B"/>
    <w:rsid w:val="008218AC"/>
    <w:rsid w:val="00822552"/>
    <w:rsid w:val="00822E27"/>
    <w:rsid w:val="00822E51"/>
    <w:rsid w:val="00824B15"/>
    <w:rsid w:val="00825205"/>
    <w:rsid w:val="00825359"/>
    <w:rsid w:val="0082560F"/>
    <w:rsid w:val="00825E13"/>
    <w:rsid w:val="00826F07"/>
    <w:rsid w:val="00827693"/>
    <w:rsid w:val="00830060"/>
    <w:rsid w:val="008319CB"/>
    <w:rsid w:val="008337CB"/>
    <w:rsid w:val="00834A3C"/>
    <w:rsid w:val="00837658"/>
    <w:rsid w:val="00837CD4"/>
    <w:rsid w:val="008400EE"/>
    <w:rsid w:val="00840791"/>
    <w:rsid w:val="00845576"/>
    <w:rsid w:val="00845BE6"/>
    <w:rsid w:val="00850180"/>
    <w:rsid w:val="00850708"/>
    <w:rsid w:val="00851024"/>
    <w:rsid w:val="008526D7"/>
    <w:rsid w:val="0085325C"/>
    <w:rsid w:val="0086238C"/>
    <w:rsid w:val="008655DC"/>
    <w:rsid w:val="0086732D"/>
    <w:rsid w:val="0086763B"/>
    <w:rsid w:val="00870183"/>
    <w:rsid w:val="00875726"/>
    <w:rsid w:val="00877F10"/>
    <w:rsid w:val="0088225D"/>
    <w:rsid w:val="00882F8D"/>
    <w:rsid w:val="00883A46"/>
    <w:rsid w:val="00884FB0"/>
    <w:rsid w:val="008853A5"/>
    <w:rsid w:val="008944DA"/>
    <w:rsid w:val="00894D78"/>
    <w:rsid w:val="00894E2E"/>
    <w:rsid w:val="0089686A"/>
    <w:rsid w:val="008A29B6"/>
    <w:rsid w:val="008A6A18"/>
    <w:rsid w:val="008B033F"/>
    <w:rsid w:val="008B12B5"/>
    <w:rsid w:val="008B4003"/>
    <w:rsid w:val="008B5267"/>
    <w:rsid w:val="008B7443"/>
    <w:rsid w:val="008C179E"/>
    <w:rsid w:val="008C2379"/>
    <w:rsid w:val="008C4FF7"/>
    <w:rsid w:val="008C5C4C"/>
    <w:rsid w:val="008C7056"/>
    <w:rsid w:val="008C706D"/>
    <w:rsid w:val="008D3145"/>
    <w:rsid w:val="008D757F"/>
    <w:rsid w:val="008E0EBD"/>
    <w:rsid w:val="008E1A54"/>
    <w:rsid w:val="008E1F95"/>
    <w:rsid w:val="008E36B6"/>
    <w:rsid w:val="008E4267"/>
    <w:rsid w:val="008E4847"/>
    <w:rsid w:val="008E5FF1"/>
    <w:rsid w:val="008E6204"/>
    <w:rsid w:val="008E63D2"/>
    <w:rsid w:val="008E6E14"/>
    <w:rsid w:val="008E75DD"/>
    <w:rsid w:val="008F13A8"/>
    <w:rsid w:val="008F1528"/>
    <w:rsid w:val="008F1AE5"/>
    <w:rsid w:val="008F4E21"/>
    <w:rsid w:val="008F55D9"/>
    <w:rsid w:val="008F5CC1"/>
    <w:rsid w:val="009057DE"/>
    <w:rsid w:val="00905F97"/>
    <w:rsid w:val="00906FA3"/>
    <w:rsid w:val="00907A36"/>
    <w:rsid w:val="0091239D"/>
    <w:rsid w:val="00912825"/>
    <w:rsid w:val="009129B8"/>
    <w:rsid w:val="00912B99"/>
    <w:rsid w:val="00912C78"/>
    <w:rsid w:val="00913E20"/>
    <w:rsid w:val="0092222A"/>
    <w:rsid w:val="009269A2"/>
    <w:rsid w:val="0093164D"/>
    <w:rsid w:val="009351E9"/>
    <w:rsid w:val="00937862"/>
    <w:rsid w:val="00942279"/>
    <w:rsid w:val="00944C57"/>
    <w:rsid w:val="009524EB"/>
    <w:rsid w:val="00962013"/>
    <w:rsid w:val="00963942"/>
    <w:rsid w:val="00966B48"/>
    <w:rsid w:val="0096716C"/>
    <w:rsid w:val="009672B2"/>
    <w:rsid w:val="00971C66"/>
    <w:rsid w:val="0097634D"/>
    <w:rsid w:val="0098419C"/>
    <w:rsid w:val="009843EF"/>
    <w:rsid w:val="00985E93"/>
    <w:rsid w:val="009867F2"/>
    <w:rsid w:val="00991347"/>
    <w:rsid w:val="00991811"/>
    <w:rsid w:val="00993B1D"/>
    <w:rsid w:val="009957C9"/>
    <w:rsid w:val="00996018"/>
    <w:rsid w:val="0099738E"/>
    <w:rsid w:val="009A07FE"/>
    <w:rsid w:val="009A3291"/>
    <w:rsid w:val="009A385E"/>
    <w:rsid w:val="009A493E"/>
    <w:rsid w:val="009A531F"/>
    <w:rsid w:val="009A59FA"/>
    <w:rsid w:val="009A628F"/>
    <w:rsid w:val="009A6931"/>
    <w:rsid w:val="009B1F9A"/>
    <w:rsid w:val="009B1FA9"/>
    <w:rsid w:val="009B349F"/>
    <w:rsid w:val="009B4293"/>
    <w:rsid w:val="009B6715"/>
    <w:rsid w:val="009C0337"/>
    <w:rsid w:val="009C7B74"/>
    <w:rsid w:val="009D07F8"/>
    <w:rsid w:val="009D0BE2"/>
    <w:rsid w:val="009D114E"/>
    <w:rsid w:val="009D210F"/>
    <w:rsid w:val="009D309C"/>
    <w:rsid w:val="009D37B1"/>
    <w:rsid w:val="009D4717"/>
    <w:rsid w:val="009D694D"/>
    <w:rsid w:val="009D6E89"/>
    <w:rsid w:val="009D75FA"/>
    <w:rsid w:val="009E2350"/>
    <w:rsid w:val="009E264E"/>
    <w:rsid w:val="009E60AE"/>
    <w:rsid w:val="009F0C98"/>
    <w:rsid w:val="009F0F81"/>
    <w:rsid w:val="009F2543"/>
    <w:rsid w:val="009F256D"/>
    <w:rsid w:val="009F341E"/>
    <w:rsid w:val="009F57CE"/>
    <w:rsid w:val="00A013FD"/>
    <w:rsid w:val="00A04384"/>
    <w:rsid w:val="00A117CA"/>
    <w:rsid w:val="00A12225"/>
    <w:rsid w:val="00A14C18"/>
    <w:rsid w:val="00A174D7"/>
    <w:rsid w:val="00A22648"/>
    <w:rsid w:val="00A25898"/>
    <w:rsid w:val="00A3071D"/>
    <w:rsid w:val="00A3182E"/>
    <w:rsid w:val="00A31A89"/>
    <w:rsid w:val="00A32F06"/>
    <w:rsid w:val="00A34934"/>
    <w:rsid w:val="00A34EFE"/>
    <w:rsid w:val="00A36546"/>
    <w:rsid w:val="00A403E1"/>
    <w:rsid w:val="00A4069C"/>
    <w:rsid w:val="00A429CB"/>
    <w:rsid w:val="00A44E87"/>
    <w:rsid w:val="00A5063C"/>
    <w:rsid w:val="00A52749"/>
    <w:rsid w:val="00A5422E"/>
    <w:rsid w:val="00A55CD6"/>
    <w:rsid w:val="00A56EC1"/>
    <w:rsid w:val="00A57628"/>
    <w:rsid w:val="00A6350C"/>
    <w:rsid w:val="00A6370B"/>
    <w:rsid w:val="00A63A73"/>
    <w:rsid w:val="00A64C0C"/>
    <w:rsid w:val="00A6655C"/>
    <w:rsid w:val="00A66CBB"/>
    <w:rsid w:val="00A6704E"/>
    <w:rsid w:val="00A67EA4"/>
    <w:rsid w:val="00A83AA1"/>
    <w:rsid w:val="00A86C3C"/>
    <w:rsid w:val="00A90C56"/>
    <w:rsid w:val="00A91446"/>
    <w:rsid w:val="00A9343A"/>
    <w:rsid w:val="00A9706C"/>
    <w:rsid w:val="00A973F4"/>
    <w:rsid w:val="00A97B34"/>
    <w:rsid w:val="00AA1B5C"/>
    <w:rsid w:val="00AA2482"/>
    <w:rsid w:val="00AA2484"/>
    <w:rsid w:val="00AA7A27"/>
    <w:rsid w:val="00AB3FB0"/>
    <w:rsid w:val="00AB465D"/>
    <w:rsid w:val="00AB6ACD"/>
    <w:rsid w:val="00AC114C"/>
    <w:rsid w:val="00AC1478"/>
    <w:rsid w:val="00AC4FDC"/>
    <w:rsid w:val="00AC6C2D"/>
    <w:rsid w:val="00AC6E17"/>
    <w:rsid w:val="00AD02BE"/>
    <w:rsid w:val="00AD2FF3"/>
    <w:rsid w:val="00AD7764"/>
    <w:rsid w:val="00AD7FE2"/>
    <w:rsid w:val="00AE0DC7"/>
    <w:rsid w:val="00AE1284"/>
    <w:rsid w:val="00AE1B18"/>
    <w:rsid w:val="00AE7339"/>
    <w:rsid w:val="00AF1B0B"/>
    <w:rsid w:val="00AF242C"/>
    <w:rsid w:val="00AF26E0"/>
    <w:rsid w:val="00AF3CC4"/>
    <w:rsid w:val="00AF701D"/>
    <w:rsid w:val="00B05886"/>
    <w:rsid w:val="00B05903"/>
    <w:rsid w:val="00B05B2E"/>
    <w:rsid w:val="00B05DDE"/>
    <w:rsid w:val="00B12C7A"/>
    <w:rsid w:val="00B12E10"/>
    <w:rsid w:val="00B22073"/>
    <w:rsid w:val="00B22BC3"/>
    <w:rsid w:val="00B25865"/>
    <w:rsid w:val="00B272B6"/>
    <w:rsid w:val="00B2771B"/>
    <w:rsid w:val="00B32F2C"/>
    <w:rsid w:val="00B336E9"/>
    <w:rsid w:val="00B33AE5"/>
    <w:rsid w:val="00B34BDD"/>
    <w:rsid w:val="00B35BE5"/>
    <w:rsid w:val="00B3644E"/>
    <w:rsid w:val="00B46965"/>
    <w:rsid w:val="00B511E0"/>
    <w:rsid w:val="00B54ED0"/>
    <w:rsid w:val="00B550DF"/>
    <w:rsid w:val="00B55D47"/>
    <w:rsid w:val="00B6052E"/>
    <w:rsid w:val="00B61340"/>
    <w:rsid w:val="00B61976"/>
    <w:rsid w:val="00B6204E"/>
    <w:rsid w:val="00B62C94"/>
    <w:rsid w:val="00B649EC"/>
    <w:rsid w:val="00B64E2B"/>
    <w:rsid w:val="00B65F4C"/>
    <w:rsid w:val="00B728DD"/>
    <w:rsid w:val="00B72D43"/>
    <w:rsid w:val="00B74121"/>
    <w:rsid w:val="00B81022"/>
    <w:rsid w:val="00B82B6E"/>
    <w:rsid w:val="00B85FF0"/>
    <w:rsid w:val="00B86150"/>
    <w:rsid w:val="00B878F9"/>
    <w:rsid w:val="00B9044A"/>
    <w:rsid w:val="00B915D5"/>
    <w:rsid w:val="00B960F3"/>
    <w:rsid w:val="00B96A31"/>
    <w:rsid w:val="00BA05E6"/>
    <w:rsid w:val="00BA1346"/>
    <w:rsid w:val="00BA21D7"/>
    <w:rsid w:val="00BA51B0"/>
    <w:rsid w:val="00BA6319"/>
    <w:rsid w:val="00BC03B0"/>
    <w:rsid w:val="00BC06A3"/>
    <w:rsid w:val="00BC0CEA"/>
    <w:rsid w:val="00BC17FB"/>
    <w:rsid w:val="00BC2220"/>
    <w:rsid w:val="00BC26B9"/>
    <w:rsid w:val="00BC26FA"/>
    <w:rsid w:val="00BC4E01"/>
    <w:rsid w:val="00BC6AE3"/>
    <w:rsid w:val="00BC73F6"/>
    <w:rsid w:val="00BD1177"/>
    <w:rsid w:val="00BD1374"/>
    <w:rsid w:val="00BD3531"/>
    <w:rsid w:val="00BD4E35"/>
    <w:rsid w:val="00BD5192"/>
    <w:rsid w:val="00BE1A72"/>
    <w:rsid w:val="00BE34CA"/>
    <w:rsid w:val="00BF116A"/>
    <w:rsid w:val="00BF2920"/>
    <w:rsid w:val="00BF30F7"/>
    <w:rsid w:val="00C02213"/>
    <w:rsid w:val="00C03325"/>
    <w:rsid w:val="00C0623C"/>
    <w:rsid w:val="00C06A07"/>
    <w:rsid w:val="00C07E0B"/>
    <w:rsid w:val="00C1074D"/>
    <w:rsid w:val="00C132B6"/>
    <w:rsid w:val="00C1599F"/>
    <w:rsid w:val="00C20BAB"/>
    <w:rsid w:val="00C21A6C"/>
    <w:rsid w:val="00C24A10"/>
    <w:rsid w:val="00C27003"/>
    <w:rsid w:val="00C27597"/>
    <w:rsid w:val="00C30C25"/>
    <w:rsid w:val="00C32BD4"/>
    <w:rsid w:val="00C32D1F"/>
    <w:rsid w:val="00C33E48"/>
    <w:rsid w:val="00C3618B"/>
    <w:rsid w:val="00C403FB"/>
    <w:rsid w:val="00C4316E"/>
    <w:rsid w:val="00C441A2"/>
    <w:rsid w:val="00C5076B"/>
    <w:rsid w:val="00C512D4"/>
    <w:rsid w:val="00C51CF4"/>
    <w:rsid w:val="00C531E2"/>
    <w:rsid w:val="00C55569"/>
    <w:rsid w:val="00C55D0D"/>
    <w:rsid w:val="00C57E34"/>
    <w:rsid w:val="00C64659"/>
    <w:rsid w:val="00C662E9"/>
    <w:rsid w:val="00C66C2D"/>
    <w:rsid w:val="00C66F47"/>
    <w:rsid w:val="00C7190B"/>
    <w:rsid w:val="00C735B7"/>
    <w:rsid w:val="00C74C2A"/>
    <w:rsid w:val="00C76852"/>
    <w:rsid w:val="00C77210"/>
    <w:rsid w:val="00C777FA"/>
    <w:rsid w:val="00C77989"/>
    <w:rsid w:val="00C81E51"/>
    <w:rsid w:val="00C82B0D"/>
    <w:rsid w:val="00C87B73"/>
    <w:rsid w:val="00C87C63"/>
    <w:rsid w:val="00C87FC6"/>
    <w:rsid w:val="00C92444"/>
    <w:rsid w:val="00C92FBB"/>
    <w:rsid w:val="00C93327"/>
    <w:rsid w:val="00C93C13"/>
    <w:rsid w:val="00C93DEA"/>
    <w:rsid w:val="00C97B4D"/>
    <w:rsid w:val="00CA22C2"/>
    <w:rsid w:val="00CA3722"/>
    <w:rsid w:val="00CA4E02"/>
    <w:rsid w:val="00CA5602"/>
    <w:rsid w:val="00CA5CA9"/>
    <w:rsid w:val="00CA78E2"/>
    <w:rsid w:val="00CB1BBE"/>
    <w:rsid w:val="00CB3E89"/>
    <w:rsid w:val="00CB65DB"/>
    <w:rsid w:val="00CB6BD9"/>
    <w:rsid w:val="00CC293A"/>
    <w:rsid w:val="00CD1557"/>
    <w:rsid w:val="00CD5FA4"/>
    <w:rsid w:val="00CE19F6"/>
    <w:rsid w:val="00CE50E3"/>
    <w:rsid w:val="00CF020A"/>
    <w:rsid w:val="00CF366B"/>
    <w:rsid w:val="00CF5D9D"/>
    <w:rsid w:val="00CF606C"/>
    <w:rsid w:val="00CF7423"/>
    <w:rsid w:val="00CF7A70"/>
    <w:rsid w:val="00D001F5"/>
    <w:rsid w:val="00D02C8A"/>
    <w:rsid w:val="00D03E80"/>
    <w:rsid w:val="00D03F61"/>
    <w:rsid w:val="00D15B9F"/>
    <w:rsid w:val="00D15DD6"/>
    <w:rsid w:val="00D16172"/>
    <w:rsid w:val="00D16A83"/>
    <w:rsid w:val="00D24198"/>
    <w:rsid w:val="00D25548"/>
    <w:rsid w:val="00D2601F"/>
    <w:rsid w:val="00D27759"/>
    <w:rsid w:val="00D30028"/>
    <w:rsid w:val="00D325D3"/>
    <w:rsid w:val="00D408D6"/>
    <w:rsid w:val="00D50AF0"/>
    <w:rsid w:val="00D511DD"/>
    <w:rsid w:val="00D52231"/>
    <w:rsid w:val="00D54907"/>
    <w:rsid w:val="00D559CE"/>
    <w:rsid w:val="00D55C2A"/>
    <w:rsid w:val="00D571C1"/>
    <w:rsid w:val="00D602F4"/>
    <w:rsid w:val="00D6457E"/>
    <w:rsid w:val="00D677B3"/>
    <w:rsid w:val="00D742E2"/>
    <w:rsid w:val="00D7580E"/>
    <w:rsid w:val="00D76CAF"/>
    <w:rsid w:val="00D857BA"/>
    <w:rsid w:val="00D85F56"/>
    <w:rsid w:val="00D87DAF"/>
    <w:rsid w:val="00D91E3B"/>
    <w:rsid w:val="00D923FB"/>
    <w:rsid w:val="00D9446D"/>
    <w:rsid w:val="00D96033"/>
    <w:rsid w:val="00D975B4"/>
    <w:rsid w:val="00D97FE2"/>
    <w:rsid w:val="00DA16EA"/>
    <w:rsid w:val="00DA2994"/>
    <w:rsid w:val="00DA3179"/>
    <w:rsid w:val="00DA3D64"/>
    <w:rsid w:val="00DB05DC"/>
    <w:rsid w:val="00DB08E8"/>
    <w:rsid w:val="00DB0DED"/>
    <w:rsid w:val="00DB3073"/>
    <w:rsid w:val="00DB3BA9"/>
    <w:rsid w:val="00DB50FE"/>
    <w:rsid w:val="00DB5EDA"/>
    <w:rsid w:val="00DC2349"/>
    <w:rsid w:val="00DC3026"/>
    <w:rsid w:val="00DC5E9A"/>
    <w:rsid w:val="00DD104F"/>
    <w:rsid w:val="00DD1EDB"/>
    <w:rsid w:val="00DD57AA"/>
    <w:rsid w:val="00DE1578"/>
    <w:rsid w:val="00DE5BE9"/>
    <w:rsid w:val="00DE6556"/>
    <w:rsid w:val="00DE7F67"/>
    <w:rsid w:val="00DF0529"/>
    <w:rsid w:val="00DF0D0F"/>
    <w:rsid w:val="00DF13D6"/>
    <w:rsid w:val="00DF27D2"/>
    <w:rsid w:val="00DF27D6"/>
    <w:rsid w:val="00DF2BEA"/>
    <w:rsid w:val="00DF4488"/>
    <w:rsid w:val="00DF4619"/>
    <w:rsid w:val="00DF5B98"/>
    <w:rsid w:val="00DF6FA8"/>
    <w:rsid w:val="00DF701E"/>
    <w:rsid w:val="00DF7BE5"/>
    <w:rsid w:val="00E00D49"/>
    <w:rsid w:val="00E019A8"/>
    <w:rsid w:val="00E03A46"/>
    <w:rsid w:val="00E03C6D"/>
    <w:rsid w:val="00E0476F"/>
    <w:rsid w:val="00E04899"/>
    <w:rsid w:val="00E0796F"/>
    <w:rsid w:val="00E21E88"/>
    <w:rsid w:val="00E24371"/>
    <w:rsid w:val="00E26641"/>
    <w:rsid w:val="00E2778F"/>
    <w:rsid w:val="00E27881"/>
    <w:rsid w:val="00E33023"/>
    <w:rsid w:val="00E331F3"/>
    <w:rsid w:val="00E34413"/>
    <w:rsid w:val="00E3498D"/>
    <w:rsid w:val="00E41F39"/>
    <w:rsid w:val="00E42425"/>
    <w:rsid w:val="00E43E55"/>
    <w:rsid w:val="00E4554E"/>
    <w:rsid w:val="00E46D22"/>
    <w:rsid w:val="00E4768F"/>
    <w:rsid w:val="00E478C5"/>
    <w:rsid w:val="00E53C0E"/>
    <w:rsid w:val="00E54CB1"/>
    <w:rsid w:val="00E54F7E"/>
    <w:rsid w:val="00E560CE"/>
    <w:rsid w:val="00E5674E"/>
    <w:rsid w:val="00E63783"/>
    <w:rsid w:val="00E650E2"/>
    <w:rsid w:val="00E66809"/>
    <w:rsid w:val="00E678F0"/>
    <w:rsid w:val="00E75CAD"/>
    <w:rsid w:val="00E76010"/>
    <w:rsid w:val="00E76922"/>
    <w:rsid w:val="00E8595B"/>
    <w:rsid w:val="00E86459"/>
    <w:rsid w:val="00E915EC"/>
    <w:rsid w:val="00EA11B1"/>
    <w:rsid w:val="00EA2224"/>
    <w:rsid w:val="00EA51AD"/>
    <w:rsid w:val="00EA7194"/>
    <w:rsid w:val="00EB02F8"/>
    <w:rsid w:val="00EB1329"/>
    <w:rsid w:val="00EB2987"/>
    <w:rsid w:val="00EB2D75"/>
    <w:rsid w:val="00EB34BE"/>
    <w:rsid w:val="00EB43AD"/>
    <w:rsid w:val="00EB571A"/>
    <w:rsid w:val="00EC2804"/>
    <w:rsid w:val="00EC6138"/>
    <w:rsid w:val="00ED1DCF"/>
    <w:rsid w:val="00ED43C9"/>
    <w:rsid w:val="00ED7460"/>
    <w:rsid w:val="00EE26C7"/>
    <w:rsid w:val="00EE2C60"/>
    <w:rsid w:val="00EE2E58"/>
    <w:rsid w:val="00EE487A"/>
    <w:rsid w:val="00EE734C"/>
    <w:rsid w:val="00EF6907"/>
    <w:rsid w:val="00EF6D91"/>
    <w:rsid w:val="00F01F54"/>
    <w:rsid w:val="00F04831"/>
    <w:rsid w:val="00F04975"/>
    <w:rsid w:val="00F04C70"/>
    <w:rsid w:val="00F04D4D"/>
    <w:rsid w:val="00F11DD8"/>
    <w:rsid w:val="00F12745"/>
    <w:rsid w:val="00F13766"/>
    <w:rsid w:val="00F16273"/>
    <w:rsid w:val="00F20A77"/>
    <w:rsid w:val="00F22C60"/>
    <w:rsid w:val="00F231A4"/>
    <w:rsid w:val="00F23252"/>
    <w:rsid w:val="00F27B2A"/>
    <w:rsid w:val="00F27C54"/>
    <w:rsid w:val="00F345D3"/>
    <w:rsid w:val="00F356ED"/>
    <w:rsid w:val="00F35909"/>
    <w:rsid w:val="00F359B5"/>
    <w:rsid w:val="00F35BA9"/>
    <w:rsid w:val="00F37183"/>
    <w:rsid w:val="00F4144F"/>
    <w:rsid w:val="00F433F3"/>
    <w:rsid w:val="00F47F64"/>
    <w:rsid w:val="00F522D9"/>
    <w:rsid w:val="00F52F54"/>
    <w:rsid w:val="00F53584"/>
    <w:rsid w:val="00F53DC2"/>
    <w:rsid w:val="00F5449B"/>
    <w:rsid w:val="00F61B24"/>
    <w:rsid w:val="00F62CED"/>
    <w:rsid w:val="00F62DE5"/>
    <w:rsid w:val="00F63F8A"/>
    <w:rsid w:val="00F703DC"/>
    <w:rsid w:val="00F71D06"/>
    <w:rsid w:val="00F73B46"/>
    <w:rsid w:val="00F73D01"/>
    <w:rsid w:val="00F73DEE"/>
    <w:rsid w:val="00F755FF"/>
    <w:rsid w:val="00F7642B"/>
    <w:rsid w:val="00F76A43"/>
    <w:rsid w:val="00F77753"/>
    <w:rsid w:val="00F80334"/>
    <w:rsid w:val="00F83855"/>
    <w:rsid w:val="00F83DF9"/>
    <w:rsid w:val="00F85DA0"/>
    <w:rsid w:val="00F930AF"/>
    <w:rsid w:val="00F9352C"/>
    <w:rsid w:val="00F93C59"/>
    <w:rsid w:val="00F975B0"/>
    <w:rsid w:val="00F97F74"/>
    <w:rsid w:val="00FA15F1"/>
    <w:rsid w:val="00FA19F5"/>
    <w:rsid w:val="00FA4A69"/>
    <w:rsid w:val="00FA649A"/>
    <w:rsid w:val="00FB1248"/>
    <w:rsid w:val="00FB1FA9"/>
    <w:rsid w:val="00FB208D"/>
    <w:rsid w:val="00FB3CF4"/>
    <w:rsid w:val="00FB4A27"/>
    <w:rsid w:val="00FB4A49"/>
    <w:rsid w:val="00FB69B3"/>
    <w:rsid w:val="00FC6FBE"/>
    <w:rsid w:val="00FD1162"/>
    <w:rsid w:val="00FD2232"/>
    <w:rsid w:val="00FD4AE7"/>
    <w:rsid w:val="00FD65A9"/>
    <w:rsid w:val="00FD7508"/>
    <w:rsid w:val="00FE1E51"/>
    <w:rsid w:val="00FE2496"/>
    <w:rsid w:val="00FE522D"/>
    <w:rsid w:val="00FE6A2B"/>
    <w:rsid w:val="00FE6BD5"/>
    <w:rsid w:val="00FF0275"/>
    <w:rsid w:val="00FF0718"/>
    <w:rsid w:val="00FF07B3"/>
    <w:rsid w:val="00FF1E37"/>
    <w:rsid w:val="00FF2F95"/>
    <w:rsid w:val="00FF5DC8"/>
    <w:rsid w:val="00FF60B1"/>
    <w:rsid w:val="00FF76AA"/>
    <w:rsid w:val="00FF7FE8"/>
    <w:rsid w:val="018A72CD"/>
    <w:rsid w:val="02065A0E"/>
    <w:rsid w:val="03184D14"/>
    <w:rsid w:val="047167AD"/>
    <w:rsid w:val="05096155"/>
    <w:rsid w:val="057F667F"/>
    <w:rsid w:val="05F35EB1"/>
    <w:rsid w:val="060B2501"/>
    <w:rsid w:val="06800748"/>
    <w:rsid w:val="07D225B7"/>
    <w:rsid w:val="083227DE"/>
    <w:rsid w:val="08514D36"/>
    <w:rsid w:val="0A0E6F00"/>
    <w:rsid w:val="0BB93608"/>
    <w:rsid w:val="0CD35730"/>
    <w:rsid w:val="0DED628A"/>
    <w:rsid w:val="0F664892"/>
    <w:rsid w:val="154142A8"/>
    <w:rsid w:val="1A142592"/>
    <w:rsid w:val="1A4726BE"/>
    <w:rsid w:val="1AE9628A"/>
    <w:rsid w:val="1D763E9E"/>
    <w:rsid w:val="1DFECABF"/>
    <w:rsid w:val="1E9AF604"/>
    <w:rsid w:val="1EE0505E"/>
    <w:rsid w:val="1F876502"/>
    <w:rsid w:val="20F24552"/>
    <w:rsid w:val="24BA393E"/>
    <w:rsid w:val="24D416C2"/>
    <w:rsid w:val="259D5313"/>
    <w:rsid w:val="25FF6955"/>
    <w:rsid w:val="287E05C9"/>
    <w:rsid w:val="2BDB1C3E"/>
    <w:rsid w:val="2BF8ED72"/>
    <w:rsid w:val="2D1B5428"/>
    <w:rsid w:val="2D975797"/>
    <w:rsid w:val="2DE5695D"/>
    <w:rsid w:val="2E280150"/>
    <w:rsid w:val="2F0F3757"/>
    <w:rsid w:val="2F7F627E"/>
    <w:rsid w:val="2FAEB24C"/>
    <w:rsid w:val="30501D75"/>
    <w:rsid w:val="30E12EAA"/>
    <w:rsid w:val="32175E75"/>
    <w:rsid w:val="324722C6"/>
    <w:rsid w:val="32C16FA7"/>
    <w:rsid w:val="33EF8D47"/>
    <w:rsid w:val="35DD4B9A"/>
    <w:rsid w:val="377C1BCA"/>
    <w:rsid w:val="379D7BF1"/>
    <w:rsid w:val="39685E4E"/>
    <w:rsid w:val="3B144325"/>
    <w:rsid w:val="3B450839"/>
    <w:rsid w:val="3BFA3D2A"/>
    <w:rsid w:val="3C697295"/>
    <w:rsid w:val="3D6C4D33"/>
    <w:rsid w:val="3D6ECFC1"/>
    <w:rsid w:val="3DFB1FDC"/>
    <w:rsid w:val="3DFF7D81"/>
    <w:rsid w:val="3F4BE94E"/>
    <w:rsid w:val="3F71EA30"/>
    <w:rsid w:val="3F767C7D"/>
    <w:rsid w:val="3F795367"/>
    <w:rsid w:val="3FBF983E"/>
    <w:rsid w:val="3FDFA16A"/>
    <w:rsid w:val="3FFA9122"/>
    <w:rsid w:val="3FFD7173"/>
    <w:rsid w:val="3FFFE0A1"/>
    <w:rsid w:val="428E11C3"/>
    <w:rsid w:val="42B664B1"/>
    <w:rsid w:val="44CC0DD8"/>
    <w:rsid w:val="459D2578"/>
    <w:rsid w:val="475A4878"/>
    <w:rsid w:val="47754593"/>
    <w:rsid w:val="47DD1D11"/>
    <w:rsid w:val="4ACA3B20"/>
    <w:rsid w:val="4B6275E5"/>
    <w:rsid w:val="4B7F0C0E"/>
    <w:rsid w:val="519D5FFB"/>
    <w:rsid w:val="539B45B7"/>
    <w:rsid w:val="53FFE2B4"/>
    <w:rsid w:val="55D97544"/>
    <w:rsid w:val="55DF2758"/>
    <w:rsid w:val="5B6D032A"/>
    <w:rsid w:val="5BBB794C"/>
    <w:rsid w:val="5BBF7438"/>
    <w:rsid w:val="5D8A0E91"/>
    <w:rsid w:val="5EED0441"/>
    <w:rsid w:val="5EEF4F5F"/>
    <w:rsid w:val="5EEFAFCF"/>
    <w:rsid w:val="5F657EE0"/>
    <w:rsid w:val="5FBFC406"/>
    <w:rsid w:val="642E63D6"/>
    <w:rsid w:val="645B5757"/>
    <w:rsid w:val="65B925FD"/>
    <w:rsid w:val="65CD7D3D"/>
    <w:rsid w:val="66CD4200"/>
    <w:rsid w:val="66F43097"/>
    <w:rsid w:val="66FD233F"/>
    <w:rsid w:val="6736CEAE"/>
    <w:rsid w:val="675F542E"/>
    <w:rsid w:val="67EBD1DC"/>
    <w:rsid w:val="67F57B44"/>
    <w:rsid w:val="681478D3"/>
    <w:rsid w:val="696B743E"/>
    <w:rsid w:val="69BF32EE"/>
    <w:rsid w:val="6A4B29EC"/>
    <w:rsid w:val="6B493069"/>
    <w:rsid w:val="6B4D78D4"/>
    <w:rsid w:val="6D79052B"/>
    <w:rsid w:val="6D7F559B"/>
    <w:rsid w:val="6E1FA6D6"/>
    <w:rsid w:val="6E7FD6D3"/>
    <w:rsid w:val="6F076F4D"/>
    <w:rsid w:val="6FDF08D9"/>
    <w:rsid w:val="71A14009"/>
    <w:rsid w:val="737A15D0"/>
    <w:rsid w:val="75FF569D"/>
    <w:rsid w:val="76EE4D1E"/>
    <w:rsid w:val="777F0F6F"/>
    <w:rsid w:val="77DDDD5D"/>
    <w:rsid w:val="77EFFF9E"/>
    <w:rsid w:val="77FB7C35"/>
    <w:rsid w:val="77FF6C6C"/>
    <w:rsid w:val="782671E9"/>
    <w:rsid w:val="79D0272E"/>
    <w:rsid w:val="79F96BDB"/>
    <w:rsid w:val="7A643F25"/>
    <w:rsid w:val="7ABD21FE"/>
    <w:rsid w:val="7C1171DE"/>
    <w:rsid w:val="7C230E18"/>
    <w:rsid w:val="7C2F4847"/>
    <w:rsid w:val="7C3B7417"/>
    <w:rsid w:val="7C3C1FFA"/>
    <w:rsid w:val="7C7F67DC"/>
    <w:rsid w:val="7D08410F"/>
    <w:rsid w:val="7DF1BD1E"/>
    <w:rsid w:val="7E2EDAC8"/>
    <w:rsid w:val="7E37E8E9"/>
    <w:rsid w:val="7E43F278"/>
    <w:rsid w:val="7E6F9F20"/>
    <w:rsid w:val="7EB3A8EF"/>
    <w:rsid w:val="7EE90542"/>
    <w:rsid w:val="7EFB41B7"/>
    <w:rsid w:val="7F7E43F9"/>
    <w:rsid w:val="7FE7F716"/>
    <w:rsid w:val="7FFE23B1"/>
    <w:rsid w:val="7FFF47C3"/>
    <w:rsid w:val="7FFF5D71"/>
    <w:rsid w:val="89F7B741"/>
    <w:rsid w:val="9BFEFD94"/>
    <w:rsid w:val="9C76F647"/>
    <w:rsid w:val="9F5F5149"/>
    <w:rsid w:val="9FF5FEFF"/>
    <w:rsid w:val="9FF9ECF5"/>
    <w:rsid w:val="ABCB3557"/>
    <w:rsid w:val="AFC202CA"/>
    <w:rsid w:val="B4FD92AE"/>
    <w:rsid w:val="B746E155"/>
    <w:rsid w:val="B7DFCB06"/>
    <w:rsid w:val="B7FF6B9D"/>
    <w:rsid w:val="B8F3A5B6"/>
    <w:rsid w:val="B97E9D33"/>
    <w:rsid w:val="BCD6DEC8"/>
    <w:rsid w:val="BD3A40B7"/>
    <w:rsid w:val="BDBF1866"/>
    <w:rsid w:val="BFFE20CF"/>
    <w:rsid w:val="C5BF54C3"/>
    <w:rsid w:val="C92FBF96"/>
    <w:rsid w:val="C9C79795"/>
    <w:rsid w:val="CEBBBDF3"/>
    <w:rsid w:val="D6AEDD1D"/>
    <w:rsid w:val="DA452F7C"/>
    <w:rsid w:val="DBFB7B03"/>
    <w:rsid w:val="DD7B31FD"/>
    <w:rsid w:val="DDAF8169"/>
    <w:rsid w:val="DF1F2E8A"/>
    <w:rsid w:val="DFF03378"/>
    <w:rsid w:val="E699A697"/>
    <w:rsid w:val="E6FD750F"/>
    <w:rsid w:val="EBCE17E2"/>
    <w:rsid w:val="EFDC4D0F"/>
    <w:rsid w:val="EFEDF268"/>
    <w:rsid w:val="EFEEF94B"/>
    <w:rsid w:val="F17A8D01"/>
    <w:rsid w:val="F37F18EC"/>
    <w:rsid w:val="F3E7BDD2"/>
    <w:rsid w:val="F3FCADAA"/>
    <w:rsid w:val="F3FDF007"/>
    <w:rsid w:val="F5BF7FC0"/>
    <w:rsid w:val="F6BEC018"/>
    <w:rsid w:val="F7E4D0C9"/>
    <w:rsid w:val="F7EAE689"/>
    <w:rsid w:val="F7F6F780"/>
    <w:rsid w:val="F7F7C581"/>
    <w:rsid w:val="F97F6078"/>
    <w:rsid w:val="F9E7ABBB"/>
    <w:rsid w:val="F9FDC338"/>
    <w:rsid w:val="FA77ECAE"/>
    <w:rsid w:val="FAAF3A46"/>
    <w:rsid w:val="FABF339B"/>
    <w:rsid w:val="FAF3CBC8"/>
    <w:rsid w:val="FBFB48E6"/>
    <w:rsid w:val="FBFFD18E"/>
    <w:rsid w:val="FCB34507"/>
    <w:rsid w:val="FD6F36FB"/>
    <w:rsid w:val="FDB54DDC"/>
    <w:rsid w:val="FDF5FAB9"/>
    <w:rsid w:val="FDF8B4FC"/>
    <w:rsid w:val="FDFFD4F2"/>
    <w:rsid w:val="FE2F7F35"/>
    <w:rsid w:val="FEDF9424"/>
    <w:rsid w:val="FEF6391F"/>
    <w:rsid w:val="FF3D3DAE"/>
    <w:rsid w:val="FF3F5651"/>
    <w:rsid w:val="FF5ED210"/>
    <w:rsid w:val="FFAB30FF"/>
    <w:rsid w:val="FFBD28DD"/>
    <w:rsid w:val="FFBE927D"/>
    <w:rsid w:val="FFDB6D46"/>
    <w:rsid w:val="FFDD5F2F"/>
    <w:rsid w:val="FFE7659B"/>
    <w:rsid w:val="FFF64280"/>
    <w:rsid w:val="FFFD8F74"/>
    <w:rsid w:val="FFFD95E7"/>
    <w:rsid w:val="FFFFC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Normal Indent"/>
    <w:basedOn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Body Text Indent"/>
    <w:basedOn w:val="1"/>
    <w:link w:val="20"/>
    <w:qFormat/>
    <w:uiPriority w:val="0"/>
    <w:pPr>
      <w:ind w:firstLine="645"/>
    </w:pPr>
    <w:rPr>
      <w:rFonts w:ascii="仿宋_GB2312" w:hAnsi="Calibri" w:eastAsia="仿宋_GB2312"/>
      <w:sz w:val="32"/>
      <w:szCs w:val="32"/>
    </w:rPr>
  </w:style>
  <w:style w:type="paragraph" w:styleId="6">
    <w:name w:val="Block Text"/>
    <w:basedOn w:val="1"/>
    <w:qFormat/>
    <w:uiPriority w:val="0"/>
    <w:pPr>
      <w:spacing w:after="120"/>
      <w:ind w:left="1440" w:leftChars="700" w:right="1440" w:rightChars="700"/>
    </w:pPr>
    <w:rPr>
      <w:rFonts w:ascii="Times New Roman" w:hAnsi="Times New Roman"/>
      <w:szCs w:val="20"/>
    </w:rPr>
  </w:style>
  <w:style w:type="paragraph" w:styleId="7">
    <w:name w:val="Date"/>
    <w:basedOn w:val="1"/>
    <w:next w:val="1"/>
    <w:link w:val="21"/>
    <w:qFormat/>
    <w:uiPriority w:val="0"/>
    <w:pPr>
      <w:ind w:left="100" w:leftChars="2500"/>
    </w:pPr>
  </w:style>
  <w:style w:type="paragraph" w:styleId="8">
    <w:name w:val="Body Text Indent 2"/>
    <w:basedOn w:val="1"/>
    <w:unhideWhenUsed/>
    <w:qFormat/>
    <w:uiPriority w:val="99"/>
    <w:pPr>
      <w:spacing w:after="120" w:line="480" w:lineRule="auto"/>
      <w:ind w:left="420" w:leftChars="200"/>
    </w:pPr>
  </w:style>
  <w:style w:type="paragraph" w:styleId="9">
    <w:name w:val="Balloon Text"/>
    <w:basedOn w:val="1"/>
    <w:link w:val="22"/>
    <w:semiHidden/>
    <w:qFormat/>
    <w:uiPriority w:val="0"/>
    <w:rPr>
      <w:sz w:val="18"/>
      <w:szCs w:val="18"/>
    </w:rPr>
  </w:style>
  <w:style w:type="paragraph" w:styleId="10">
    <w:name w:val="footer"/>
    <w:basedOn w:val="1"/>
    <w:link w:val="23"/>
    <w:qFormat/>
    <w:uiPriority w:val="0"/>
    <w:pPr>
      <w:tabs>
        <w:tab w:val="center" w:pos="4153"/>
        <w:tab w:val="right" w:pos="8306"/>
      </w:tabs>
      <w:snapToGrid w:val="0"/>
      <w:jc w:val="left"/>
    </w:pPr>
    <w:rPr>
      <w:sz w:val="18"/>
      <w:szCs w:val="18"/>
    </w:rPr>
  </w:style>
  <w:style w:type="paragraph" w:styleId="11">
    <w:name w:val="header"/>
    <w:basedOn w:val="1"/>
    <w:link w:val="24"/>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paragraph" w:styleId="13">
    <w:name w:val="Title"/>
    <w:basedOn w:val="1"/>
    <w:next w:val="1"/>
    <w:qFormat/>
    <w:uiPriority w:val="0"/>
    <w:pPr>
      <w:spacing w:before="240" w:after="60"/>
      <w:jc w:val="center"/>
      <w:outlineLvl w:val="0"/>
    </w:pPr>
    <w:rPr>
      <w:rFonts w:ascii="Cambria" w:hAnsi="Cambria" w:cs="Times New Roman"/>
      <w:b/>
      <w:bCs/>
      <w:sz w:val="32"/>
      <w:szCs w:val="32"/>
    </w:rPr>
  </w:style>
  <w:style w:type="paragraph" w:styleId="14">
    <w:name w:val="Body Text First Indent 2"/>
    <w:basedOn w:val="5"/>
    <w:next w:val="4"/>
    <w:qFormat/>
    <w:uiPriority w:val="99"/>
    <w:pPr>
      <w:widowControl w:val="0"/>
      <w:spacing w:after="0" w:line="360" w:lineRule="auto"/>
      <w:ind w:left="0" w:leftChars="0" w:firstLine="420" w:firstLineChars="200"/>
      <w:jc w:val="both"/>
    </w:pPr>
    <w:rPr>
      <w:rFonts w:ascii="楷体_GB2312" w:hAnsi="Calibri" w:eastAsia="楷体_GB2312" w:cs="楷体_GB2312"/>
      <w:kern w:val="2"/>
      <w:sz w:val="36"/>
      <w:szCs w:val="36"/>
      <w:lang w:val="en-US" w:eastAsia="zh-CN" w:bidi="ar-S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rPr>
  </w:style>
  <w:style w:type="character" w:styleId="19">
    <w:name w:val="page number"/>
    <w:qFormat/>
    <w:uiPriority w:val="0"/>
  </w:style>
  <w:style w:type="character" w:customStyle="1" w:styleId="20">
    <w:name w:val="正文文本缩进 Char"/>
    <w:link w:val="5"/>
    <w:qFormat/>
    <w:uiPriority w:val="0"/>
    <w:rPr>
      <w:rFonts w:ascii="仿宋_GB2312" w:hAnsi="Calibri" w:eastAsia="仿宋_GB2312"/>
      <w:kern w:val="2"/>
      <w:sz w:val="32"/>
      <w:szCs w:val="32"/>
    </w:rPr>
  </w:style>
  <w:style w:type="character" w:customStyle="1" w:styleId="21">
    <w:name w:val="日期 Char"/>
    <w:link w:val="7"/>
    <w:qFormat/>
    <w:uiPriority w:val="0"/>
    <w:rPr>
      <w:kern w:val="2"/>
      <w:sz w:val="21"/>
      <w:szCs w:val="24"/>
    </w:rPr>
  </w:style>
  <w:style w:type="character" w:customStyle="1" w:styleId="22">
    <w:name w:val="批注框文本 Char"/>
    <w:link w:val="9"/>
    <w:semiHidden/>
    <w:qFormat/>
    <w:uiPriority w:val="0"/>
    <w:rPr>
      <w:kern w:val="2"/>
      <w:sz w:val="18"/>
      <w:szCs w:val="18"/>
    </w:rPr>
  </w:style>
  <w:style w:type="character" w:customStyle="1" w:styleId="23">
    <w:name w:val="页脚 Char"/>
    <w:link w:val="10"/>
    <w:qFormat/>
    <w:uiPriority w:val="0"/>
    <w:rPr>
      <w:rFonts w:eastAsia="宋体"/>
      <w:kern w:val="2"/>
      <w:sz w:val="18"/>
      <w:szCs w:val="18"/>
      <w:lang w:val="en-US" w:eastAsia="zh-CN" w:bidi="ar-SA"/>
    </w:rPr>
  </w:style>
  <w:style w:type="character" w:customStyle="1" w:styleId="24">
    <w:name w:val="页眉 Char"/>
    <w:link w:val="11"/>
    <w:qFormat/>
    <w:uiPriority w:val="0"/>
    <w:rPr>
      <w:rFonts w:ascii="Calibri" w:hAnsi="Calibri" w:eastAsia="宋体"/>
      <w:kern w:val="2"/>
      <w:sz w:val="18"/>
      <w:szCs w:val="18"/>
      <w:lang w:val="en-US" w:eastAsia="zh-CN" w:bidi="ar-SA"/>
    </w:rPr>
  </w:style>
  <w:style w:type="paragraph" w:customStyle="1" w:styleId="25">
    <w:name w:val=" Char Char Char Char Char Char Char"/>
    <w:basedOn w:val="1"/>
    <w:qFormat/>
    <w:uiPriority w:val="0"/>
    <w:rPr>
      <w:rFonts w:ascii="Tahoma" w:hAnsi="Tahoma"/>
      <w:sz w:val="24"/>
      <w:szCs w:val="20"/>
    </w:rPr>
  </w:style>
  <w:style w:type="paragraph" w:customStyle="1" w:styleId="26">
    <w:name w:val="Char1 Char Char Char"/>
    <w:basedOn w:val="1"/>
    <w:qFormat/>
    <w:uiPriority w:val="0"/>
    <w:pPr>
      <w:widowControl/>
      <w:spacing w:after="160" w:line="240" w:lineRule="exact"/>
      <w:jc w:val="left"/>
    </w:pPr>
    <w:rPr>
      <w:szCs w:val="20"/>
    </w:rPr>
  </w:style>
  <w:style w:type="paragraph" w:customStyle="1" w:styleId="27">
    <w:name w:val="Char"/>
    <w:basedOn w:val="1"/>
    <w:qFormat/>
    <w:uiPriority w:val="0"/>
    <w:rPr>
      <w:rFonts w:ascii="Tahoma" w:hAnsi="Tahoma"/>
      <w:sz w:val="24"/>
      <w:szCs w:val="20"/>
    </w:rPr>
  </w:style>
  <w:style w:type="paragraph" w:customStyle="1" w:styleId="28">
    <w:name w:val="Char Char3 Char Char"/>
    <w:basedOn w:val="1"/>
    <w:qFormat/>
    <w:uiPriority w:val="0"/>
    <w:rPr>
      <w:szCs w:val="21"/>
    </w:rPr>
  </w:style>
  <w:style w:type="paragraph" w:customStyle="1" w:styleId="29">
    <w:name w:val="Char Char Char Char Char Char Char"/>
    <w:basedOn w:val="1"/>
    <w:qFormat/>
    <w:uiPriority w:val="0"/>
    <w:rPr>
      <w:rFonts w:ascii="Tahoma" w:hAnsi="Tahoma"/>
      <w:sz w:val="24"/>
      <w:szCs w:val="20"/>
    </w:rPr>
  </w:style>
  <w:style w:type="character" w:customStyle="1" w:styleId="30">
    <w:name w:val="font31"/>
    <w:basedOn w:val="17"/>
    <w:qFormat/>
    <w:uiPriority w:val="0"/>
    <w:rPr>
      <w:rFonts w:hint="eastAsia" w:ascii="宋体" w:hAnsi="宋体" w:eastAsia="宋体" w:cs="宋体"/>
      <w:color w:val="000000"/>
      <w:sz w:val="18"/>
      <w:szCs w:val="18"/>
      <w:u w:val="none"/>
    </w:rPr>
  </w:style>
  <w:style w:type="character" w:customStyle="1" w:styleId="31">
    <w:name w:val="font11"/>
    <w:basedOn w:val="17"/>
    <w:qFormat/>
    <w:uiPriority w:val="0"/>
    <w:rPr>
      <w:rFonts w:hint="eastAsia" w:ascii="宋体" w:hAnsi="宋体" w:eastAsia="宋体" w:cs="宋体"/>
      <w:color w:val="000000"/>
      <w:sz w:val="13"/>
      <w:szCs w:val="13"/>
      <w:u w:val="none"/>
    </w:rPr>
  </w:style>
  <w:style w:type="character" w:customStyle="1" w:styleId="32">
    <w:name w:val="font41"/>
    <w:basedOn w:val="17"/>
    <w:qFormat/>
    <w:uiPriority w:val="0"/>
    <w:rPr>
      <w:rFonts w:hint="eastAsia" w:ascii="宋体" w:hAnsi="宋体" w:eastAsia="宋体" w:cs="宋体"/>
      <w:color w:val="000000"/>
      <w:sz w:val="18"/>
      <w:szCs w:val="18"/>
      <w:u w:val="none"/>
    </w:rPr>
  </w:style>
  <w:style w:type="character" w:customStyle="1" w:styleId="33">
    <w:name w:val="font21"/>
    <w:basedOn w:val="17"/>
    <w:qFormat/>
    <w:uiPriority w:val="0"/>
    <w:rPr>
      <w:rFonts w:hint="default" w:ascii="Arial" w:hAnsi="Arial" w:cs="Arial"/>
      <w:color w:val="000000"/>
      <w:sz w:val="18"/>
      <w:szCs w:val="18"/>
      <w:u w:val="none"/>
    </w:rPr>
  </w:style>
  <w:style w:type="character" w:customStyle="1" w:styleId="34">
    <w:name w:val="font01"/>
    <w:basedOn w:val="17"/>
    <w:qFormat/>
    <w:uiPriority w:val="0"/>
    <w:rPr>
      <w:rFonts w:hint="eastAsia" w:ascii="宋体" w:hAnsi="宋体" w:eastAsia="宋体" w:cs="宋体"/>
      <w:color w:val="000000"/>
      <w:sz w:val="18"/>
      <w:szCs w:val="18"/>
      <w:u w:val="none"/>
    </w:rPr>
  </w:style>
  <w:style w:type="paragraph" w:customStyle="1" w:styleId="35">
    <w:name w:val="样式1"/>
    <w:basedOn w:val="1"/>
    <w:qFormat/>
    <w:uiPriority w:val="0"/>
    <w:pPr>
      <w:jc w:val="both"/>
    </w:pPr>
    <w:rPr>
      <w:rFonts w:ascii="Times New Roman" w:hAnsi="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2443</Words>
  <Characters>13930</Characters>
  <Lines>116</Lines>
  <Paragraphs>32</Paragraphs>
  <TotalTime>1</TotalTime>
  <ScaleCrop>false</ScaleCrop>
  <LinksUpToDate>false</LinksUpToDate>
  <CharactersWithSpaces>16341</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2017-07-12T23:16:00Z</dcterms:created>
  <dc:creator>常程</dc:creator>
  <cp:lastModifiedBy>user</cp:lastModifiedBy>
  <cp:lastPrinted>2023-08-18T17:26:00Z</cp:lastPrinted>
  <dcterms:modified xsi:type="dcterms:W3CDTF">2024-08-28T15:36:24Z</dcterms:modified>
  <dc:title>北京市财政局关于做好向市人大常委会报送2015年度市级部门决算（草案）</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0D4F129F318078995798CC64417C2BDD</vt:lpwstr>
  </property>
</Properties>
</file>