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一、部门基本情况</w:t>
      </w:r>
    </w:p>
    <w:p>
      <w:pPr>
        <w:spacing w:line="360" w:lineRule="auto"/>
        <w:ind w:firstLine="560" w:firstLineChars="200"/>
        <w:rPr>
          <w:rFonts w:ascii="仿宋_GB2312" w:eastAsia="仿宋_GB2312"/>
          <w:sz w:val="28"/>
          <w:szCs w:val="28"/>
        </w:rPr>
      </w:pPr>
      <w:r>
        <w:rPr>
          <w:rFonts w:hint="eastAsia" w:ascii="仿宋_GB2312" w:eastAsia="仿宋_GB2312"/>
          <w:sz w:val="28"/>
          <w:szCs w:val="28"/>
        </w:rPr>
        <w:t>北京市公安局大兴分局为行政单位，直属1个预算单位，单位情况如下：</w:t>
      </w:r>
    </w:p>
    <w:p>
      <w:pPr>
        <w:spacing w:line="620" w:lineRule="exact"/>
        <w:ind w:firstLine="560" w:firstLineChars="200"/>
        <w:jc w:val="left"/>
        <w:rPr>
          <w:rFonts w:hint="eastAsia" w:ascii="仿宋_GB2312" w:eastAsia="仿宋_GB2312"/>
          <w:sz w:val="28"/>
          <w:szCs w:val="28"/>
          <w:highlight w:val="none"/>
        </w:rPr>
      </w:pPr>
      <w:r>
        <w:rPr>
          <w:rFonts w:hint="eastAsia" w:ascii="仿宋_GB2312" w:eastAsia="仿宋_GB2312"/>
          <w:sz w:val="28"/>
          <w:szCs w:val="28"/>
        </w:rPr>
        <w:t>北京市公安局大兴分局</w:t>
      </w:r>
      <w:r>
        <w:rPr>
          <w:rFonts w:hint="eastAsia" w:ascii="仿宋_GB2312" w:eastAsia="仿宋_GB2312"/>
          <w:sz w:val="28"/>
          <w:szCs w:val="28"/>
          <w:lang w:eastAsia="zh-CN"/>
        </w:rPr>
        <w:t>无</w:t>
      </w:r>
      <w:r>
        <w:rPr>
          <w:rFonts w:hint="eastAsia" w:ascii="仿宋_GB2312" w:eastAsia="仿宋_GB2312"/>
          <w:sz w:val="28"/>
          <w:szCs w:val="28"/>
          <w:highlight w:val="none"/>
        </w:rPr>
        <w:t>独立核算的二级单位，部门预算与单位预算一致。</w:t>
      </w:r>
      <w:r>
        <w:rPr>
          <w:rFonts w:hint="eastAsia" w:ascii="仿宋_GB2312" w:eastAsia="仿宋_GB2312"/>
          <w:sz w:val="28"/>
          <w:szCs w:val="28"/>
          <w:lang w:eastAsia="zh-CN"/>
        </w:rPr>
        <w:t>下设内部机构，为指挥处、政治处、警务保障处、内保大队、纪委、督察大队、刑侦支队、治安支队、人口管理支队</w:t>
      </w:r>
      <w:bookmarkStart w:id="0" w:name="_GoBack"/>
      <w:bookmarkEnd w:id="0"/>
      <w:r>
        <w:rPr>
          <w:rFonts w:hint="eastAsia" w:ascii="仿宋_GB2312" w:eastAsia="仿宋_GB2312"/>
          <w:sz w:val="28"/>
          <w:szCs w:val="28"/>
          <w:lang w:eastAsia="zh-CN"/>
        </w:rPr>
        <w:t>、森林大队、交通及派出所。</w:t>
      </w:r>
      <w:r>
        <w:rPr>
          <w:rFonts w:hint="eastAsia" w:ascii="仿宋_GB2312" w:eastAsia="仿宋_GB2312"/>
          <w:sz w:val="28"/>
          <w:szCs w:val="28"/>
          <w:highlight w:val="none"/>
        </w:rPr>
        <w:t>单位职责为：依法打击各</w:t>
      </w:r>
      <w:r>
        <w:rPr>
          <w:rFonts w:hint="eastAsia" w:ascii="仿宋_GB2312" w:eastAsia="仿宋_GB2312"/>
          <w:sz w:val="28"/>
          <w:szCs w:val="28"/>
          <w:highlight w:val="none"/>
          <w:lang w:eastAsia="zh-CN"/>
        </w:rPr>
        <w:t>类</w:t>
      </w:r>
      <w:r>
        <w:rPr>
          <w:rFonts w:hint="eastAsia" w:ascii="仿宋_GB2312" w:eastAsia="仿宋_GB2312"/>
          <w:sz w:val="28"/>
          <w:szCs w:val="28"/>
          <w:highlight w:val="none"/>
        </w:rPr>
        <w:t>违法犯罪，不断提升人民群众安全感</w:t>
      </w:r>
      <w:r>
        <w:rPr>
          <w:rFonts w:hint="eastAsia" w:ascii="仿宋_GB2312" w:eastAsia="仿宋_GB2312"/>
          <w:sz w:val="28"/>
          <w:szCs w:val="28"/>
          <w:highlight w:val="none"/>
          <w:lang w:eastAsia="zh-CN"/>
        </w:rPr>
        <w:t>；</w:t>
      </w:r>
      <w:r>
        <w:rPr>
          <w:rFonts w:hint="eastAsia" w:ascii="仿宋_GB2312" w:eastAsia="仿宋_GB2312"/>
          <w:sz w:val="28"/>
          <w:szCs w:val="28"/>
          <w:highlight w:val="none"/>
        </w:rPr>
        <w:t>办理户政、出入境证照等有关事务，全面提升行政服务管理水平</w:t>
      </w:r>
      <w:r>
        <w:rPr>
          <w:rFonts w:hint="eastAsia" w:ascii="仿宋_GB2312" w:eastAsia="仿宋_GB2312"/>
          <w:sz w:val="28"/>
          <w:szCs w:val="28"/>
          <w:highlight w:val="none"/>
          <w:lang w:eastAsia="zh-CN"/>
        </w:rPr>
        <w:t>；维护辖区社会面总体治安秩序，护航经济发展</w:t>
      </w:r>
      <w:r>
        <w:rPr>
          <w:rFonts w:hint="eastAsia" w:ascii="仿宋_GB2312" w:eastAsia="仿宋_GB2312"/>
          <w:sz w:val="28"/>
          <w:szCs w:val="28"/>
          <w:highlight w:val="none"/>
        </w:rPr>
        <w:t>。</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223976.08</w:t>
      </w:r>
      <w:r>
        <w:rPr>
          <w:rFonts w:hint="eastAsia" w:ascii="仿宋_GB2312" w:eastAsia="仿宋_GB2312"/>
          <w:sz w:val="28"/>
          <w:szCs w:val="28"/>
        </w:rPr>
        <w:t>万元，</w:t>
      </w:r>
      <w:r>
        <w:rPr>
          <w:rFonts w:ascii="仿宋_GB2312" w:eastAsia="仿宋_GB2312"/>
          <w:sz w:val="28"/>
          <w:szCs w:val="28"/>
        </w:rPr>
        <w:t>增加</w:t>
      </w:r>
      <w:r>
        <w:rPr>
          <w:rFonts w:hint="eastAsia" w:ascii="仿宋_GB2312" w:eastAsia="仿宋_GB2312"/>
          <w:sz w:val="28"/>
          <w:szCs w:val="28"/>
        </w:rPr>
        <w:t>24769.82万元，增长12.43%。</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214945.16</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15738.90万元，增长7.90%。</w:t>
      </w:r>
    </w:p>
    <w:p>
      <w:pPr>
        <w:tabs>
          <w:tab w:val="center" w:pos="6979"/>
        </w:tabs>
        <w:spacing w:line="580" w:lineRule="exact"/>
        <w:ind w:firstLine="570"/>
        <w:rPr>
          <w:rFonts w:hint="eastAsia" w:ascii="仿宋_GB2312" w:eastAsia="仿宋_GB2312"/>
          <w:color w:val="FF0000"/>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203438.2</w:t>
      </w:r>
      <w:r>
        <w:rPr>
          <w:rFonts w:hint="eastAsia" w:ascii="仿宋_GB2312" w:eastAsia="仿宋_GB2312"/>
          <w:sz w:val="28"/>
          <w:szCs w:val="28"/>
          <w:lang w:val="en-US" w:eastAsia="zh-CN"/>
        </w:rPr>
        <w:t>0</w:t>
      </w:r>
      <w:r>
        <w:rPr>
          <w:rFonts w:hint="eastAsia" w:ascii="仿宋_GB2312" w:eastAsia="仿宋_GB2312"/>
          <w:sz w:val="28"/>
          <w:szCs w:val="28"/>
        </w:rPr>
        <w:t>万元，占收入合计的</w:t>
      </w:r>
      <w:r>
        <w:rPr>
          <w:rFonts w:hint="eastAsia" w:ascii="仿宋_GB2312" w:eastAsia="仿宋_GB2312"/>
          <w:sz w:val="28"/>
          <w:szCs w:val="28"/>
          <w:lang w:eastAsia="zh-CN"/>
        </w:rPr>
        <w:t>94.65%。</w:t>
      </w:r>
      <w:r>
        <w:rPr>
          <w:rFonts w:hint="eastAsia" w:ascii="仿宋_GB2312" w:eastAsia="仿宋_GB2312"/>
          <w:sz w:val="28"/>
          <w:szCs w:val="28"/>
        </w:rPr>
        <w:t>其中：一般公共预算财政拨款收入203438.20万元，占收入合计的94.65%；政府性基金预算财政拨款收入0万元，占收入合计的0%；国有资本经营预算财政拨款收入0万元，占收入合计的0%。</w:t>
      </w:r>
    </w:p>
    <w:p>
      <w:pPr>
        <w:numPr>
          <w:ilvl w:val="0"/>
          <w:numId w:val="0"/>
        </w:num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numPr>
          <w:ilvl w:val="0"/>
          <w:numId w:val="0"/>
        </w:num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rPr>
        <w:t>事业收入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4.经营收入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5.附属单位上缴收入</w:t>
      </w:r>
      <w:r>
        <w:rPr>
          <w:rFonts w:ascii="仿宋_GB2312" w:eastAsia="仿宋_GB2312"/>
          <w:sz w:val="28"/>
          <w:szCs w:val="28"/>
          <w:highlight w:val="none"/>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6.其他收入</w:t>
      </w:r>
      <w:r>
        <w:rPr>
          <w:rFonts w:ascii="仿宋_GB2312" w:eastAsia="仿宋_GB2312"/>
          <w:sz w:val="28"/>
          <w:szCs w:val="28"/>
          <w:highlight w:val="none"/>
        </w:rPr>
        <w:t>11506.96</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5.35</w:t>
      </w:r>
      <w:r>
        <w:rPr>
          <w:rFonts w:hint="eastAsia" w:ascii="仿宋_GB2312" w:eastAsia="仿宋_GB2312"/>
          <w:sz w:val="28"/>
          <w:szCs w:val="28"/>
          <w:highlight w:val="none"/>
        </w:rPr>
        <w:t>%。</w:t>
      </w:r>
    </w:p>
    <w:p>
      <w:pPr>
        <w:spacing w:line="560" w:lineRule="exact"/>
        <w:ind w:firstLine="640"/>
        <w:rPr>
          <w:rFonts w:hint="eastAsia" w:ascii="仿宋_GB2312" w:eastAsia="仿宋_GB2312" w:cs="Droid Sans"/>
          <w:color w:val="000000"/>
          <w:sz w:val="32"/>
          <w:szCs w:val="32"/>
          <w:highlight w:val="none"/>
          <w:lang w:eastAsia="zh-CN"/>
        </w:rPr>
      </w:pPr>
      <w:r>
        <w:rPr>
          <w:rFonts w:hint="eastAsia" w:ascii="仿宋_GB2312" w:eastAsia="仿宋_GB2312" w:cs="Droid Sans"/>
          <w:color w:val="000000"/>
          <w:sz w:val="32"/>
          <w:szCs w:val="32"/>
          <w:highlight w:val="none"/>
          <w:lang w:eastAsia="zh-CN"/>
        </w:rPr>
        <w:t>（此处插入图表，用上述</w:t>
      </w:r>
      <w:r>
        <w:rPr>
          <w:rFonts w:hint="eastAsia" w:ascii="仿宋_GB2312" w:eastAsia="仿宋_GB2312" w:cs="Droid Sans"/>
          <w:color w:val="000000"/>
          <w:sz w:val="32"/>
          <w:szCs w:val="32"/>
          <w:highlight w:val="none"/>
          <w:lang w:val="en-US" w:eastAsia="zh-CN"/>
        </w:rPr>
        <w:t>收入</w:t>
      </w:r>
      <w:r>
        <w:rPr>
          <w:rFonts w:hint="eastAsia" w:ascii="仿宋_GB2312" w:eastAsia="仿宋_GB2312" w:cs="Droid Sans"/>
          <w:color w:val="000000"/>
          <w:sz w:val="32"/>
          <w:szCs w:val="32"/>
          <w:highlight w:val="none"/>
          <w:lang w:eastAsia="zh-CN"/>
        </w:rPr>
        <w:t>金额制作饼状图，示例如下，无金额类型不必制图）</w:t>
      </w:r>
    </w:p>
    <w:p>
      <w:pPr>
        <w:pStyle w:val="2"/>
        <w:ind w:firstLine="0"/>
        <w:jc w:val="center"/>
      </w:pPr>
      <w:r>
        <w:rPr>
          <w:rFonts w:hint="eastAsia" w:ascii="仿宋_GB2312" w:eastAsia="仿宋_GB2312"/>
          <w:color w:val="000000"/>
          <w:sz w:val="32"/>
          <w:szCs w:val="32"/>
          <w:highlight w:val="none"/>
          <w:lang w:val="en-US" w:eastAsia="zh-CN"/>
        </w:rPr>
        <w:t>图1：收入决算</w:t>
      </w:r>
    </w:p>
    <w:p>
      <w:pPr>
        <w:pStyle w:val="3"/>
        <w:ind w:firstLine="420"/>
        <w:jc w:val="center"/>
      </w:pPr>
      <w:r>
        <w:drawing>
          <wp:inline distT="0" distB="0" distL="0" distR="0">
            <wp:extent cx="4036695" cy="2328545"/>
            <wp:effectExtent l="4445" t="4445" r="16510" b="10160"/>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223976.08</w:t>
      </w:r>
      <w:r>
        <w:rPr>
          <w:rFonts w:hint="eastAsia" w:ascii="仿宋_GB2312" w:eastAsia="仿宋_GB2312"/>
          <w:sz w:val="28"/>
          <w:szCs w:val="28"/>
        </w:rPr>
        <w:t>万元</w:t>
      </w:r>
      <w:r>
        <w:rPr>
          <w:rFonts w:hint="eastAsia" w:ascii="仿宋_GB2312" w:eastAsia="仿宋_GB2312"/>
          <w:sz w:val="28"/>
          <w:szCs w:val="28"/>
          <w:lang w:val="en-US" w:eastAsia="zh-CN"/>
        </w:rPr>
        <w:t>，</w:t>
      </w:r>
      <w:r>
        <w:rPr>
          <w:rFonts w:ascii="仿宋_GB2312" w:eastAsia="仿宋_GB2312"/>
          <w:sz w:val="28"/>
          <w:szCs w:val="28"/>
        </w:rPr>
        <w:t>比上年增加</w:t>
      </w:r>
      <w:r>
        <w:rPr>
          <w:rFonts w:hint="eastAsia" w:ascii="仿宋_GB2312" w:eastAsia="仿宋_GB2312"/>
          <w:sz w:val="28"/>
          <w:szCs w:val="28"/>
        </w:rPr>
        <w:t>24769.82万元，增长12.43%</w:t>
      </w:r>
      <w:r>
        <w:rPr>
          <w:rFonts w:hint="eastAsia" w:ascii="仿宋_GB2312" w:eastAsia="仿宋_GB2312"/>
          <w:sz w:val="28"/>
          <w:szCs w:val="28"/>
          <w:lang w:val="en-US" w:eastAsia="zh-CN"/>
        </w:rPr>
        <w:t>,</w:t>
      </w:r>
      <w:r>
        <w:rPr>
          <w:rFonts w:hint="eastAsia" w:ascii="仿宋_GB2312" w:eastAsia="仿宋_GB2312"/>
          <w:sz w:val="28"/>
          <w:szCs w:val="28"/>
        </w:rPr>
        <w:t>其中：基本支</w:t>
      </w:r>
      <w:r>
        <w:rPr>
          <w:rFonts w:hint="eastAsia" w:ascii="仿宋_GB2312" w:eastAsia="仿宋_GB2312"/>
          <w:sz w:val="28"/>
          <w:szCs w:val="28"/>
          <w:highlight w:val="none"/>
        </w:rPr>
        <w:t>出</w:t>
      </w:r>
      <w:r>
        <w:rPr>
          <w:rFonts w:ascii="仿宋_GB2312" w:eastAsia="仿宋_GB2312"/>
          <w:sz w:val="28"/>
          <w:szCs w:val="28"/>
          <w:highlight w:val="none"/>
        </w:rPr>
        <w:t>143141.81</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63.91</w:t>
      </w:r>
      <w:r>
        <w:rPr>
          <w:rFonts w:hint="eastAsia" w:ascii="仿宋_GB2312" w:eastAsia="仿宋_GB2312"/>
          <w:sz w:val="28"/>
          <w:szCs w:val="28"/>
          <w:highlight w:val="none"/>
        </w:rPr>
        <w:t>%；项目支出</w:t>
      </w:r>
      <w:r>
        <w:rPr>
          <w:rFonts w:ascii="仿宋_GB2312" w:eastAsia="仿宋_GB2312"/>
          <w:sz w:val="28"/>
          <w:szCs w:val="28"/>
          <w:highlight w:val="none"/>
        </w:rPr>
        <w:t>80834.27</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36.09</w:t>
      </w:r>
      <w:r>
        <w:rPr>
          <w:rFonts w:hint="eastAsia" w:ascii="仿宋_GB2312" w:eastAsia="仿宋_GB2312"/>
          <w:sz w:val="28"/>
          <w:szCs w:val="28"/>
          <w:highlight w:val="none"/>
        </w:rPr>
        <w:t>%;上缴上级支出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%；经营支出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%；对附属单位补助支出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r>
        <w:rPr>
          <w:rFonts w:hint="eastAsia" w:ascii="仿宋_GB2312" w:eastAsia="仿宋_GB2312"/>
          <w:sz w:val="28"/>
          <w:szCs w:val="28"/>
        </w:rPr>
        <w:t>。</w:t>
      </w:r>
    </w:p>
    <w:p>
      <w:pPr>
        <w:spacing w:line="560" w:lineRule="exact"/>
        <w:ind w:firstLine="640"/>
        <w:rPr>
          <w:rFonts w:hint="eastAsia" w:ascii="仿宋_GB2312" w:eastAsia="仿宋_GB2312" w:cs="Droid Sans"/>
          <w:color w:val="000000"/>
          <w:sz w:val="32"/>
          <w:szCs w:val="32"/>
          <w:highlight w:val="none"/>
          <w:lang w:eastAsia="zh-CN"/>
        </w:rPr>
      </w:pPr>
      <w:r>
        <w:rPr>
          <w:rFonts w:hint="eastAsia" w:ascii="仿宋_GB2312" w:eastAsia="仿宋_GB2312" w:cs="Droid Sans"/>
          <w:color w:val="000000"/>
          <w:sz w:val="32"/>
          <w:szCs w:val="32"/>
          <w:highlight w:val="none"/>
          <w:lang w:eastAsia="zh-CN"/>
        </w:rPr>
        <w:t>（此处插入图表，用上述</w:t>
      </w:r>
      <w:r>
        <w:rPr>
          <w:rFonts w:hint="eastAsia" w:ascii="仿宋_GB2312" w:eastAsia="仿宋_GB2312" w:cs="Droid Sans"/>
          <w:color w:val="000000"/>
          <w:sz w:val="32"/>
          <w:szCs w:val="32"/>
          <w:highlight w:val="none"/>
          <w:lang w:val="en-US" w:eastAsia="zh-CN"/>
        </w:rPr>
        <w:t>支出</w:t>
      </w:r>
      <w:r>
        <w:rPr>
          <w:rFonts w:hint="eastAsia" w:ascii="仿宋_GB2312" w:eastAsia="仿宋_GB2312" w:cs="Droid Sans"/>
          <w:color w:val="000000"/>
          <w:sz w:val="32"/>
          <w:szCs w:val="32"/>
          <w:highlight w:val="none"/>
          <w:lang w:eastAsia="zh-CN"/>
        </w:rPr>
        <w:t>金额制作饼状图，示例如下，无金额类型不必制图）</w:t>
      </w:r>
    </w:p>
    <w:p>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color w:val="FF0000"/>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212469.12</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rPr>
        <w:t>30162.34万元，增长16.54%。主要原因：人员经费增长、项目经费中增加流管员预算收</w:t>
      </w:r>
      <w:r>
        <w:rPr>
          <w:rFonts w:hint="eastAsia" w:ascii="仿宋_GB2312" w:eastAsia="仿宋_GB2312"/>
          <w:sz w:val="28"/>
          <w:szCs w:val="28"/>
          <w:lang w:eastAsia="zh-CN"/>
        </w:rPr>
        <w:t>支</w:t>
      </w:r>
      <w:r>
        <w:rPr>
          <w:rFonts w:hint="eastAsia" w:ascii="仿宋_GB2312" w:eastAsia="仿宋_GB2312"/>
          <w:sz w:val="28"/>
          <w:szCs w:val="28"/>
        </w:rPr>
        <w:t>导致。</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color w:val="FF0000"/>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212469.12</w:t>
      </w:r>
      <w:r>
        <w:rPr>
          <w:rFonts w:hint="eastAsia" w:ascii="仿宋_GB2312" w:eastAsia="仿宋_GB2312"/>
          <w:sz w:val="28"/>
          <w:szCs w:val="28"/>
        </w:rPr>
        <w:t>万元，主要用于以下方面（按大类）：一般公共服务支出14.97万元，占本年财政拨款支出0.01%； 公共安全支出179497.61万元，占本年财政拨款支出84.48%；社会保障和就业支出13039.95万元，占本年财政拨款支出6.14%；卫生健康支出10885.67万元，占本年财政拨款支出5.12%；住房保障支出9030.92万元，占本年财政拨款支出4.25%。</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1、“一般公共服务支出”（类）2024年度年初预算</w:t>
      </w:r>
      <w:r>
        <w:rPr>
          <w:rFonts w:hint="eastAsia" w:ascii="仿宋_GB2312" w:eastAsia="仿宋_GB2312"/>
          <w:sz w:val="28"/>
          <w:szCs w:val="28"/>
          <w:lang w:val="en-US" w:eastAsia="zh-CN"/>
        </w:rPr>
        <w:t>15.00</w:t>
      </w:r>
      <w:r>
        <w:rPr>
          <w:rFonts w:hint="eastAsia" w:ascii="仿宋_GB2312" w:eastAsia="仿宋_GB2312"/>
          <w:sz w:val="28"/>
          <w:szCs w:val="28"/>
        </w:rPr>
        <w:t>万元，2024年度决算14.97万元，</w:t>
      </w:r>
      <w:r>
        <w:rPr>
          <w:rFonts w:hint="eastAsia" w:ascii="仿宋_GB2312" w:eastAsia="仿宋_GB2312"/>
          <w:color w:val="auto"/>
          <w:sz w:val="28"/>
          <w:szCs w:val="28"/>
          <w:lang w:eastAsia="zh-CN"/>
        </w:rPr>
        <w:t>完成年初预算的</w:t>
      </w:r>
      <w:r>
        <w:rPr>
          <w:rFonts w:hint="eastAsia" w:ascii="仿宋_GB2312" w:eastAsia="仿宋_GB2312"/>
          <w:sz w:val="28"/>
          <w:szCs w:val="28"/>
          <w:lang w:val="en-US" w:eastAsia="zh-CN"/>
        </w:rPr>
        <w:t>99.80</w:t>
      </w:r>
      <w:r>
        <w:rPr>
          <w:rFonts w:hint="eastAsia" w:ascii="仿宋_GB2312" w:eastAsia="仿宋_GB2312"/>
          <w:sz w:val="28"/>
          <w:szCs w:val="28"/>
        </w:rPr>
        <w:t>%。其中：</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“其他共产党事务支出”（款，下同）2024年度年初预算</w:t>
      </w:r>
      <w:r>
        <w:rPr>
          <w:rFonts w:hint="eastAsia" w:ascii="仿宋_GB2312" w:eastAsia="仿宋_GB2312"/>
          <w:sz w:val="28"/>
          <w:szCs w:val="28"/>
          <w:lang w:val="en-US" w:eastAsia="zh-CN"/>
        </w:rPr>
        <w:t>15.00</w:t>
      </w:r>
      <w:r>
        <w:rPr>
          <w:rFonts w:hint="eastAsia" w:ascii="仿宋_GB2312" w:eastAsia="仿宋_GB2312"/>
          <w:sz w:val="28"/>
          <w:szCs w:val="28"/>
        </w:rPr>
        <w:t>万元，2024年度决算14.97万元，</w:t>
      </w:r>
      <w:r>
        <w:rPr>
          <w:rFonts w:hint="eastAsia" w:ascii="仿宋_GB2312" w:eastAsia="仿宋_GB2312"/>
          <w:color w:val="auto"/>
          <w:sz w:val="28"/>
          <w:szCs w:val="28"/>
          <w:lang w:eastAsia="zh-CN"/>
        </w:rPr>
        <w:t>完成年初预算的</w:t>
      </w:r>
      <w:r>
        <w:rPr>
          <w:rFonts w:hint="eastAsia" w:ascii="仿宋_GB2312" w:eastAsia="仿宋_GB2312"/>
          <w:sz w:val="28"/>
          <w:szCs w:val="28"/>
          <w:lang w:val="en-US" w:eastAsia="zh-CN"/>
        </w:rPr>
        <w:t>99.80</w:t>
      </w:r>
      <w:r>
        <w:rPr>
          <w:rFonts w:hint="eastAsia" w:ascii="仿宋_GB2312" w:eastAsia="仿宋_GB2312"/>
          <w:sz w:val="28"/>
          <w:szCs w:val="28"/>
        </w:rPr>
        <w:t>%。主要原因：业务事项年底发生，未能及时结算。</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2、“公共安全支出”(类) 2024年度年初预算</w:t>
      </w:r>
      <w:r>
        <w:rPr>
          <w:rFonts w:hint="eastAsia" w:ascii="仿宋_GB2312" w:eastAsia="仿宋_GB2312"/>
          <w:sz w:val="28"/>
          <w:szCs w:val="28"/>
          <w:lang w:val="en-US" w:eastAsia="zh-CN"/>
        </w:rPr>
        <w:t>171852.52</w:t>
      </w:r>
      <w:r>
        <w:rPr>
          <w:rFonts w:hint="eastAsia" w:ascii="仿宋_GB2312" w:eastAsia="仿宋_GB2312"/>
          <w:sz w:val="28"/>
          <w:szCs w:val="28"/>
        </w:rPr>
        <w:t>万元，2024年度决算179497.61万元，</w:t>
      </w:r>
      <w:r>
        <w:rPr>
          <w:rFonts w:hint="eastAsia" w:ascii="仿宋_GB2312" w:eastAsia="仿宋_GB2312"/>
          <w:color w:val="auto"/>
          <w:sz w:val="28"/>
          <w:szCs w:val="28"/>
          <w:lang w:eastAsia="zh-CN"/>
        </w:rPr>
        <w:t>完成年初预算的</w:t>
      </w:r>
      <w:r>
        <w:rPr>
          <w:rFonts w:hint="eastAsia" w:ascii="仿宋_GB2312" w:eastAsia="仿宋_GB2312"/>
          <w:sz w:val="28"/>
          <w:szCs w:val="28"/>
          <w:lang w:val="en-US" w:eastAsia="zh-CN"/>
        </w:rPr>
        <w:t>104.45</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“公安”（款） 2024年度年初预算</w:t>
      </w:r>
      <w:r>
        <w:rPr>
          <w:rFonts w:hint="eastAsia" w:ascii="仿宋_GB2312" w:eastAsia="仿宋_GB2312"/>
          <w:sz w:val="28"/>
          <w:szCs w:val="28"/>
          <w:lang w:val="en-US" w:eastAsia="zh-CN"/>
        </w:rPr>
        <w:t>171852.52</w:t>
      </w:r>
      <w:r>
        <w:rPr>
          <w:rFonts w:hint="eastAsia" w:ascii="仿宋_GB2312" w:eastAsia="仿宋_GB2312"/>
          <w:sz w:val="28"/>
          <w:szCs w:val="28"/>
        </w:rPr>
        <w:t>万元，2024年度决算179497.61万元，</w:t>
      </w:r>
      <w:r>
        <w:rPr>
          <w:rFonts w:hint="eastAsia" w:ascii="仿宋_GB2312" w:eastAsia="仿宋_GB2312"/>
          <w:color w:val="auto"/>
          <w:sz w:val="28"/>
          <w:szCs w:val="28"/>
          <w:lang w:eastAsia="zh-CN"/>
        </w:rPr>
        <w:t>完成年初预算的</w:t>
      </w:r>
      <w:r>
        <w:rPr>
          <w:rFonts w:hint="eastAsia" w:ascii="仿宋_GB2312" w:eastAsia="仿宋_GB2312"/>
          <w:sz w:val="28"/>
          <w:szCs w:val="28"/>
          <w:lang w:val="en-US" w:eastAsia="zh-CN"/>
        </w:rPr>
        <w:t>104.45</w:t>
      </w:r>
      <w:r>
        <w:rPr>
          <w:rFonts w:hint="eastAsia" w:ascii="仿宋_GB2312" w:eastAsia="仿宋_GB2312"/>
          <w:sz w:val="28"/>
          <w:szCs w:val="28"/>
        </w:rPr>
        <w:t>%。主要原因：追加转移支付资金，人员经费追加等导致。</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3</w:t>
      </w:r>
      <w:r>
        <w:rPr>
          <w:rFonts w:hint="eastAsia" w:ascii="仿宋_GB2312" w:eastAsia="仿宋_GB2312"/>
          <w:sz w:val="28"/>
          <w:szCs w:val="28"/>
          <w:lang w:eastAsia="zh-CN"/>
        </w:rPr>
        <w:t>、</w:t>
      </w:r>
      <w:r>
        <w:rPr>
          <w:rFonts w:hint="eastAsia" w:ascii="仿宋_GB2312" w:eastAsia="仿宋_GB2312"/>
          <w:sz w:val="28"/>
          <w:szCs w:val="28"/>
        </w:rPr>
        <w:t>“社会保障和就业支出”(类)2024年度年初预算</w:t>
      </w:r>
      <w:r>
        <w:rPr>
          <w:rFonts w:hint="eastAsia" w:ascii="仿宋_GB2312" w:eastAsia="仿宋_GB2312"/>
          <w:sz w:val="28"/>
          <w:szCs w:val="28"/>
          <w:lang w:val="en-US" w:eastAsia="zh-CN"/>
        </w:rPr>
        <w:t>13483.97</w:t>
      </w:r>
      <w:r>
        <w:rPr>
          <w:rFonts w:hint="eastAsia" w:ascii="仿宋_GB2312" w:eastAsia="仿宋_GB2312"/>
          <w:sz w:val="28"/>
          <w:szCs w:val="28"/>
        </w:rPr>
        <w:t>万元</w:t>
      </w:r>
      <w:r>
        <w:rPr>
          <w:rFonts w:hint="eastAsia" w:ascii="仿宋_GB2312" w:eastAsia="仿宋_GB2312"/>
          <w:sz w:val="28"/>
          <w:szCs w:val="28"/>
          <w:lang w:eastAsia="zh-CN"/>
        </w:rPr>
        <w:t>，</w:t>
      </w:r>
      <w:r>
        <w:rPr>
          <w:rFonts w:hint="eastAsia" w:ascii="仿宋_GB2312" w:eastAsia="仿宋_GB2312"/>
          <w:sz w:val="28"/>
          <w:szCs w:val="28"/>
        </w:rPr>
        <w:t>2024年度决算13039.95万元，</w:t>
      </w:r>
      <w:r>
        <w:rPr>
          <w:rFonts w:hint="eastAsia" w:ascii="仿宋_GB2312" w:eastAsia="仿宋_GB2312"/>
          <w:color w:val="auto"/>
          <w:sz w:val="28"/>
          <w:szCs w:val="28"/>
          <w:lang w:eastAsia="zh-CN"/>
        </w:rPr>
        <w:t>完成年初预算的</w:t>
      </w:r>
      <w:r>
        <w:rPr>
          <w:rFonts w:hint="eastAsia" w:ascii="仿宋_GB2312" w:eastAsia="仿宋_GB2312"/>
          <w:color w:val="auto"/>
          <w:sz w:val="28"/>
          <w:szCs w:val="28"/>
          <w:lang w:val="en-US" w:eastAsia="zh-CN"/>
        </w:rPr>
        <w:t>96.71</w:t>
      </w:r>
      <w:r>
        <w:rPr>
          <w:rFonts w:hint="eastAsia" w:ascii="仿宋_GB2312" w:eastAsia="仿宋_GB2312"/>
          <w:sz w:val="28"/>
          <w:szCs w:val="28"/>
        </w:rPr>
        <w:t>%。其中：</w:t>
      </w:r>
    </w:p>
    <w:p>
      <w:pPr>
        <w:spacing w:line="580" w:lineRule="exact"/>
        <w:ind w:firstLine="560" w:firstLineChars="200"/>
        <w:rPr>
          <w:rFonts w:hint="eastAsia" w:ascii="仿宋_GB2312" w:eastAsia="仿宋_GB2312"/>
          <w:color w:val="FF0000"/>
          <w:sz w:val="28"/>
          <w:szCs w:val="28"/>
        </w:rPr>
      </w:pPr>
      <w:r>
        <w:rPr>
          <w:rFonts w:hint="eastAsia" w:ascii="仿宋_GB2312" w:eastAsia="仿宋_GB2312"/>
          <w:sz w:val="28"/>
          <w:szCs w:val="28"/>
        </w:rPr>
        <w:t>“行政事业单位养老支出”(款) 2024年度年初预算</w:t>
      </w:r>
      <w:r>
        <w:rPr>
          <w:rFonts w:hint="eastAsia" w:ascii="仿宋_GB2312" w:eastAsia="仿宋_GB2312"/>
          <w:sz w:val="28"/>
          <w:szCs w:val="28"/>
          <w:lang w:val="en-US" w:eastAsia="zh-CN"/>
        </w:rPr>
        <w:t>13483.97</w:t>
      </w:r>
      <w:r>
        <w:rPr>
          <w:rFonts w:hint="eastAsia" w:ascii="仿宋_GB2312" w:eastAsia="仿宋_GB2312"/>
          <w:sz w:val="28"/>
          <w:szCs w:val="28"/>
        </w:rPr>
        <w:t>万元，2024年度决算13039.95万元，</w:t>
      </w:r>
      <w:r>
        <w:rPr>
          <w:rFonts w:hint="eastAsia" w:ascii="仿宋_GB2312" w:eastAsia="仿宋_GB2312"/>
          <w:color w:val="auto"/>
          <w:sz w:val="28"/>
          <w:szCs w:val="28"/>
          <w:lang w:eastAsia="zh-CN"/>
        </w:rPr>
        <w:t>完成年初预算的</w:t>
      </w:r>
      <w:r>
        <w:rPr>
          <w:rFonts w:hint="eastAsia" w:ascii="仿宋_GB2312" w:eastAsia="仿宋_GB2312"/>
          <w:color w:val="auto"/>
          <w:sz w:val="28"/>
          <w:szCs w:val="28"/>
          <w:lang w:val="en-US" w:eastAsia="zh-CN"/>
        </w:rPr>
        <w:t>96.71</w:t>
      </w:r>
      <w:r>
        <w:rPr>
          <w:rFonts w:hint="eastAsia" w:ascii="仿宋_GB2312" w:eastAsia="仿宋_GB2312"/>
          <w:sz w:val="28"/>
          <w:szCs w:val="28"/>
        </w:rPr>
        <w:t>%。主要原因： 人员减少，退休人员增加导致。</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4</w:t>
      </w:r>
      <w:r>
        <w:rPr>
          <w:rFonts w:hint="eastAsia" w:ascii="仿宋_GB2312" w:eastAsia="仿宋_GB2312"/>
          <w:sz w:val="28"/>
          <w:szCs w:val="28"/>
          <w:lang w:eastAsia="zh-CN"/>
        </w:rPr>
        <w:t>、</w:t>
      </w:r>
      <w:r>
        <w:rPr>
          <w:rFonts w:hint="eastAsia" w:ascii="仿宋_GB2312" w:eastAsia="仿宋_GB2312"/>
          <w:sz w:val="28"/>
          <w:szCs w:val="28"/>
        </w:rPr>
        <w:t>“卫生健康支出”(类) 2024年度年初预算</w:t>
      </w:r>
      <w:r>
        <w:rPr>
          <w:rFonts w:hint="eastAsia" w:ascii="仿宋_GB2312" w:eastAsia="仿宋_GB2312"/>
          <w:sz w:val="28"/>
          <w:szCs w:val="28"/>
          <w:lang w:val="en-US" w:eastAsia="zh-CN"/>
        </w:rPr>
        <w:t>11317.57</w:t>
      </w:r>
      <w:r>
        <w:rPr>
          <w:rFonts w:hint="eastAsia" w:ascii="仿宋_GB2312" w:eastAsia="仿宋_GB2312"/>
          <w:sz w:val="28"/>
          <w:szCs w:val="28"/>
        </w:rPr>
        <w:t>万元，2024年度决算10885.67万元，</w:t>
      </w:r>
      <w:r>
        <w:rPr>
          <w:rFonts w:hint="eastAsia" w:ascii="仿宋_GB2312" w:eastAsia="仿宋_GB2312"/>
          <w:color w:val="auto"/>
          <w:sz w:val="28"/>
          <w:szCs w:val="28"/>
          <w:lang w:eastAsia="zh-CN"/>
        </w:rPr>
        <w:t>完成年初预算的</w:t>
      </w:r>
      <w:r>
        <w:rPr>
          <w:rFonts w:hint="eastAsia" w:ascii="仿宋_GB2312" w:eastAsia="仿宋_GB2312"/>
          <w:color w:val="auto"/>
          <w:sz w:val="28"/>
          <w:szCs w:val="28"/>
          <w:lang w:val="en-US" w:eastAsia="zh-CN"/>
        </w:rPr>
        <w:t>96.18</w:t>
      </w:r>
      <w:r>
        <w:rPr>
          <w:rFonts w:hint="eastAsia" w:ascii="仿宋_GB2312" w:eastAsia="仿宋_GB2312"/>
          <w:sz w:val="28"/>
          <w:szCs w:val="28"/>
        </w:rPr>
        <w:t>%。其中：</w:t>
      </w:r>
    </w:p>
    <w:p>
      <w:pPr>
        <w:spacing w:line="580" w:lineRule="exact"/>
        <w:ind w:firstLine="700" w:firstLineChars="250"/>
        <w:rPr>
          <w:rFonts w:hint="eastAsia" w:ascii="仿宋_GB2312" w:eastAsia="仿宋_GB2312"/>
          <w:sz w:val="28"/>
          <w:szCs w:val="28"/>
        </w:rPr>
      </w:pPr>
      <w:r>
        <w:rPr>
          <w:rFonts w:hint="eastAsia" w:ascii="仿宋_GB2312" w:eastAsia="仿宋_GB2312"/>
          <w:sz w:val="28"/>
          <w:szCs w:val="28"/>
        </w:rPr>
        <w:t>“公共卫生”(款) 2024年度年初预算</w:t>
      </w:r>
      <w:r>
        <w:rPr>
          <w:rFonts w:hint="eastAsia" w:ascii="仿宋_GB2312" w:eastAsia="仿宋_GB2312"/>
          <w:sz w:val="28"/>
          <w:szCs w:val="28"/>
          <w:lang w:val="en-US" w:eastAsia="zh-CN"/>
        </w:rPr>
        <w:t>0</w:t>
      </w:r>
      <w:r>
        <w:rPr>
          <w:rFonts w:hint="eastAsia" w:ascii="仿宋_GB2312" w:eastAsia="仿宋_GB2312"/>
          <w:sz w:val="28"/>
          <w:szCs w:val="28"/>
        </w:rPr>
        <w:t>万元，2024年度决算0.02万元</w:t>
      </w:r>
      <w:r>
        <w:rPr>
          <w:rFonts w:hint="eastAsia" w:ascii="仿宋_GB2312" w:eastAsia="仿宋_GB2312"/>
          <w:sz w:val="28"/>
          <w:szCs w:val="28"/>
          <w:lang w:eastAsia="zh-CN"/>
        </w:rPr>
        <w:t>。</w:t>
      </w:r>
      <w:r>
        <w:rPr>
          <w:rFonts w:hint="eastAsia" w:ascii="仿宋_GB2312" w:eastAsia="仿宋_GB2312"/>
          <w:sz w:val="28"/>
          <w:szCs w:val="28"/>
        </w:rPr>
        <w:t>主要原因：卫计部门经费结算。</w:t>
      </w:r>
    </w:p>
    <w:p>
      <w:pPr>
        <w:spacing w:line="580" w:lineRule="exact"/>
        <w:ind w:firstLine="560" w:firstLineChars="200"/>
        <w:rPr>
          <w:rFonts w:hint="eastAsia" w:ascii="仿宋_GB2312" w:eastAsia="仿宋_GB2312"/>
          <w:color w:val="FF0000"/>
          <w:sz w:val="28"/>
          <w:szCs w:val="28"/>
        </w:rPr>
      </w:pPr>
      <w:r>
        <w:rPr>
          <w:rFonts w:hint="eastAsia" w:ascii="仿宋_GB2312" w:eastAsia="仿宋_GB2312"/>
          <w:sz w:val="28"/>
          <w:szCs w:val="28"/>
        </w:rPr>
        <w:t xml:space="preserve"> “行政事业单位医疗”(款) 2024年度年初预算</w:t>
      </w:r>
      <w:r>
        <w:rPr>
          <w:rFonts w:hint="eastAsia" w:ascii="仿宋_GB2312" w:eastAsia="仿宋_GB2312"/>
          <w:sz w:val="28"/>
          <w:szCs w:val="28"/>
          <w:lang w:val="en-US" w:eastAsia="zh-CN"/>
        </w:rPr>
        <w:t>11317.57</w:t>
      </w:r>
      <w:r>
        <w:rPr>
          <w:rFonts w:hint="eastAsia" w:ascii="仿宋_GB2312" w:eastAsia="仿宋_GB2312"/>
          <w:sz w:val="28"/>
          <w:szCs w:val="28"/>
        </w:rPr>
        <w:t>万元，2024年度决算10885.65万元，</w:t>
      </w:r>
      <w:r>
        <w:rPr>
          <w:rFonts w:hint="eastAsia" w:ascii="仿宋_GB2312" w:eastAsia="仿宋_GB2312"/>
          <w:color w:val="auto"/>
          <w:sz w:val="28"/>
          <w:szCs w:val="28"/>
          <w:lang w:eastAsia="zh-CN"/>
        </w:rPr>
        <w:t>完成年初预算的</w:t>
      </w:r>
      <w:r>
        <w:rPr>
          <w:rFonts w:hint="eastAsia" w:ascii="仿宋_GB2312" w:eastAsia="仿宋_GB2312"/>
          <w:color w:val="auto"/>
          <w:sz w:val="28"/>
          <w:szCs w:val="28"/>
          <w:lang w:val="en-US" w:eastAsia="zh-CN"/>
        </w:rPr>
        <w:t>96.18</w:t>
      </w:r>
      <w:r>
        <w:rPr>
          <w:rFonts w:hint="eastAsia" w:ascii="仿宋_GB2312" w:eastAsia="仿宋_GB2312"/>
          <w:sz w:val="28"/>
          <w:szCs w:val="28"/>
        </w:rPr>
        <w:t>%。主要原因：人员减少，退休人员增加导致。</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5</w:t>
      </w:r>
      <w:r>
        <w:rPr>
          <w:rFonts w:hint="eastAsia" w:ascii="仿宋_GB2312" w:eastAsia="仿宋_GB2312"/>
          <w:sz w:val="28"/>
          <w:szCs w:val="28"/>
          <w:lang w:eastAsia="zh-CN"/>
        </w:rPr>
        <w:t>、</w:t>
      </w:r>
      <w:r>
        <w:rPr>
          <w:rFonts w:hint="eastAsia" w:ascii="仿宋_GB2312" w:eastAsia="仿宋_GB2312"/>
          <w:sz w:val="28"/>
          <w:szCs w:val="28"/>
        </w:rPr>
        <w:t>“住房保障支出”(类) 2024年度年初预算</w:t>
      </w:r>
      <w:r>
        <w:rPr>
          <w:rFonts w:hint="eastAsia" w:ascii="仿宋_GB2312" w:eastAsia="仿宋_GB2312"/>
          <w:sz w:val="28"/>
          <w:szCs w:val="28"/>
          <w:lang w:val="en-US" w:eastAsia="zh-CN"/>
        </w:rPr>
        <w:t>0</w:t>
      </w:r>
      <w:r>
        <w:rPr>
          <w:rFonts w:hint="eastAsia" w:ascii="仿宋_GB2312" w:eastAsia="仿宋_GB2312"/>
          <w:sz w:val="28"/>
          <w:szCs w:val="28"/>
        </w:rPr>
        <w:t>万元，2024年度决算9030.92万元</w:t>
      </w:r>
      <w:r>
        <w:rPr>
          <w:rFonts w:hint="eastAsia" w:ascii="仿宋_GB2312" w:eastAsia="仿宋_GB2312"/>
          <w:sz w:val="28"/>
          <w:szCs w:val="28"/>
          <w:lang w:eastAsia="zh-CN"/>
        </w:rPr>
        <w:t>。</w:t>
      </w:r>
      <w:r>
        <w:rPr>
          <w:rFonts w:hint="eastAsia" w:ascii="仿宋_GB2312" w:eastAsia="仿宋_GB2312"/>
          <w:sz w:val="28"/>
          <w:szCs w:val="28"/>
        </w:rPr>
        <w:t>其中：</w:t>
      </w:r>
    </w:p>
    <w:p>
      <w:pPr>
        <w:spacing w:line="580" w:lineRule="exact"/>
        <w:ind w:firstLine="560" w:firstLineChars="200"/>
        <w:rPr>
          <w:color w:val="auto"/>
        </w:rPr>
      </w:pPr>
      <w:r>
        <w:rPr>
          <w:rFonts w:hint="eastAsia" w:ascii="仿宋_GB2312" w:eastAsia="仿宋_GB2312"/>
          <w:sz w:val="28"/>
          <w:szCs w:val="28"/>
        </w:rPr>
        <w:t>“住房改革支出”(款) 2024年度年初预算</w:t>
      </w:r>
      <w:r>
        <w:rPr>
          <w:rFonts w:hint="eastAsia" w:ascii="仿宋_GB2312" w:eastAsia="仿宋_GB2312"/>
          <w:sz w:val="28"/>
          <w:szCs w:val="28"/>
          <w:lang w:val="en-US" w:eastAsia="zh-CN"/>
        </w:rPr>
        <w:t>0</w:t>
      </w:r>
      <w:r>
        <w:rPr>
          <w:rFonts w:hint="eastAsia" w:ascii="仿宋_GB2312" w:eastAsia="仿宋_GB2312"/>
          <w:sz w:val="28"/>
          <w:szCs w:val="28"/>
        </w:rPr>
        <w:t>万元，2024年度决算9030.92万元</w:t>
      </w:r>
      <w:r>
        <w:rPr>
          <w:rFonts w:hint="eastAsia" w:ascii="仿宋_GB2312" w:eastAsia="仿宋_GB2312"/>
          <w:sz w:val="28"/>
          <w:szCs w:val="28"/>
          <w:lang w:eastAsia="zh-CN"/>
        </w:rPr>
        <w:t>。</w:t>
      </w:r>
      <w:r>
        <w:rPr>
          <w:rFonts w:hint="eastAsia" w:ascii="仿宋_GB2312" w:eastAsia="仿宋_GB2312"/>
          <w:sz w:val="28"/>
          <w:szCs w:val="28"/>
        </w:rPr>
        <w:t>主要原因：按政策发放住房补贴。</w:t>
      </w:r>
    </w:p>
    <w:p>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pPr>
        <w:spacing w:line="560" w:lineRule="exact"/>
        <w:ind w:firstLine="980" w:firstLineChars="350"/>
        <w:rPr>
          <w:rFonts w:hint="eastAsia" w:ascii="仿宋_GB2312" w:eastAsia="仿宋_GB2312"/>
          <w:color w:val="FF0000"/>
          <w:sz w:val="28"/>
          <w:szCs w:val="28"/>
        </w:rPr>
      </w:pPr>
      <w:r>
        <w:rPr>
          <w:rFonts w:hint="eastAsia" w:ascii="仿宋_GB2312" w:eastAsia="仿宋_GB2312"/>
          <w:sz w:val="28"/>
          <w:szCs w:val="28"/>
        </w:rPr>
        <w:t>本部门2024年度无政府性基金预算财政拨款安排的支出。</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pPr>
        <w:spacing w:line="560" w:lineRule="exact"/>
        <w:ind w:firstLine="980" w:firstLineChars="350"/>
        <w:rPr>
          <w:rFonts w:hint="eastAsia" w:ascii="仿宋_GB2312" w:eastAsia="仿宋_GB2312"/>
          <w:color w:val="FF0000"/>
          <w:sz w:val="28"/>
          <w:szCs w:val="28"/>
        </w:rPr>
      </w:pPr>
      <w:r>
        <w:rPr>
          <w:rFonts w:hint="eastAsia" w:ascii="仿宋_GB2312" w:eastAsia="仿宋_GB2312"/>
          <w:sz w:val="28"/>
          <w:szCs w:val="28"/>
        </w:rPr>
        <w:t>本部门2024年度无政府性基金预算财政拨款安排的支出。</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143141.81</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1929.42</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933.8</w:t>
      </w:r>
      <w:r>
        <w:rPr>
          <w:rFonts w:hint="eastAsia" w:ascii="仿宋_GB2312" w:eastAsia="仿宋_GB2312"/>
          <w:sz w:val="28"/>
          <w:szCs w:val="28"/>
        </w:rPr>
        <w:t>万元增加995.62万元。其中：</w:t>
      </w:r>
    </w:p>
    <w:p>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w:t>
      </w:r>
      <w:r>
        <w:rPr>
          <w:rFonts w:hint="eastAsia" w:ascii="仿宋_GB2312" w:eastAsia="仿宋_GB2312"/>
          <w:sz w:val="28"/>
          <w:szCs w:val="28"/>
        </w:rPr>
        <w:t>万元一致。</w:t>
      </w:r>
    </w:p>
    <w:p>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一致</w:t>
      </w:r>
      <w:r>
        <w:rPr>
          <w:rFonts w:hint="eastAsia" w:ascii="仿宋_GB2312" w:eastAsia="仿宋_GB2312"/>
          <w:sz w:val="28"/>
          <w:szCs w:val="28"/>
        </w:rPr>
        <w:t>。</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1929.42</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933.8</w:t>
      </w:r>
      <w:r>
        <w:rPr>
          <w:rFonts w:hint="eastAsia" w:ascii="仿宋_GB2312" w:eastAsia="仿宋_GB2312"/>
          <w:sz w:val="28"/>
          <w:szCs w:val="28"/>
        </w:rPr>
        <w:t>万元增加995.62万元。其中，公务用车购置费202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年度决算数995.62万元，主要原因：按批复调整预算</w:t>
      </w:r>
      <w:r>
        <w:rPr>
          <w:rFonts w:hint="eastAsia" w:ascii="仿宋_GB2312" w:eastAsia="仿宋_GB2312"/>
          <w:sz w:val="28"/>
          <w:szCs w:val="28"/>
          <w:lang w:eastAsia="zh-CN"/>
        </w:rPr>
        <w:t>。</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62</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年度决算数933.80万元，主要原因：</w:t>
      </w:r>
      <w:r>
        <w:rPr>
          <w:rFonts w:hint="eastAsia" w:ascii="仿宋_GB2312" w:eastAsia="仿宋_GB2312"/>
          <w:sz w:val="28"/>
          <w:szCs w:val="28"/>
          <w:lang w:eastAsia="zh-CN"/>
        </w:rPr>
        <w:t>保障公务用车正常运行</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406</w:t>
      </w:r>
      <w:r>
        <w:rPr>
          <w:rFonts w:hint="eastAsia" w:ascii="仿宋_GB2312" w:eastAsia="仿宋_GB2312"/>
          <w:sz w:val="28"/>
          <w:szCs w:val="28"/>
        </w:rPr>
        <w:t>辆。</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ind w:firstLine="537" w:firstLineChars="192"/>
        <w:rPr>
          <w:rFonts w:hint="eastAsia" w:ascii="仿宋_GB2312" w:eastAsia="仿宋_GB2312"/>
          <w:color w:val="FF0000"/>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hint="eastAsia" w:ascii="仿宋_GB2312" w:eastAsia="仿宋_GB2312"/>
          <w:sz w:val="28"/>
          <w:szCs w:val="28"/>
          <w:lang w:eastAsia="zh-CN"/>
        </w:rPr>
        <w:t>机关运行经费</w:t>
      </w:r>
      <w:r>
        <w:rPr>
          <w:rFonts w:hint="eastAsia" w:ascii="仿宋_GB2312" w:eastAsia="仿宋_GB2312"/>
          <w:sz w:val="28"/>
          <w:szCs w:val="28"/>
        </w:rPr>
        <w:t>支出合计</w:t>
      </w:r>
      <w:r>
        <w:rPr>
          <w:rFonts w:hint="eastAsia" w:ascii="仿宋_GB2312" w:eastAsia="仿宋_GB2312"/>
          <w:sz w:val="28"/>
          <w:szCs w:val="28"/>
          <w:lang w:val="en-US" w:eastAsia="zh-CN"/>
        </w:rPr>
        <w:t>15479.95</w:t>
      </w:r>
      <w:r>
        <w:rPr>
          <w:rFonts w:hint="eastAsia" w:ascii="仿宋_GB2312" w:eastAsia="仿宋_GB2312"/>
          <w:sz w:val="28"/>
          <w:szCs w:val="28"/>
        </w:rPr>
        <w:t>万元，比上年减少32.17万元，减少原因：落实过紧日子要求</w:t>
      </w:r>
      <w:r>
        <w:rPr>
          <w:rFonts w:hint="eastAsia" w:ascii="仿宋_GB2312" w:eastAsia="仿宋_GB2312"/>
          <w:sz w:val="28"/>
          <w:szCs w:val="28"/>
          <w:lang w:eastAsia="zh-CN"/>
        </w:rPr>
        <w:t>，</w:t>
      </w:r>
      <w:r>
        <w:rPr>
          <w:rFonts w:hint="eastAsia" w:ascii="仿宋_GB2312" w:eastAsia="仿宋_GB2312"/>
          <w:sz w:val="28"/>
          <w:szCs w:val="28"/>
        </w:rPr>
        <w:t>压缩运行成本。</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51861.51</w:t>
      </w:r>
      <w:r>
        <w:rPr>
          <w:rFonts w:hint="eastAsia" w:ascii="仿宋_GB2312" w:eastAsia="仿宋_GB2312"/>
          <w:sz w:val="28"/>
          <w:szCs w:val="28"/>
        </w:rPr>
        <w:t>万元，其中：政府采购货物支出11621.06万元，政府采购工程支出</w:t>
      </w:r>
      <w:r>
        <w:rPr>
          <w:rFonts w:hint="eastAsia" w:ascii="仿宋_GB2312" w:eastAsia="仿宋_GB2312"/>
          <w:sz w:val="28"/>
          <w:szCs w:val="28"/>
          <w:lang w:val="en-US" w:eastAsia="zh-CN"/>
        </w:rPr>
        <w:t>0</w:t>
      </w:r>
      <w:r>
        <w:rPr>
          <w:rFonts w:hint="eastAsia" w:ascii="仿宋_GB2312" w:eastAsia="仿宋_GB2312"/>
          <w:sz w:val="28"/>
          <w:szCs w:val="28"/>
        </w:rPr>
        <w:t>万元，政府采购服务支出40240.45万元。授予中小企业合同金额</w:t>
      </w:r>
      <w:r>
        <w:rPr>
          <w:rFonts w:ascii="仿宋_GB2312" w:eastAsia="仿宋_GB2312"/>
          <w:sz w:val="28"/>
          <w:szCs w:val="28"/>
        </w:rPr>
        <w:t>25072.38</w:t>
      </w:r>
      <w:r>
        <w:rPr>
          <w:rFonts w:hint="eastAsia" w:ascii="仿宋_GB2312" w:eastAsia="仿宋_GB2312"/>
          <w:sz w:val="28"/>
          <w:szCs w:val="28"/>
        </w:rPr>
        <w:t>万元，占政府采购支出总额的</w:t>
      </w:r>
      <w:r>
        <w:rPr>
          <w:rFonts w:hint="eastAsia" w:ascii="仿宋_GB2312" w:eastAsia="仿宋_GB2312"/>
          <w:sz w:val="28"/>
          <w:szCs w:val="28"/>
          <w:lang w:eastAsia="zh-CN"/>
        </w:rPr>
        <w:t>48.34</w:t>
      </w:r>
      <w:r>
        <w:rPr>
          <w:rFonts w:hint="eastAsia" w:ascii="仿宋_GB2312" w:eastAsia="仿宋_GB2312"/>
          <w:sz w:val="28"/>
          <w:szCs w:val="28"/>
        </w:rPr>
        <w:t>%，其中：授予小微企业合同金额</w:t>
      </w:r>
      <w:r>
        <w:rPr>
          <w:rFonts w:ascii="仿宋_GB2312" w:eastAsia="仿宋_GB2312"/>
          <w:sz w:val="28"/>
          <w:szCs w:val="28"/>
        </w:rPr>
        <w:t>13449.55</w:t>
      </w:r>
      <w:r>
        <w:rPr>
          <w:rFonts w:hint="eastAsia" w:ascii="仿宋_GB2312" w:eastAsia="仿宋_GB2312"/>
          <w:sz w:val="28"/>
          <w:szCs w:val="28"/>
        </w:rPr>
        <w:t>万元，占政府采购支出总额的</w:t>
      </w:r>
      <w:r>
        <w:rPr>
          <w:rFonts w:ascii="仿宋_GB2312" w:eastAsia="仿宋_GB2312"/>
          <w:sz w:val="28"/>
          <w:szCs w:val="28"/>
        </w:rPr>
        <w:t>25.93</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12月31日，北京市公安局大兴分局（本级）</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406</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32</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政府购买服务决算1233.5</w:t>
      </w:r>
      <w:r>
        <w:rPr>
          <w:rFonts w:hint="eastAsia" w:ascii="仿宋_GB2312" w:eastAsia="仿宋_GB2312"/>
          <w:sz w:val="28"/>
          <w:szCs w:val="28"/>
        </w:rPr>
        <w:t>万元。</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420" w:firstLineChars="150"/>
        <w:rPr>
          <w:rFonts w:ascii="仿宋_GB2312" w:eastAsia="仿宋_GB2312"/>
          <w:sz w:val="28"/>
          <w:szCs w:val="28"/>
          <w:highlight w:val="none"/>
        </w:rPr>
      </w:pPr>
      <w:r>
        <w:rPr>
          <w:rFonts w:hint="eastAsia" w:ascii="仿宋_GB2312" w:eastAsia="仿宋_GB2312"/>
          <w:sz w:val="28"/>
          <w:szCs w:val="28"/>
          <w:highlight w:val="none"/>
        </w:rPr>
        <w:t>7. 公共安全支出：是指公安机关按照职责范围开展有关</w:t>
      </w:r>
      <w:r>
        <w:rPr>
          <w:rFonts w:hint="eastAsia" w:ascii="仿宋_GB2312" w:eastAsia="仿宋_GB2312"/>
          <w:sz w:val="28"/>
          <w:szCs w:val="28"/>
          <w:highlight w:val="none"/>
          <w:lang w:eastAsia="zh-CN"/>
        </w:rPr>
        <w:t>工作</w:t>
      </w:r>
      <w:r>
        <w:rPr>
          <w:rFonts w:hint="eastAsia" w:ascii="仿宋_GB2312" w:eastAsia="仿宋_GB2312"/>
          <w:sz w:val="28"/>
          <w:szCs w:val="28"/>
          <w:highlight w:val="none"/>
        </w:rPr>
        <w:t>支付费用的行为。</w:t>
      </w:r>
    </w:p>
    <w:p>
      <w:pPr>
        <w:ind w:firstLine="420" w:firstLineChars="150"/>
        <w:rPr>
          <w:rFonts w:hint="eastAsia" w:ascii="仿宋_GB2312" w:eastAsia="仿宋_GB2312"/>
          <w:sz w:val="28"/>
          <w:szCs w:val="28"/>
        </w:rPr>
      </w:pPr>
      <w:r>
        <w:rPr>
          <w:rFonts w:hint="eastAsia" w:ascii="仿宋_GB2312" w:eastAsia="仿宋_GB2312"/>
          <w:sz w:val="28"/>
          <w:szCs w:val="28"/>
        </w:rPr>
        <w:t>8.社会保障和就业支出（类）行政事业单位养老支出（款）行政单位离退休（项）：反映用于行政单位（包括实行公务员管理的事业单位）开支的离退休经费。</w:t>
      </w:r>
    </w:p>
    <w:p>
      <w:pPr>
        <w:ind w:firstLine="420" w:firstLineChars="150"/>
        <w:rPr>
          <w:rFonts w:hint="eastAsia" w:ascii="仿宋_GB2312" w:eastAsia="仿宋_GB2312"/>
          <w:sz w:val="28"/>
          <w:szCs w:val="28"/>
        </w:rPr>
      </w:pPr>
      <w:r>
        <w:rPr>
          <w:rFonts w:hint="eastAsia" w:ascii="仿宋_GB2312" w:eastAsia="仿宋_GB2312"/>
          <w:sz w:val="28"/>
          <w:szCs w:val="28"/>
        </w:rPr>
        <w:t>9.社会保障和就业支出（类）行政事业单位养老支出（款）机关事业单位基本养老保险缴费支出（项）：反映用于机关事业单位实施养老保险制度由单位缴纳的基本养老保险支出。</w:t>
      </w:r>
    </w:p>
    <w:p>
      <w:pPr>
        <w:ind w:firstLine="420" w:firstLineChars="150"/>
        <w:rPr>
          <w:rFonts w:hint="eastAsia" w:ascii="仿宋_GB2312" w:eastAsia="仿宋_GB2312"/>
          <w:sz w:val="28"/>
          <w:szCs w:val="28"/>
        </w:rPr>
      </w:pPr>
      <w:r>
        <w:rPr>
          <w:rFonts w:hint="eastAsia" w:ascii="仿宋_GB2312" w:eastAsia="仿宋_GB2312"/>
          <w:sz w:val="28"/>
          <w:szCs w:val="28"/>
        </w:rPr>
        <w:t>10.社会保障和就业支出（类）行政事业单位养老支出（款）机关事业单位职业年金缴费支出（项）：反映机关事业单位实施养老保险制度由单位实际缴纳的职业年金支出（含职业年金补记支出）。</w:t>
      </w:r>
    </w:p>
    <w:p>
      <w:pPr>
        <w:ind w:firstLine="420" w:firstLineChars="150"/>
        <w:rPr>
          <w:rFonts w:hint="eastAsia" w:ascii="仿宋_GB2312" w:eastAsia="仿宋_GB2312"/>
          <w:sz w:val="28"/>
          <w:szCs w:val="28"/>
        </w:rPr>
      </w:pPr>
      <w:r>
        <w:rPr>
          <w:rFonts w:hint="eastAsia" w:ascii="仿宋_GB2312" w:eastAsia="仿宋_GB2312"/>
          <w:sz w:val="28"/>
          <w:szCs w:val="28"/>
        </w:rPr>
        <w:t>11.社会保障和就业支出（类）行政事业单位养老支出（款）其他行政事业单位养老支出（项）：反映除上述项目以外其他用于行政事业单位养老方面的支出。</w:t>
      </w:r>
    </w:p>
    <w:p>
      <w:pPr>
        <w:ind w:firstLine="420" w:firstLineChars="150"/>
        <w:rPr>
          <w:rFonts w:hint="eastAsia" w:ascii="仿宋_GB2312" w:eastAsia="仿宋_GB2312"/>
          <w:sz w:val="28"/>
          <w:szCs w:val="28"/>
        </w:rPr>
      </w:pPr>
      <w:r>
        <w:rPr>
          <w:rFonts w:hint="eastAsia" w:ascii="仿宋_GB2312" w:eastAsia="仿宋_GB2312"/>
          <w:sz w:val="28"/>
          <w:szCs w:val="28"/>
        </w:rPr>
        <w:t>12.卫生健康支出（类）公共卫生（款）突发公共卫生事件应急处理（项）：反映用于突发公共卫生事件应急处理方面的支出。</w:t>
      </w:r>
    </w:p>
    <w:p>
      <w:pPr>
        <w:ind w:firstLine="420" w:firstLineChars="150"/>
        <w:rPr>
          <w:rFonts w:hint="eastAsia" w:ascii="仿宋_GB2312" w:eastAsia="仿宋_GB2312"/>
          <w:sz w:val="28"/>
          <w:szCs w:val="28"/>
        </w:rPr>
      </w:pPr>
      <w:r>
        <w:rPr>
          <w:rFonts w:hint="eastAsia" w:ascii="仿宋_GB2312" w:eastAsia="仿宋_GB2312"/>
          <w:sz w:val="28"/>
          <w:szCs w:val="28"/>
        </w:rPr>
        <w:t>13.卫生健康支出（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pPr>
        <w:ind w:firstLine="420" w:firstLineChars="150"/>
        <w:rPr>
          <w:rFonts w:hint="eastAsia" w:ascii="仿宋_GB2312" w:eastAsia="仿宋_GB2312"/>
          <w:sz w:val="28"/>
          <w:szCs w:val="28"/>
        </w:rPr>
      </w:pPr>
      <w:r>
        <w:rPr>
          <w:rFonts w:hint="eastAsia" w:ascii="仿宋_GB2312" w:eastAsia="仿宋_GB2312"/>
          <w:sz w:val="28"/>
          <w:szCs w:val="28"/>
        </w:rPr>
        <w:t>14.卫生健康支出（类）行政事业单位医疗（款）公务员医疗补助（项）：反映财政部门安排的公务员医疗补助经费。</w:t>
      </w:r>
    </w:p>
    <w:p>
      <w:pPr>
        <w:ind w:firstLine="420" w:firstLineChars="150"/>
        <w:rPr>
          <w:rFonts w:hint="eastAsia" w:ascii="仿宋_GB2312" w:eastAsia="仿宋_GB2312"/>
          <w:sz w:val="28"/>
          <w:szCs w:val="28"/>
        </w:rPr>
      </w:pPr>
      <w:r>
        <w:rPr>
          <w:rFonts w:hint="eastAsia" w:ascii="仿宋_GB2312" w:eastAsia="仿宋_GB2312"/>
          <w:sz w:val="28"/>
          <w:szCs w:val="28"/>
        </w:rPr>
        <w:t>15.住房保障支出（类）住房改革支出（款）购房补贴（项）：反映按房改政策规定，行政事业单位向符合条件职工（含离退休人员）、军队（含武警）向转役复员离退休人员发放的用于购买住房的补贴。</w:t>
      </w:r>
    </w:p>
    <w:p>
      <w:pPr>
        <w:ind w:firstLine="420" w:firstLineChars="150"/>
        <w:rPr>
          <w:rFonts w:hint="eastAsia" w:ascii="仿宋_GB2312" w:eastAsia="仿宋_GB2312"/>
          <w:sz w:val="28"/>
          <w:szCs w:val="28"/>
        </w:rPr>
      </w:pPr>
      <w:r>
        <w:rPr>
          <w:rFonts w:hint="eastAsia" w:ascii="仿宋_GB2312" w:eastAsia="仿宋_GB2312"/>
          <w:sz w:val="28"/>
          <w:szCs w:val="28"/>
        </w:rPr>
        <w:t>16.一般公共服务支出（类）其他共产党事务支出（款）一般行政管理事务（项）：反映行政单位（包括实行公务员管理的事业单位）未单独设置项级科目的其他项目支出。</w:t>
      </w:r>
    </w:p>
    <w:p>
      <w:pPr>
        <w:jc w:val="both"/>
        <w:rPr>
          <w:rFonts w:hint="eastAsia" w:ascii="黑体" w:eastAsia="黑体"/>
          <w:sz w:val="32"/>
          <w:szCs w:val="32"/>
        </w:rPr>
      </w:pPr>
    </w:p>
    <w:p>
      <w:pPr>
        <w:tabs>
          <w:tab w:val="center" w:pos="6979"/>
        </w:tabs>
        <w:spacing w:line="380" w:lineRule="exact"/>
        <w:jc w:val="center"/>
        <w:rPr>
          <w:rFonts w:ascii="宋体" w:hAnsi="宋体" w:cs="宋体"/>
          <w:b/>
          <w:bCs/>
          <w:kern w:val="0"/>
          <w:sz w:val="28"/>
          <w:szCs w:val="28"/>
        </w:rPr>
      </w:pPr>
    </w:p>
    <w:p>
      <w:pPr>
        <w:tabs>
          <w:tab w:val="center" w:pos="6979"/>
        </w:tabs>
        <w:spacing w:line="380" w:lineRule="exact"/>
        <w:jc w:val="center"/>
        <w:rPr>
          <w:rFonts w:ascii="宋体" w:hAnsi="宋体" w:cs="宋体"/>
          <w:b/>
          <w:bCs/>
          <w:kern w:val="0"/>
          <w:sz w:val="28"/>
          <w:szCs w:val="28"/>
        </w:rPr>
      </w:pPr>
    </w:p>
    <w:p>
      <w:pPr>
        <w:jc w:val="both"/>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pPr>
        <w:ind w:firstLine="560" w:firstLineChars="200"/>
        <w:rPr>
          <w:rFonts w:hint="eastAsia" w:ascii="黑体" w:eastAsia="黑体"/>
          <w:sz w:val="28"/>
          <w:szCs w:val="28"/>
          <w:highlight w:val="yellow"/>
        </w:rPr>
      </w:pPr>
    </w:p>
    <w:p>
      <w:pPr>
        <w:numPr>
          <w:ilvl w:val="0"/>
          <w:numId w:val="1"/>
        </w:numPr>
        <w:ind w:firstLine="560" w:firstLineChars="200"/>
        <w:rPr>
          <w:rFonts w:hint="eastAsia" w:ascii="黑体" w:eastAsia="黑体"/>
          <w:sz w:val="28"/>
          <w:szCs w:val="28"/>
          <w:highlight w:val="none"/>
          <w:lang w:eastAsia="zh-CN"/>
        </w:rPr>
      </w:pPr>
      <w:r>
        <w:rPr>
          <w:rFonts w:hint="eastAsia" w:ascii="黑体" w:eastAsia="黑体"/>
          <w:sz w:val="28"/>
          <w:szCs w:val="28"/>
          <w:highlight w:val="none"/>
        </w:rPr>
        <w:t>部门整体绩效评价报告</w:t>
      </w:r>
      <w:r>
        <w:rPr>
          <w:rFonts w:hint="eastAsia" w:ascii="黑体" w:eastAsia="黑体"/>
          <w:sz w:val="28"/>
          <w:szCs w:val="28"/>
          <w:highlight w:val="none"/>
          <w:lang w:eastAsia="zh-CN"/>
        </w:rPr>
        <w:t>（详见附件）</w:t>
      </w:r>
    </w:p>
    <w:p>
      <w:pPr>
        <w:numPr>
          <w:ilvl w:val="0"/>
          <w:numId w:val="1"/>
        </w:numPr>
        <w:ind w:firstLine="560" w:firstLineChars="200"/>
        <w:rPr>
          <w:rFonts w:hint="eastAsia" w:ascii="黑体" w:eastAsia="黑体"/>
          <w:sz w:val="28"/>
          <w:szCs w:val="28"/>
          <w:highlight w:val="none"/>
          <w:lang w:eastAsia="zh-CN"/>
        </w:rPr>
      </w:pPr>
      <w:r>
        <w:rPr>
          <w:rFonts w:hint="eastAsia" w:ascii="黑体" w:eastAsia="黑体"/>
          <w:sz w:val="28"/>
          <w:szCs w:val="28"/>
          <w:highlight w:val="none"/>
        </w:rPr>
        <w:t>项目支出</w:t>
      </w:r>
      <w:r>
        <w:rPr>
          <w:rFonts w:hint="eastAsia" w:ascii="黑体" w:eastAsia="黑体"/>
          <w:sz w:val="28"/>
          <w:szCs w:val="28"/>
          <w:highlight w:val="none"/>
          <w:lang w:val="en-US" w:eastAsia="zh-CN"/>
        </w:rPr>
        <w:t>部门</w:t>
      </w:r>
      <w:r>
        <w:rPr>
          <w:rFonts w:hint="eastAsia" w:ascii="黑体" w:eastAsia="黑体"/>
          <w:sz w:val="28"/>
          <w:szCs w:val="28"/>
          <w:highlight w:val="none"/>
        </w:rPr>
        <w:t>绩效评价报告</w:t>
      </w:r>
      <w:r>
        <w:rPr>
          <w:rFonts w:hint="eastAsia" w:ascii="黑体" w:eastAsia="黑体"/>
          <w:sz w:val="28"/>
          <w:szCs w:val="28"/>
          <w:highlight w:val="none"/>
          <w:lang w:eastAsia="zh-CN"/>
        </w:rPr>
        <w:t>（详见附件）</w:t>
      </w:r>
    </w:p>
    <w:p>
      <w:pPr>
        <w:numPr>
          <w:ilvl w:val="0"/>
          <w:numId w:val="1"/>
        </w:numPr>
        <w:ind w:firstLine="560" w:firstLineChars="200"/>
        <w:rPr>
          <w:rFonts w:ascii="黑体" w:eastAsia="黑体"/>
          <w:sz w:val="28"/>
          <w:szCs w:val="28"/>
          <w:highlight w:val="none"/>
        </w:rPr>
      </w:pPr>
      <w:r>
        <w:rPr>
          <w:rFonts w:hint="eastAsia" w:ascii="黑体" w:eastAsia="黑体"/>
          <w:sz w:val="28"/>
          <w:szCs w:val="28"/>
          <w:highlight w:val="none"/>
        </w:rPr>
        <w:t>项目</w:t>
      </w:r>
      <w:r>
        <w:rPr>
          <w:rFonts w:ascii="黑体" w:eastAsia="黑体"/>
          <w:sz w:val="28"/>
          <w:szCs w:val="28"/>
          <w:highlight w:val="none"/>
        </w:rPr>
        <w:t>支出绩效自评表</w:t>
      </w:r>
      <w:r>
        <w:rPr>
          <w:rFonts w:hint="eastAsia" w:ascii="黑体" w:eastAsia="黑体"/>
          <w:sz w:val="28"/>
          <w:szCs w:val="28"/>
          <w:highlight w:val="none"/>
          <w:lang w:eastAsia="zh-CN"/>
        </w:rPr>
        <w:t>（详见附件）</w:t>
      </w:r>
    </w:p>
    <w:p>
      <w:pPr>
        <w:spacing w:line="480" w:lineRule="exact"/>
        <w:ind w:firstLine="420" w:firstLineChars="0"/>
        <w:rPr>
          <w:rFonts w:hint="eastAsia" w:ascii="黑体" w:eastAsia="黑体"/>
          <w:sz w:val="28"/>
          <w:szCs w:val="28"/>
        </w:rPr>
      </w:pPr>
      <w:r>
        <w:rPr>
          <w:rFonts w:hint="eastAsia" w:ascii="黑体" w:eastAsia="黑体"/>
          <w:sz w:val="28"/>
          <w:szCs w:val="28"/>
        </w:rPr>
        <w:t xml:space="preserve"> （注：</w:t>
      </w:r>
      <w:r>
        <w:rPr>
          <w:rFonts w:hint="eastAsia" w:ascii="黑体" w:eastAsia="黑体"/>
          <w:color w:val="auto"/>
          <w:sz w:val="28"/>
          <w:szCs w:val="28"/>
        </w:rPr>
        <w:t>一级预算部门，公开“一、二、三”；</w:t>
      </w:r>
      <w:r>
        <w:rPr>
          <w:rFonts w:hint="eastAsia" w:ascii="黑体" w:eastAsia="黑体"/>
          <w:sz w:val="28"/>
          <w:szCs w:val="28"/>
        </w:rPr>
        <w:t>二级预算单位仅公开“三”</w:t>
      </w:r>
      <w:r>
        <w:rPr>
          <w:rFonts w:hint="eastAsia" w:ascii="黑体" w:eastAsia="黑体"/>
          <w:sz w:val="28"/>
          <w:szCs w:val="28"/>
          <w:lang w:eastAsia="zh-CN"/>
        </w:rPr>
        <w:t>。</w:t>
      </w:r>
      <w:r>
        <w:rPr>
          <w:rFonts w:hint="eastAsia" w:ascii="黑体" w:eastAsia="黑体"/>
          <w:sz w:val="28"/>
          <w:szCs w:val="28"/>
        </w:rPr>
        <w:t>）</w:t>
      </w:r>
    </w:p>
    <w:p>
      <w:pPr>
        <w:spacing w:line="480" w:lineRule="exact"/>
        <w:rPr>
          <w:rFonts w:hint="eastAsia" w:ascii="仿宋_GB2312" w:hAnsi="仿宋_GB2312" w:eastAsia="仿宋_GB2312" w:cs="仿宋_GB2312"/>
          <w:sz w:val="32"/>
          <w:szCs w:val="32"/>
        </w:rPr>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7E84BE"/>
    <w:multiLevelType w:val="singleLevel"/>
    <w:tmpl w:val="8D7E84B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5660C"/>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5314E03"/>
    <w:rsid w:val="054678FC"/>
    <w:rsid w:val="068445F5"/>
    <w:rsid w:val="079004AC"/>
    <w:rsid w:val="09A77C18"/>
    <w:rsid w:val="0BA148CA"/>
    <w:rsid w:val="0C1165C4"/>
    <w:rsid w:val="0D6D544B"/>
    <w:rsid w:val="0DD136FE"/>
    <w:rsid w:val="0F542F2C"/>
    <w:rsid w:val="0F8E2C57"/>
    <w:rsid w:val="1059665E"/>
    <w:rsid w:val="10AC13BA"/>
    <w:rsid w:val="11AD14EC"/>
    <w:rsid w:val="125942A3"/>
    <w:rsid w:val="145A6C1B"/>
    <w:rsid w:val="14613748"/>
    <w:rsid w:val="14B73493"/>
    <w:rsid w:val="167A2FF9"/>
    <w:rsid w:val="1764587C"/>
    <w:rsid w:val="18581C69"/>
    <w:rsid w:val="1AEC0734"/>
    <w:rsid w:val="1B504374"/>
    <w:rsid w:val="1DEF20B0"/>
    <w:rsid w:val="1E4E13C8"/>
    <w:rsid w:val="1FF7AB17"/>
    <w:rsid w:val="214243FA"/>
    <w:rsid w:val="21AD613C"/>
    <w:rsid w:val="22467189"/>
    <w:rsid w:val="2467497F"/>
    <w:rsid w:val="257A14F5"/>
    <w:rsid w:val="25DF597B"/>
    <w:rsid w:val="27196C26"/>
    <w:rsid w:val="29155F40"/>
    <w:rsid w:val="29607712"/>
    <w:rsid w:val="29EF086F"/>
    <w:rsid w:val="2A8411BF"/>
    <w:rsid w:val="2B1556F5"/>
    <w:rsid w:val="2BC34C59"/>
    <w:rsid w:val="2EFFE297"/>
    <w:rsid w:val="300D2821"/>
    <w:rsid w:val="301437CA"/>
    <w:rsid w:val="349D1F0A"/>
    <w:rsid w:val="34DD0473"/>
    <w:rsid w:val="363E7BD7"/>
    <w:rsid w:val="366B2B44"/>
    <w:rsid w:val="3A8E35DC"/>
    <w:rsid w:val="3C684897"/>
    <w:rsid w:val="400344CE"/>
    <w:rsid w:val="433E495C"/>
    <w:rsid w:val="46BD2D8E"/>
    <w:rsid w:val="47C84386"/>
    <w:rsid w:val="489F2FD7"/>
    <w:rsid w:val="4AC27CB3"/>
    <w:rsid w:val="4B926A68"/>
    <w:rsid w:val="4BF72BEF"/>
    <w:rsid w:val="4FA90297"/>
    <w:rsid w:val="4FC41A43"/>
    <w:rsid w:val="515A6451"/>
    <w:rsid w:val="51DB3C59"/>
    <w:rsid w:val="52D77262"/>
    <w:rsid w:val="537D0325"/>
    <w:rsid w:val="54146217"/>
    <w:rsid w:val="550C0952"/>
    <w:rsid w:val="55762E42"/>
    <w:rsid w:val="57A7B272"/>
    <w:rsid w:val="583C1542"/>
    <w:rsid w:val="58470068"/>
    <w:rsid w:val="58747CAC"/>
    <w:rsid w:val="591D3641"/>
    <w:rsid w:val="596C648E"/>
    <w:rsid w:val="5A1720F9"/>
    <w:rsid w:val="5B0723F5"/>
    <w:rsid w:val="5B9C37C2"/>
    <w:rsid w:val="5BA7C654"/>
    <w:rsid w:val="5C840622"/>
    <w:rsid w:val="5DF716AE"/>
    <w:rsid w:val="5F9F507E"/>
    <w:rsid w:val="60A54109"/>
    <w:rsid w:val="61D01CDF"/>
    <w:rsid w:val="64C0607C"/>
    <w:rsid w:val="65756C86"/>
    <w:rsid w:val="671001F5"/>
    <w:rsid w:val="674D385B"/>
    <w:rsid w:val="676F09E1"/>
    <w:rsid w:val="6C722C10"/>
    <w:rsid w:val="6FE25A80"/>
    <w:rsid w:val="704D4DB6"/>
    <w:rsid w:val="71691990"/>
    <w:rsid w:val="71793A80"/>
    <w:rsid w:val="71BC76B1"/>
    <w:rsid w:val="71FF34C3"/>
    <w:rsid w:val="7357290B"/>
    <w:rsid w:val="73D141A2"/>
    <w:rsid w:val="756E3DEA"/>
    <w:rsid w:val="76FB1693"/>
    <w:rsid w:val="798524E4"/>
    <w:rsid w:val="7A7F1C49"/>
    <w:rsid w:val="7B5B7AE6"/>
    <w:rsid w:val="7B7B6628"/>
    <w:rsid w:val="7BA7071E"/>
    <w:rsid w:val="7BDF6DA8"/>
    <w:rsid w:val="7C7EDC1A"/>
    <w:rsid w:val="7CCED98D"/>
    <w:rsid w:val="7D08410F"/>
    <w:rsid w:val="7DB96DED"/>
    <w:rsid w:val="7DD3AD81"/>
    <w:rsid w:val="7DFFF77E"/>
    <w:rsid w:val="7F53A862"/>
    <w:rsid w:val="7F7FE70F"/>
    <w:rsid w:val="7FDF365A"/>
    <w:rsid w:val="7FEC8BC6"/>
    <w:rsid w:val="7FFF772F"/>
    <w:rsid w:val="95F35EF6"/>
    <w:rsid w:val="9BFFD860"/>
    <w:rsid w:val="A77B4E4D"/>
    <w:rsid w:val="AC5F73DE"/>
    <w:rsid w:val="B5DDD2C8"/>
    <w:rsid w:val="B9DFABD9"/>
    <w:rsid w:val="BC0D83FC"/>
    <w:rsid w:val="BF3BDEFB"/>
    <w:rsid w:val="BFB7A454"/>
    <w:rsid w:val="C75F6086"/>
    <w:rsid w:val="C7F7ED2D"/>
    <w:rsid w:val="CFAF854E"/>
    <w:rsid w:val="D8D7928E"/>
    <w:rsid w:val="D8FE3136"/>
    <w:rsid w:val="DDDE60B7"/>
    <w:rsid w:val="DE9F6A22"/>
    <w:rsid w:val="DF4FCE6A"/>
    <w:rsid w:val="DFD6CE7C"/>
    <w:rsid w:val="DFE93440"/>
    <w:rsid w:val="DFEF5C84"/>
    <w:rsid w:val="E4FED278"/>
    <w:rsid w:val="EDAA365C"/>
    <w:rsid w:val="EDADFC12"/>
    <w:rsid w:val="F2FD229B"/>
    <w:rsid w:val="F65F79E2"/>
    <w:rsid w:val="F776A00A"/>
    <w:rsid w:val="F7F709E9"/>
    <w:rsid w:val="F7FF3690"/>
    <w:rsid w:val="F9BD3900"/>
    <w:rsid w:val="FBF76749"/>
    <w:rsid w:val="FC8B9876"/>
    <w:rsid w:val="FCBFBAB5"/>
    <w:rsid w:val="FEDFF218"/>
    <w:rsid w:val="FEDFFFFF"/>
    <w:rsid w:val="FFBF8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dLbl>
              <c:idx val="0"/>
              <c:layout>
                <c:manualLayout>
                  <c:x val="0.149024216808654"/>
                  <c:y val="-0.1340860437565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1"/>
              <c:delete val="1"/>
            </c:dLbl>
            <c:dLbl>
              <c:idx val="2"/>
              <c:delete val="1"/>
            </c:dLbl>
            <c:dLbl>
              <c:idx val="3"/>
              <c:delete val="1"/>
            </c:dLbl>
            <c:dLbl>
              <c:idx val="4"/>
              <c:delete val="1"/>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203438.2</c:v>
                </c:pt>
                <c:pt idx="1">
                  <c:v>0</c:v>
                </c:pt>
                <c:pt idx="2">
                  <c:v>0</c:v>
                </c:pt>
                <c:pt idx="3">
                  <c:v>0</c:v>
                </c:pt>
                <c:pt idx="4">
                  <c:v>0</c:v>
                </c:pt>
                <c:pt idx="5">
                  <c:v>11506.96</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delete val="1"/>
            </c:dLbl>
            <c:dLbl>
              <c:idx val="3"/>
              <c:delete val="1"/>
            </c:dLbl>
            <c:dLbl>
              <c:idx val="4"/>
              <c:delete val="1"/>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143141.81</c:v>
                </c:pt>
                <c:pt idx="1">
                  <c:v>80834.27</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268</Words>
  <Characters>286</Characters>
  <Lines>44</Lines>
  <Paragraphs>12</Paragraphs>
  <TotalTime>2</TotalTime>
  <ScaleCrop>false</ScaleCrop>
  <LinksUpToDate>false</LinksUpToDate>
  <CharactersWithSpaces>298</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2017-07-13T07:16:00Z</dcterms:created>
  <dc:creator>常程</dc:creator>
  <cp:lastModifiedBy>Administrator</cp:lastModifiedBy>
  <cp:lastPrinted>2020-08-09T03:39:00Z</cp:lastPrinted>
  <dcterms:modified xsi:type="dcterms:W3CDTF">2025-09-26T03:26:12Z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A7F78878FB63AC2F75B4B7682BD79272</vt:lpwstr>
  </property>
  <property fmtid="{D5CDD505-2E9C-101B-9397-08002B2CF9AE}" pid="4" name="KSOTemplateDocerSaveRecord">
    <vt:lpwstr>eyJoZGlkIjoiMjQwNjQzNTg4ZDE0ZTBiOGFjNjE4NDNkMzM5NWRjMzIiLCJ1c2VySWQiOiI4OTI4ODkxNzIifQ==</vt:lpwstr>
  </property>
</Properties>
</file>