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34ACB6">
      <w:pPr>
        <w:jc w:val="center"/>
        <w:rPr>
          <w:rFonts w:ascii="仿宋_GB2312" w:eastAsia="仿宋_GB2312"/>
          <w:b/>
          <w:sz w:val="32"/>
          <w:szCs w:val="32"/>
        </w:rPr>
      </w:pPr>
    </w:p>
    <w:p w14:paraId="478D7A98">
      <w:pPr>
        <w:jc w:val="center"/>
        <w:rPr>
          <w:rFonts w:ascii="黑体" w:eastAsia="黑体"/>
          <w:sz w:val="72"/>
          <w:szCs w:val="72"/>
        </w:rPr>
      </w:pPr>
    </w:p>
    <w:p w14:paraId="60F49E4B">
      <w:pPr>
        <w:jc w:val="center"/>
        <w:rPr>
          <w:rFonts w:ascii="黑体" w:eastAsia="黑体"/>
          <w:sz w:val="72"/>
          <w:szCs w:val="72"/>
        </w:rPr>
      </w:pPr>
    </w:p>
    <w:p w14:paraId="26FF504A">
      <w:pPr>
        <w:jc w:val="center"/>
        <w:rPr>
          <w:rFonts w:ascii="黑体" w:eastAsia="黑体"/>
          <w:sz w:val="72"/>
          <w:szCs w:val="72"/>
        </w:rPr>
      </w:pPr>
    </w:p>
    <w:p w14:paraId="71E4BDC7">
      <w:pPr>
        <w:jc w:val="center"/>
        <w:rPr>
          <w:rFonts w:hint="eastAsia" w:ascii="黑体" w:eastAsia="黑体"/>
          <w:sz w:val="72"/>
          <w:szCs w:val="72"/>
          <w:lang w:eastAsia="zh-CN"/>
        </w:rPr>
      </w:pPr>
      <w:r>
        <w:rPr>
          <w:rFonts w:hint="eastAsia" w:ascii="黑体" w:eastAsia="黑体"/>
          <w:sz w:val="72"/>
          <w:szCs w:val="72"/>
          <w:lang w:eastAsia="zh-CN"/>
        </w:rPr>
        <w:t>北京市大兴区退役军人事务局部门</w:t>
      </w:r>
    </w:p>
    <w:p w14:paraId="31B14254">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11A628A5">
      <w:pPr>
        <w:jc w:val="center"/>
        <w:rPr>
          <w:rFonts w:ascii="黑体" w:eastAsia="黑体"/>
          <w:sz w:val="52"/>
          <w:szCs w:val="52"/>
        </w:rPr>
      </w:pPr>
    </w:p>
    <w:p w14:paraId="7893C6DD">
      <w:pPr>
        <w:jc w:val="center"/>
        <w:rPr>
          <w:rFonts w:ascii="黑体" w:eastAsia="黑体"/>
          <w:sz w:val="52"/>
          <w:szCs w:val="52"/>
        </w:rPr>
      </w:pPr>
    </w:p>
    <w:p w14:paraId="4F2739D8">
      <w:pPr>
        <w:jc w:val="center"/>
        <w:rPr>
          <w:rFonts w:ascii="黑体" w:eastAsia="黑体"/>
          <w:sz w:val="52"/>
          <w:szCs w:val="52"/>
        </w:rPr>
      </w:pPr>
    </w:p>
    <w:p w14:paraId="717BBC59">
      <w:pPr>
        <w:jc w:val="center"/>
        <w:rPr>
          <w:rFonts w:ascii="黑体" w:eastAsia="黑体"/>
          <w:sz w:val="52"/>
          <w:szCs w:val="52"/>
        </w:rPr>
      </w:pPr>
    </w:p>
    <w:p w14:paraId="6941D2A4">
      <w:pPr>
        <w:jc w:val="center"/>
        <w:rPr>
          <w:rFonts w:ascii="黑体" w:eastAsia="黑体"/>
          <w:sz w:val="32"/>
          <w:szCs w:val="32"/>
        </w:rPr>
      </w:pPr>
    </w:p>
    <w:p w14:paraId="55184022">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2CA840C">
      <w:pPr>
        <w:spacing w:line="500" w:lineRule="exact"/>
        <w:ind w:firstLine="645"/>
        <w:jc w:val="center"/>
        <w:rPr>
          <w:rFonts w:hint="eastAsia" w:ascii="宋体" w:hAnsi="宋体" w:cs="宋体"/>
          <w:b/>
          <w:bCs/>
          <w:kern w:val="0"/>
          <w:sz w:val="36"/>
          <w:szCs w:val="36"/>
        </w:rPr>
      </w:pPr>
    </w:p>
    <w:p w14:paraId="492F6C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500D38A6">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6557AED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48E16CD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382B519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4CAFB61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288EEF6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6033129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DFC020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3CCA13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3913B0C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63768DB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C066AB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7D3FB1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13E63D8C">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30F8979C">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0EC8CE5C">
      <w:pPr>
        <w:tabs>
          <w:tab w:val="center" w:pos="6979"/>
        </w:tabs>
        <w:spacing w:before="156" w:beforeLines="50" w:after="156" w:afterLines="50"/>
        <w:jc w:val="center"/>
        <w:rPr>
          <w:rFonts w:ascii="宋体" w:hAnsi="宋体" w:cs="宋体"/>
          <w:b/>
          <w:bCs/>
          <w:spacing w:val="40"/>
          <w:kern w:val="0"/>
          <w:sz w:val="32"/>
          <w:szCs w:val="32"/>
        </w:rPr>
      </w:pPr>
    </w:p>
    <w:p w14:paraId="172D3886">
      <w:pPr>
        <w:tabs>
          <w:tab w:val="center" w:pos="6979"/>
        </w:tabs>
        <w:spacing w:before="156" w:beforeLines="50" w:after="156" w:afterLines="50"/>
        <w:jc w:val="center"/>
        <w:rPr>
          <w:rFonts w:ascii="宋体" w:hAnsi="宋体" w:cs="宋体"/>
          <w:b/>
          <w:bCs/>
          <w:spacing w:val="40"/>
          <w:kern w:val="0"/>
          <w:sz w:val="32"/>
          <w:szCs w:val="32"/>
        </w:rPr>
      </w:pPr>
    </w:p>
    <w:p w14:paraId="6C23CEFB">
      <w:pPr>
        <w:tabs>
          <w:tab w:val="center" w:pos="6979"/>
        </w:tabs>
        <w:spacing w:before="156" w:beforeLines="50" w:after="156" w:afterLines="50"/>
        <w:jc w:val="center"/>
        <w:rPr>
          <w:rFonts w:ascii="宋体" w:hAnsi="宋体" w:cs="宋体"/>
          <w:b/>
          <w:bCs/>
          <w:spacing w:val="40"/>
          <w:kern w:val="0"/>
          <w:sz w:val="32"/>
          <w:szCs w:val="32"/>
        </w:rPr>
      </w:pPr>
    </w:p>
    <w:p w14:paraId="6C93C027">
      <w:pPr>
        <w:tabs>
          <w:tab w:val="center" w:pos="6979"/>
        </w:tabs>
        <w:spacing w:before="156" w:beforeLines="50" w:after="156" w:afterLines="50"/>
        <w:jc w:val="center"/>
        <w:rPr>
          <w:rFonts w:ascii="宋体" w:hAnsi="宋体" w:cs="宋体"/>
          <w:b/>
          <w:bCs/>
          <w:spacing w:val="40"/>
          <w:kern w:val="0"/>
          <w:sz w:val="32"/>
          <w:szCs w:val="32"/>
        </w:rPr>
      </w:pPr>
    </w:p>
    <w:p w14:paraId="15F6E8EA">
      <w:pPr>
        <w:tabs>
          <w:tab w:val="center" w:pos="6979"/>
        </w:tabs>
        <w:spacing w:before="156" w:beforeLines="50" w:after="156" w:afterLines="50"/>
        <w:jc w:val="center"/>
        <w:rPr>
          <w:rFonts w:ascii="宋体" w:hAnsi="宋体" w:cs="宋体"/>
          <w:b/>
          <w:bCs/>
          <w:spacing w:val="40"/>
          <w:kern w:val="0"/>
          <w:sz w:val="32"/>
          <w:szCs w:val="32"/>
        </w:rPr>
      </w:pPr>
    </w:p>
    <w:p w14:paraId="3FC2B59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5C3FC546">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541A8F7F">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1C1A07DF">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一、部门基本情况</w:t>
      </w:r>
    </w:p>
    <w:p w14:paraId="627855D9">
      <w:pPr>
        <w:keepNext w:val="0"/>
        <w:keepLines w:val="0"/>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1．主要职能。</w:t>
      </w:r>
      <w:r>
        <w:rPr>
          <w:rFonts w:hint="eastAsia" w:ascii="仿宋" w:hAnsi="仿宋" w:eastAsia="仿宋" w:cs="仿宋"/>
          <w:sz w:val="28"/>
          <w:szCs w:val="28"/>
          <w:lang w:eastAsia="zh-CN"/>
        </w:rPr>
        <w:t>主要负责贯彻落实</w:t>
      </w:r>
      <w:r>
        <w:rPr>
          <w:rFonts w:hint="eastAsia" w:ascii="仿宋" w:hAnsi="仿宋" w:eastAsia="仿宋" w:cs="仿宋"/>
          <w:sz w:val="28"/>
          <w:szCs w:val="28"/>
        </w:rPr>
        <w:t>本区转业干部、退役士兵政策</w:t>
      </w:r>
      <w:r>
        <w:rPr>
          <w:rFonts w:hint="eastAsia" w:ascii="仿宋" w:hAnsi="仿宋" w:eastAsia="仿宋" w:cs="仿宋"/>
          <w:sz w:val="28"/>
          <w:szCs w:val="28"/>
          <w:lang w:val="en-US" w:eastAsia="zh-CN"/>
        </w:rPr>
        <w:t>，</w:t>
      </w:r>
      <w:r>
        <w:rPr>
          <w:rFonts w:hint="eastAsia" w:ascii="仿宋" w:hAnsi="仿宋" w:eastAsia="仿宋" w:cs="仿宋"/>
          <w:sz w:val="28"/>
          <w:szCs w:val="28"/>
          <w:lang w:eastAsia="zh-CN"/>
        </w:rPr>
        <w:t>制</w:t>
      </w:r>
      <w:r>
        <w:rPr>
          <w:rFonts w:hint="eastAsia" w:ascii="仿宋" w:hAnsi="仿宋" w:eastAsia="仿宋" w:cs="仿宋"/>
          <w:sz w:val="28"/>
          <w:szCs w:val="28"/>
        </w:rPr>
        <w:t>定</w:t>
      </w:r>
      <w:r>
        <w:rPr>
          <w:rFonts w:hint="eastAsia" w:ascii="仿宋" w:hAnsi="仿宋" w:eastAsia="仿宋" w:cs="仿宋"/>
          <w:sz w:val="28"/>
          <w:szCs w:val="28"/>
          <w:lang w:eastAsia="zh-CN"/>
        </w:rPr>
        <w:t>接收</w:t>
      </w:r>
      <w:r>
        <w:rPr>
          <w:rFonts w:hint="eastAsia" w:ascii="仿宋" w:hAnsi="仿宋" w:eastAsia="仿宋" w:cs="仿宋"/>
          <w:sz w:val="28"/>
          <w:szCs w:val="28"/>
        </w:rPr>
        <w:t>安置计划并组织实施。组织</w:t>
      </w:r>
      <w:r>
        <w:rPr>
          <w:rFonts w:hint="eastAsia" w:ascii="仿宋" w:hAnsi="仿宋" w:eastAsia="仿宋" w:cs="仿宋"/>
          <w:sz w:val="28"/>
          <w:szCs w:val="28"/>
          <w:lang w:eastAsia="zh-CN"/>
        </w:rPr>
        <w:t>开展</w:t>
      </w:r>
      <w:r>
        <w:rPr>
          <w:rFonts w:hint="eastAsia" w:ascii="仿宋" w:hAnsi="仿宋" w:eastAsia="仿宋" w:cs="仿宋"/>
          <w:sz w:val="28"/>
          <w:szCs w:val="28"/>
        </w:rPr>
        <w:t>退役军人、随军家属就业创业培训工作。负责本区军队离休退休干部、无军籍退休</w:t>
      </w:r>
      <w:r>
        <w:rPr>
          <w:rFonts w:hint="eastAsia" w:ascii="仿宋" w:hAnsi="仿宋" w:eastAsia="仿宋" w:cs="仿宋"/>
          <w:sz w:val="28"/>
          <w:szCs w:val="28"/>
          <w:lang w:eastAsia="zh-CN"/>
        </w:rPr>
        <w:t>退职</w:t>
      </w:r>
      <w:r>
        <w:rPr>
          <w:rFonts w:hint="eastAsia" w:ascii="仿宋" w:hAnsi="仿宋" w:eastAsia="仿宋" w:cs="仿宋"/>
          <w:sz w:val="28"/>
          <w:szCs w:val="28"/>
        </w:rPr>
        <w:t>职工的</w:t>
      </w:r>
      <w:r>
        <w:rPr>
          <w:rFonts w:hint="eastAsia" w:ascii="仿宋" w:hAnsi="仿宋" w:eastAsia="仿宋" w:cs="仿宋"/>
          <w:sz w:val="28"/>
          <w:szCs w:val="28"/>
          <w:lang w:eastAsia="zh-CN"/>
        </w:rPr>
        <w:t>接收</w:t>
      </w:r>
      <w:r>
        <w:rPr>
          <w:rFonts w:hint="eastAsia" w:ascii="仿宋" w:hAnsi="仿宋" w:eastAsia="仿宋" w:cs="仿宋"/>
          <w:sz w:val="28"/>
          <w:szCs w:val="28"/>
        </w:rPr>
        <w:t>和服务管理工作。承担本区拥军优属工作，负责现役军人、退役军人</w:t>
      </w:r>
      <w:r>
        <w:rPr>
          <w:rFonts w:hint="eastAsia" w:ascii="仿宋" w:hAnsi="仿宋" w:eastAsia="仿宋" w:cs="仿宋"/>
          <w:sz w:val="28"/>
          <w:szCs w:val="28"/>
          <w:lang w:eastAsia="zh-CN"/>
        </w:rPr>
        <w:t>、</w:t>
      </w:r>
      <w:r>
        <w:rPr>
          <w:rFonts w:hint="eastAsia" w:ascii="仿宋" w:hAnsi="仿宋" w:eastAsia="仿宋" w:cs="仿宋"/>
          <w:sz w:val="28"/>
          <w:szCs w:val="28"/>
        </w:rPr>
        <w:t>军属优待、抚恤工作。依法承担烈士纪念设施的保护维护工作，负责审核烈士申报、褒扬工作，组织开展烈士纪念活动。</w:t>
      </w:r>
    </w:p>
    <w:p w14:paraId="3A07A12A">
      <w:pPr>
        <w:keepNext w:val="0"/>
        <w:keepLines w:val="0"/>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highlight w:val="none"/>
        </w:rPr>
        <w:t>2．机构</w:t>
      </w:r>
      <w:r>
        <w:rPr>
          <w:rFonts w:hint="eastAsia" w:ascii="仿宋" w:hAnsi="仿宋" w:eastAsia="仿宋" w:cs="仿宋"/>
          <w:sz w:val="28"/>
          <w:szCs w:val="28"/>
          <w:highlight w:val="none"/>
          <w:lang w:eastAsia="zh-CN"/>
        </w:rPr>
        <w:t>设置</w:t>
      </w:r>
      <w:r>
        <w:rPr>
          <w:rFonts w:hint="eastAsia" w:ascii="仿宋" w:hAnsi="仿宋" w:eastAsia="仿宋" w:cs="仿宋"/>
          <w:sz w:val="28"/>
          <w:szCs w:val="28"/>
          <w:highlight w:val="none"/>
        </w:rPr>
        <w:t>情况</w:t>
      </w:r>
      <w:r>
        <w:rPr>
          <w:rFonts w:hint="eastAsia" w:ascii="仿宋" w:hAnsi="仿宋" w:eastAsia="仿宋" w:cs="仿宋"/>
          <w:sz w:val="28"/>
          <w:szCs w:val="28"/>
          <w:highlight w:val="none"/>
          <w:lang w:eastAsia="zh-CN"/>
        </w:rPr>
        <w:t>。</w:t>
      </w:r>
      <w:r>
        <w:rPr>
          <w:rFonts w:hint="eastAsia" w:ascii="仿宋" w:hAnsi="仿宋" w:eastAsia="仿宋" w:cs="仿宋"/>
          <w:sz w:val="28"/>
          <w:szCs w:val="28"/>
          <w:lang w:eastAsia="zh-CN"/>
        </w:rPr>
        <w:t>北京市大兴区退役军人事务局是区政府工作部门，为正处级。</w:t>
      </w:r>
      <w:r>
        <w:rPr>
          <w:rFonts w:hint="eastAsia" w:ascii="仿宋" w:hAnsi="仿宋" w:eastAsia="仿宋" w:cs="仿宋"/>
          <w:color w:val="000000"/>
          <w:kern w:val="0"/>
          <w:sz w:val="28"/>
          <w:szCs w:val="28"/>
          <w:lang w:eastAsia="zh-CN"/>
        </w:rPr>
        <w:t>内设</w:t>
      </w:r>
      <w:r>
        <w:rPr>
          <w:rFonts w:hint="eastAsia" w:ascii="仿宋" w:hAnsi="仿宋" w:eastAsia="仿宋" w:cs="仿宋"/>
          <w:color w:val="000000"/>
          <w:kern w:val="0"/>
          <w:sz w:val="28"/>
          <w:szCs w:val="28"/>
        </w:rPr>
        <w:t>综合办公室</w:t>
      </w:r>
      <w:r>
        <w:rPr>
          <w:rFonts w:hint="eastAsia" w:ascii="仿宋" w:hAnsi="仿宋" w:eastAsia="仿宋" w:cs="仿宋"/>
          <w:color w:val="000000"/>
          <w:kern w:val="0"/>
          <w:sz w:val="28"/>
          <w:szCs w:val="28"/>
          <w:lang w:eastAsia="zh-CN"/>
        </w:rPr>
        <w:t>，优抚褒扬工作组，移交安置工作组，财务工作组，双拥办。非独立核算公益一类正科级事业单位三家，</w:t>
      </w:r>
      <w:r>
        <w:rPr>
          <w:rFonts w:hint="eastAsia" w:ascii="仿宋" w:hAnsi="仿宋" w:eastAsia="仿宋" w:cs="仿宋"/>
          <w:sz w:val="28"/>
          <w:szCs w:val="28"/>
          <w:lang w:val="en-US" w:eastAsia="zh-CN"/>
        </w:rPr>
        <w:t>北京市大兴区退役军人服务中心；大兴区双拥共建事务中心（北京市大兴区光荣院）；北京市大兴区军队离休退休干部安置事务中心。</w:t>
      </w:r>
    </w:p>
    <w:p w14:paraId="67033D5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从预算单位构成看，本部门决算包括：大兴区退役军人事务局</w:t>
      </w:r>
      <w:r>
        <w:rPr>
          <w:rFonts w:hint="eastAsia" w:ascii="仿宋_GB2312" w:eastAsia="仿宋_GB2312"/>
          <w:sz w:val="28"/>
          <w:szCs w:val="28"/>
          <w:lang w:eastAsia="zh-CN"/>
        </w:rPr>
        <w:t>部门</w:t>
      </w:r>
      <w:r>
        <w:rPr>
          <w:rFonts w:hint="eastAsia" w:ascii="仿宋_GB2312" w:eastAsia="仿宋_GB2312"/>
          <w:sz w:val="28"/>
          <w:szCs w:val="28"/>
        </w:rPr>
        <w:t>本级预算</w:t>
      </w:r>
      <w:r>
        <w:rPr>
          <w:rFonts w:hint="eastAsia" w:ascii="仿宋_GB2312" w:eastAsia="仿宋_GB2312"/>
          <w:sz w:val="28"/>
          <w:szCs w:val="28"/>
          <w:lang w:eastAsia="zh-CN"/>
        </w:rPr>
        <w:t>和</w:t>
      </w:r>
      <w:r>
        <w:rPr>
          <w:rFonts w:hint="eastAsia" w:ascii="仿宋_GB2312" w:eastAsia="仿宋_GB2312"/>
          <w:sz w:val="28"/>
          <w:szCs w:val="28"/>
          <w:lang w:val="en-US" w:eastAsia="zh-CN"/>
        </w:rPr>
        <w:t>3个财务统一核算单位</w:t>
      </w:r>
      <w:r>
        <w:rPr>
          <w:rFonts w:hint="eastAsia" w:ascii="仿宋_GB2312" w:eastAsia="仿宋_GB2312"/>
          <w:sz w:val="28"/>
          <w:szCs w:val="28"/>
        </w:rPr>
        <w:t>。</w:t>
      </w:r>
    </w:p>
    <w:p w14:paraId="22C1265B">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具体为：</w:t>
      </w:r>
    </w:p>
    <w:p w14:paraId="0560E423">
      <w:pPr>
        <w:adjustRightInd w:val="0"/>
        <w:spacing w:line="500" w:lineRule="exact"/>
        <w:ind w:firstLine="560" w:firstLineChars="200"/>
        <w:rPr>
          <w:rFonts w:hint="eastAsia" w:ascii="仿宋" w:hAnsi="仿宋" w:eastAsia="仿宋" w:cs="仿宋"/>
          <w:color w:val="000000"/>
          <w:kern w:val="0"/>
          <w:sz w:val="28"/>
          <w:szCs w:val="28"/>
          <w:lang w:eastAsia="zh-CN"/>
        </w:rPr>
      </w:pPr>
      <w:r>
        <w:rPr>
          <w:rFonts w:hint="eastAsia" w:ascii="仿宋_GB2312" w:eastAsia="仿宋_GB2312"/>
          <w:sz w:val="28"/>
          <w:szCs w:val="28"/>
          <w:lang w:eastAsia="zh-CN"/>
        </w:rPr>
        <w:t>（一）</w:t>
      </w:r>
      <w:r>
        <w:rPr>
          <w:rFonts w:hint="eastAsia" w:ascii="仿宋_GB2312" w:hAnsi="仿宋_GB2312" w:eastAsia="仿宋_GB2312" w:cs="仿宋_GB2312"/>
          <w:color w:val="auto"/>
          <w:sz w:val="28"/>
          <w:szCs w:val="28"/>
          <w:highlight w:val="none"/>
          <w:lang w:eastAsia="zh-CN"/>
        </w:rPr>
        <w:t>北京市</w:t>
      </w:r>
      <w:r>
        <w:rPr>
          <w:rFonts w:hint="eastAsia" w:ascii="仿宋" w:hAnsi="仿宋" w:eastAsia="仿宋" w:cs="仿宋"/>
          <w:color w:val="000000"/>
          <w:kern w:val="0"/>
          <w:sz w:val="28"/>
          <w:szCs w:val="28"/>
          <w:lang w:eastAsia="zh-CN"/>
        </w:rPr>
        <w:t>大兴区退役军人事务局；</w:t>
      </w:r>
    </w:p>
    <w:p w14:paraId="5EB53377">
      <w:pPr>
        <w:tabs>
          <w:tab w:val="center" w:pos="6979"/>
        </w:tabs>
        <w:spacing w:line="580" w:lineRule="exact"/>
        <w:ind w:firstLine="570"/>
        <w:rPr>
          <w:rFonts w:hint="eastAsia" w:ascii="仿宋" w:hAnsi="仿宋" w:eastAsia="仿宋" w:cs="仿宋"/>
          <w:color w:val="000000"/>
          <w:kern w:val="0"/>
          <w:sz w:val="28"/>
          <w:szCs w:val="28"/>
          <w:highlight w:val="none"/>
        </w:rPr>
      </w:pPr>
      <w:r>
        <w:rPr>
          <w:rFonts w:hint="eastAsia" w:ascii="仿宋_GB2312" w:eastAsia="仿宋_GB2312"/>
          <w:sz w:val="28"/>
          <w:szCs w:val="28"/>
          <w:lang w:eastAsia="zh-CN"/>
        </w:rPr>
        <w:t>（二）</w:t>
      </w:r>
      <w:r>
        <w:rPr>
          <w:rFonts w:hint="eastAsia" w:ascii="仿宋_GB2312" w:hAnsi="仿宋_GB2312" w:eastAsia="仿宋_GB2312" w:cs="仿宋_GB2312"/>
          <w:color w:val="auto"/>
          <w:sz w:val="28"/>
          <w:szCs w:val="28"/>
          <w:highlight w:val="none"/>
          <w:lang w:eastAsia="zh-CN"/>
        </w:rPr>
        <w:t>北京市</w:t>
      </w:r>
      <w:r>
        <w:rPr>
          <w:rFonts w:hint="eastAsia" w:ascii="仿宋" w:hAnsi="仿宋" w:eastAsia="仿宋" w:cs="仿宋"/>
          <w:color w:val="000000"/>
          <w:kern w:val="0"/>
          <w:sz w:val="28"/>
          <w:szCs w:val="28"/>
          <w:highlight w:val="none"/>
        </w:rPr>
        <w:t>大兴区军队离休退休干部</w:t>
      </w:r>
      <w:r>
        <w:rPr>
          <w:rFonts w:hint="eastAsia" w:ascii="仿宋" w:hAnsi="仿宋" w:eastAsia="仿宋" w:cs="仿宋"/>
          <w:color w:val="000000"/>
          <w:kern w:val="0"/>
          <w:sz w:val="28"/>
          <w:szCs w:val="28"/>
          <w:highlight w:val="none"/>
          <w:lang w:eastAsia="zh-CN"/>
        </w:rPr>
        <w:t>安置事务中心</w:t>
      </w:r>
      <w:r>
        <w:rPr>
          <w:rFonts w:hint="eastAsia" w:ascii="仿宋" w:hAnsi="仿宋" w:eastAsia="仿宋" w:cs="仿宋"/>
          <w:color w:val="000000"/>
          <w:kern w:val="0"/>
          <w:sz w:val="28"/>
          <w:szCs w:val="28"/>
          <w:highlight w:val="none"/>
        </w:rPr>
        <w:t>；</w:t>
      </w:r>
    </w:p>
    <w:p w14:paraId="578C56F5">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lang w:eastAsia="zh-CN"/>
        </w:rPr>
        <w:t>（三）北京市大兴区双拥共建事务中心（北京市大兴区光荣院）；</w:t>
      </w:r>
    </w:p>
    <w:p w14:paraId="3A696622">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lang w:eastAsia="zh-CN"/>
        </w:rPr>
        <w:t>（四）</w:t>
      </w:r>
      <w:r>
        <w:rPr>
          <w:rFonts w:hint="eastAsia" w:ascii="仿宋" w:hAnsi="仿宋" w:eastAsia="仿宋" w:cs="仿宋"/>
          <w:color w:val="000000"/>
          <w:kern w:val="0"/>
          <w:sz w:val="28"/>
          <w:szCs w:val="28"/>
          <w:highlight w:val="none"/>
        </w:rPr>
        <w:t>北京市大兴区退役军人服务中心。</w:t>
      </w:r>
    </w:p>
    <w:p w14:paraId="4E96E746">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563AAA3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19635.53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1228.44</w:t>
      </w:r>
      <w:r>
        <w:rPr>
          <w:rFonts w:hint="eastAsia" w:ascii="仿宋_GB2312" w:eastAsia="仿宋_GB2312"/>
          <w:sz w:val="28"/>
          <w:szCs w:val="28"/>
        </w:rPr>
        <w:t>万元，增长</w:t>
      </w:r>
      <w:r>
        <w:rPr>
          <w:rFonts w:hint="eastAsia" w:ascii="仿宋_GB2312" w:eastAsia="仿宋_GB2312"/>
          <w:sz w:val="28"/>
          <w:szCs w:val="28"/>
          <w:lang w:val="en-US" w:eastAsia="zh-CN"/>
        </w:rPr>
        <w:t>6.26</w:t>
      </w:r>
      <w:r>
        <w:rPr>
          <w:rFonts w:hint="eastAsia" w:ascii="仿宋_GB2312" w:eastAsia="仿宋_GB2312"/>
          <w:sz w:val="28"/>
          <w:szCs w:val="28"/>
        </w:rPr>
        <w:t>%。</w:t>
      </w:r>
    </w:p>
    <w:p w14:paraId="640276D2">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2F9B75B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19118.28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hAnsi="仿宋" w:eastAsia="仿宋_GB2312"/>
          <w:strike w:val="0"/>
          <w:dstrike w:val="0"/>
          <w:sz w:val="28"/>
          <w:szCs w:val="28"/>
          <w:highlight w:val="none"/>
          <w:u w:val="none"/>
          <w:lang w:val="en-US" w:eastAsia="zh-CN"/>
        </w:rPr>
        <w:t>987.54</w:t>
      </w:r>
      <w:r>
        <w:rPr>
          <w:rFonts w:hint="eastAsia" w:ascii="仿宋_GB2312" w:eastAsia="仿宋_GB2312"/>
          <w:sz w:val="28"/>
          <w:szCs w:val="28"/>
        </w:rPr>
        <w:t>万元，增长</w:t>
      </w:r>
      <w:r>
        <w:rPr>
          <w:rFonts w:hint="eastAsia" w:ascii="仿宋_GB2312" w:hAnsi="仿宋" w:eastAsia="仿宋_GB2312"/>
          <w:strike w:val="0"/>
          <w:dstrike w:val="0"/>
          <w:sz w:val="28"/>
          <w:szCs w:val="28"/>
          <w:highlight w:val="none"/>
          <w:u w:val="none"/>
          <w:lang w:val="en-US" w:eastAsia="zh-CN"/>
        </w:rPr>
        <w:t>5.17</w:t>
      </w:r>
      <w:r>
        <w:rPr>
          <w:rFonts w:hint="eastAsia" w:ascii="仿宋_GB2312" w:eastAsia="仿宋_GB2312"/>
          <w:sz w:val="28"/>
          <w:szCs w:val="28"/>
        </w:rPr>
        <w:t>%。</w:t>
      </w:r>
    </w:p>
    <w:p w14:paraId="618C2AC3">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18302.25</w:t>
      </w:r>
      <w:r>
        <w:rPr>
          <w:rFonts w:hint="eastAsia" w:ascii="仿宋_GB2312" w:eastAsia="仿宋_GB2312"/>
          <w:sz w:val="28"/>
          <w:szCs w:val="28"/>
        </w:rPr>
        <w:t>万元，占收入合计的</w:t>
      </w:r>
      <w:r>
        <w:rPr>
          <w:rFonts w:hint="eastAsia" w:ascii="仿宋_GB2312" w:eastAsia="仿宋_GB2312"/>
          <w:sz w:val="28"/>
          <w:szCs w:val="28"/>
          <w:lang w:eastAsia="zh-CN"/>
        </w:rPr>
        <w:t>95.73%。</w:t>
      </w:r>
      <w:r>
        <w:rPr>
          <w:rFonts w:hint="eastAsia" w:ascii="仿宋_GB2312" w:eastAsia="仿宋_GB2312"/>
          <w:sz w:val="28"/>
          <w:szCs w:val="28"/>
        </w:rPr>
        <w:t>其中：一般公共预算财政拨款收入</w:t>
      </w:r>
      <w:r>
        <w:rPr>
          <w:rFonts w:hint="eastAsia" w:ascii="仿宋_GB2312" w:hAnsi="仿宋" w:eastAsia="仿宋_GB2312"/>
          <w:sz w:val="28"/>
          <w:szCs w:val="28"/>
          <w:lang w:val="en-US" w:eastAsia="zh-CN"/>
        </w:rPr>
        <w:t>18302.25</w:t>
      </w:r>
      <w:r>
        <w:rPr>
          <w:rFonts w:hint="eastAsia" w:ascii="仿宋_GB2312" w:eastAsia="仿宋_GB2312"/>
          <w:sz w:val="28"/>
          <w:szCs w:val="28"/>
        </w:rPr>
        <w:t>万元，占收入合计的</w:t>
      </w:r>
      <w:r>
        <w:rPr>
          <w:rFonts w:hint="eastAsia" w:ascii="仿宋_GB2312" w:eastAsia="仿宋_GB2312"/>
          <w:sz w:val="28"/>
          <w:szCs w:val="28"/>
          <w:lang w:val="en-US" w:eastAsia="zh-CN"/>
        </w:rPr>
        <w:t>95.73</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0741E2B4">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03F00028">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14AE98D7">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26471F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4FECCC9">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816.03</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4.27</w:t>
      </w:r>
      <w:r>
        <w:rPr>
          <w:rFonts w:hint="eastAsia" w:ascii="仿宋_GB2312" w:eastAsia="仿宋_GB2312"/>
          <w:sz w:val="28"/>
          <w:szCs w:val="28"/>
          <w:highlight w:val="none"/>
        </w:rPr>
        <w:t>%。</w:t>
      </w:r>
    </w:p>
    <w:p w14:paraId="76A848AB">
      <w:pPr>
        <w:pStyle w:val="2"/>
        <w:ind w:firstLine="0"/>
        <w:jc w:val="center"/>
      </w:pPr>
      <w:r>
        <w:rPr>
          <w:rFonts w:hint="eastAsia" w:ascii="仿宋_GB2312" w:eastAsia="仿宋_GB2312"/>
          <w:color w:val="000000"/>
          <w:sz w:val="32"/>
          <w:szCs w:val="32"/>
          <w:highlight w:val="none"/>
          <w:lang w:val="en-US" w:eastAsia="zh-CN"/>
        </w:rPr>
        <w:t>图1：收入决算</w:t>
      </w:r>
    </w:p>
    <w:p w14:paraId="695D9F50">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0CCEE9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D27022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19290.85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883.77</w:t>
      </w:r>
      <w:r>
        <w:rPr>
          <w:rFonts w:hint="eastAsia" w:ascii="仿宋_GB2312" w:eastAsia="仿宋_GB2312"/>
          <w:sz w:val="28"/>
          <w:szCs w:val="28"/>
        </w:rPr>
        <w:t>万元，增长</w:t>
      </w:r>
      <w:r>
        <w:rPr>
          <w:rFonts w:hint="eastAsia" w:ascii="仿宋_GB2312" w:eastAsia="仿宋_GB2312"/>
          <w:sz w:val="28"/>
          <w:szCs w:val="28"/>
          <w:lang w:val="en-US" w:eastAsia="zh-CN"/>
        </w:rPr>
        <w:t>4.58</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1657.33</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8.59</w:t>
      </w:r>
      <w:r>
        <w:rPr>
          <w:rFonts w:hint="eastAsia" w:ascii="仿宋_GB2312" w:eastAsia="仿宋_GB2312"/>
          <w:sz w:val="28"/>
          <w:szCs w:val="28"/>
          <w:highlight w:val="none"/>
        </w:rPr>
        <w:t>%；项目支出</w:t>
      </w:r>
      <w:r>
        <w:rPr>
          <w:rFonts w:ascii="仿宋_GB2312" w:eastAsia="仿宋_GB2312"/>
          <w:sz w:val="28"/>
          <w:szCs w:val="28"/>
          <w:highlight w:val="none"/>
        </w:rPr>
        <w:t>17633.52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91.41</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408D234B">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7F9E0C8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A448340">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2B35022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18819.31</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688.58</w:t>
      </w:r>
      <w:r>
        <w:rPr>
          <w:rFonts w:hint="eastAsia" w:ascii="仿宋_GB2312" w:eastAsia="仿宋_GB2312"/>
          <w:sz w:val="28"/>
          <w:szCs w:val="28"/>
        </w:rPr>
        <w:t>万元，增长</w:t>
      </w:r>
      <w:r>
        <w:rPr>
          <w:rFonts w:hint="eastAsia" w:ascii="仿宋_GB2312" w:eastAsia="仿宋_GB2312"/>
          <w:sz w:val="28"/>
          <w:szCs w:val="28"/>
          <w:lang w:val="en-US" w:eastAsia="zh-CN"/>
        </w:rPr>
        <w:t>3.80</w:t>
      </w:r>
      <w:r>
        <w:rPr>
          <w:rFonts w:hint="eastAsia" w:ascii="仿宋_GB2312" w:eastAsia="仿宋_GB2312"/>
          <w:sz w:val="28"/>
          <w:szCs w:val="28"/>
        </w:rPr>
        <w:t>%。主要原因：</w:t>
      </w:r>
      <w:r>
        <w:rPr>
          <w:rFonts w:hint="eastAsia" w:ascii="仿宋_GB2312" w:eastAsia="仿宋_GB2312"/>
          <w:sz w:val="28"/>
          <w:szCs w:val="28"/>
          <w:lang w:eastAsia="zh-CN"/>
        </w:rPr>
        <w:t>落实服务对象待遇发放住房补贴</w:t>
      </w:r>
      <w:r>
        <w:rPr>
          <w:rFonts w:hint="eastAsia" w:ascii="仿宋_GB2312" w:eastAsia="仿宋_GB2312"/>
          <w:sz w:val="28"/>
          <w:szCs w:val="28"/>
        </w:rPr>
        <w:t>。</w:t>
      </w:r>
    </w:p>
    <w:p w14:paraId="7A5AF734">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488E867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652B2546">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18819.31</w:t>
      </w:r>
      <w:r>
        <w:rPr>
          <w:rFonts w:hint="eastAsia" w:ascii="仿宋_GB2312" w:eastAsia="仿宋_GB2312"/>
          <w:sz w:val="28"/>
          <w:szCs w:val="28"/>
        </w:rPr>
        <w:t>万元，主要用于以下方面（按大类）：</w:t>
      </w:r>
      <w:r>
        <w:rPr>
          <w:rFonts w:hint="eastAsia" w:ascii="仿宋_GB2312" w:eastAsia="仿宋_GB2312"/>
          <w:sz w:val="28"/>
          <w:szCs w:val="28"/>
          <w:highlight w:val="none"/>
          <w:lang w:eastAsia="zh-CN"/>
        </w:rPr>
        <w:t>教育支出</w:t>
      </w:r>
      <w:r>
        <w:rPr>
          <w:rFonts w:hint="eastAsia" w:ascii="仿宋_GB2312" w:eastAsia="仿宋_GB2312"/>
          <w:sz w:val="28"/>
          <w:szCs w:val="28"/>
          <w:highlight w:val="none"/>
          <w:lang w:val="en-US" w:eastAsia="zh-CN"/>
        </w:rPr>
        <w:t>9.38万元，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0.05</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社会保障和就业支出</w:t>
      </w:r>
      <w:r>
        <w:rPr>
          <w:rFonts w:hint="eastAsia" w:ascii="仿宋_GB2312" w:eastAsia="仿宋_GB2312"/>
          <w:sz w:val="28"/>
          <w:szCs w:val="28"/>
          <w:highlight w:val="none"/>
          <w:lang w:val="en-US" w:eastAsia="zh-CN"/>
        </w:rPr>
        <w:t>18163.15</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96.51</w:t>
      </w:r>
      <w:r>
        <w:rPr>
          <w:rFonts w:hint="eastAsia" w:ascii="仿宋_GB2312" w:eastAsia="仿宋_GB2312"/>
          <w:sz w:val="28"/>
          <w:szCs w:val="28"/>
          <w:highlight w:val="none"/>
        </w:rPr>
        <w:t>%； 卫生健康支出</w:t>
      </w:r>
      <w:r>
        <w:rPr>
          <w:rFonts w:hint="eastAsia" w:ascii="仿宋_GB2312" w:eastAsia="仿宋_GB2312"/>
          <w:sz w:val="28"/>
          <w:szCs w:val="28"/>
          <w:highlight w:val="none"/>
          <w:lang w:val="en-US" w:eastAsia="zh-CN"/>
        </w:rPr>
        <w:t>129.72万元，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0.69</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；住房保障支出517.06万元，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2.75</w:t>
      </w:r>
      <w:r>
        <w:rPr>
          <w:rFonts w:hint="eastAsia" w:ascii="仿宋_GB2312" w:eastAsia="仿宋_GB2312"/>
          <w:sz w:val="28"/>
          <w:szCs w:val="28"/>
          <w:highlight w:val="none"/>
        </w:rPr>
        <w:t>%。</w:t>
      </w:r>
    </w:p>
    <w:p w14:paraId="06DBB90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20231C73">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highlight w:val="none"/>
          <w:lang w:val="en-US" w:eastAsia="zh-CN"/>
        </w:rPr>
        <w:t>“教育支出”（类）2024年度年初预算16.62万元，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年度决算9.3</w:t>
      </w:r>
      <w:r>
        <w:rPr>
          <w:rFonts w:hint="eastAsia" w:ascii="仿宋_GB2312" w:eastAsia="仿宋_GB2312"/>
          <w:sz w:val="28"/>
          <w:szCs w:val="28"/>
          <w:highlight w:val="none"/>
          <w:lang w:val="en-US" w:eastAsia="zh-CN"/>
        </w:rPr>
        <w:t>8万元，完成年初预算56.44%，其中：进修及培训(款）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年度决算9.3</w:t>
      </w:r>
      <w:r>
        <w:rPr>
          <w:rFonts w:hint="eastAsia" w:ascii="仿宋_GB2312" w:eastAsia="仿宋_GB2312"/>
          <w:sz w:val="28"/>
          <w:szCs w:val="28"/>
          <w:highlight w:val="none"/>
          <w:lang w:val="en-US" w:eastAsia="zh-CN"/>
        </w:rPr>
        <w:t>8万元，比2024年</w:t>
      </w:r>
      <w:r>
        <w:rPr>
          <w:rFonts w:hint="eastAsia" w:ascii="仿宋_GB2312" w:eastAsia="仿宋_GB2312"/>
          <w:sz w:val="28"/>
          <w:szCs w:val="28"/>
          <w:highlight w:val="none"/>
        </w:rPr>
        <w:t>度年初预算</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7.24万元，下降43.56%，主要原因：压减培训费支出。</w:t>
      </w:r>
    </w:p>
    <w:p w14:paraId="3E2A0424">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rPr>
        <w:t>2、</w:t>
      </w:r>
      <w:r>
        <w:rPr>
          <w:rFonts w:hint="eastAsia" w:ascii="仿宋_GB2312" w:eastAsia="仿宋_GB2312"/>
          <w:color w:val="auto"/>
          <w:sz w:val="28"/>
          <w:szCs w:val="28"/>
          <w:highlight w:val="none"/>
        </w:rPr>
        <w:t>“社会保障和就业支出”（类）</w:t>
      </w:r>
      <w:r>
        <w:rPr>
          <w:rFonts w:hint="eastAsia" w:ascii="仿宋_GB2312" w:eastAsia="仿宋_GB2312"/>
          <w:color w:val="auto"/>
          <w:sz w:val="28"/>
          <w:szCs w:val="28"/>
          <w:highlight w:val="none"/>
          <w:lang w:val="en-US" w:eastAsia="zh-CN"/>
        </w:rPr>
        <w:t>2024年度年初预算19431.01万元，</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18163.15</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val="en-US" w:eastAsia="zh-CN"/>
        </w:rPr>
        <w:t>完</w:t>
      </w:r>
      <w:r>
        <w:rPr>
          <w:rFonts w:hint="eastAsia" w:ascii="仿宋_GB2312" w:eastAsia="仿宋_GB2312"/>
          <w:sz w:val="28"/>
          <w:szCs w:val="28"/>
          <w:highlight w:val="none"/>
          <w:lang w:val="en-US" w:eastAsia="zh-CN"/>
        </w:rPr>
        <w:t>成年初预算93.48%</w:t>
      </w:r>
      <w:r>
        <w:rPr>
          <w:rFonts w:hint="eastAsia" w:ascii="仿宋_GB2312" w:eastAsia="仿宋_GB2312"/>
          <w:sz w:val="28"/>
          <w:szCs w:val="28"/>
          <w:highlight w:val="none"/>
        </w:rPr>
        <w:t>其中：</w:t>
      </w:r>
    </w:p>
    <w:p w14:paraId="3F38CCCA">
      <w:pPr>
        <w:widowControl/>
        <w:spacing w:line="578" w:lineRule="atLeast"/>
        <w:ind w:firstLine="561"/>
        <w:jc w:val="left"/>
        <w:rPr>
          <w:rFonts w:hint="eastAsia" w:ascii="仿宋_GB2312" w:eastAsia="仿宋_GB2312"/>
          <w:sz w:val="28"/>
          <w:szCs w:val="28"/>
          <w:highlight w:val="none"/>
        </w:rPr>
      </w:pPr>
      <w:r>
        <w:rPr>
          <w:rFonts w:hint="eastAsia" w:ascii="仿宋_GB2312" w:eastAsia="仿宋_GB2312"/>
          <w:sz w:val="28"/>
          <w:szCs w:val="28"/>
          <w:highlight w:val="none"/>
        </w:rPr>
        <w:t>“行政事业单位养老支出”（款</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2024年度年初预算</w:t>
      </w:r>
      <w:r>
        <w:rPr>
          <w:rFonts w:hint="eastAsia" w:ascii="仿宋" w:hAnsi="仿宋" w:eastAsia="仿宋" w:cs="仿宋"/>
          <w:b w:val="0"/>
          <w:bCs w:val="0"/>
          <w:i w:val="0"/>
          <w:iCs w:val="0"/>
          <w:color w:val="auto"/>
          <w:kern w:val="0"/>
          <w:sz w:val="28"/>
          <w:szCs w:val="28"/>
          <w:u w:val="none"/>
          <w:lang w:val="en-US" w:eastAsia="zh-CN" w:bidi="ar"/>
        </w:rPr>
        <w:t>171.13万元</w:t>
      </w:r>
      <w:r>
        <w:rPr>
          <w:rFonts w:hint="eastAsia" w:ascii="仿宋" w:hAnsi="仿宋" w:eastAsia="仿宋" w:cs="仿宋"/>
          <w:b/>
          <w:bCs/>
          <w:i w:val="0"/>
          <w:iCs w:val="0"/>
          <w:color w:val="auto"/>
          <w:kern w:val="0"/>
          <w:sz w:val="28"/>
          <w:szCs w:val="28"/>
          <w:u w:val="none"/>
          <w:lang w:val="en-US" w:eastAsia="zh-CN" w:bidi="ar"/>
        </w:rPr>
        <w:t>，</w:t>
      </w:r>
      <w:r>
        <w:rPr>
          <w:rFonts w:hint="eastAsia" w:ascii="仿宋_GB2312" w:eastAsia="仿宋_GB2312"/>
          <w:color w:val="auto"/>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年度决算1</w:t>
      </w:r>
      <w:r>
        <w:rPr>
          <w:rFonts w:hint="eastAsia" w:ascii="仿宋_GB2312" w:eastAsia="仿宋_GB2312"/>
          <w:sz w:val="28"/>
          <w:szCs w:val="28"/>
          <w:highlight w:val="none"/>
          <w:lang w:val="en-US" w:eastAsia="zh-CN"/>
        </w:rPr>
        <w:t>85.02</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完成年初预算108.12%</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保险基数</w:t>
      </w:r>
      <w:r>
        <w:rPr>
          <w:rFonts w:hint="eastAsia" w:ascii="仿宋_GB2312" w:eastAsia="仿宋_GB2312"/>
          <w:color w:val="auto"/>
          <w:sz w:val="28"/>
          <w:szCs w:val="28"/>
          <w:highlight w:val="none"/>
          <w:lang w:eastAsia="zh-CN"/>
        </w:rPr>
        <w:t>增加</w:t>
      </w:r>
      <w:r>
        <w:rPr>
          <w:rFonts w:hint="eastAsia" w:ascii="仿宋_GB2312" w:eastAsia="仿宋_GB2312"/>
          <w:color w:val="auto"/>
          <w:sz w:val="28"/>
          <w:szCs w:val="28"/>
          <w:highlight w:val="none"/>
          <w:lang w:val="en-US" w:eastAsia="zh-CN"/>
        </w:rPr>
        <w:t>,保险费增长</w:t>
      </w:r>
      <w:r>
        <w:rPr>
          <w:rFonts w:hint="eastAsia" w:ascii="仿宋_GB2312" w:eastAsia="仿宋_GB2312"/>
          <w:color w:val="auto"/>
          <w:sz w:val="28"/>
          <w:szCs w:val="28"/>
          <w:highlight w:val="none"/>
        </w:rPr>
        <w:t>。</w:t>
      </w:r>
    </w:p>
    <w:p w14:paraId="7F2C60EB">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rPr>
        <w:t>“抚恤”（款）</w:t>
      </w:r>
      <w:r>
        <w:rPr>
          <w:rFonts w:hint="eastAsia" w:ascii="仿宋_GB2312" w:eastAsia="仿宋_GB2312"/>
          <w:color w:val="auto"/>
          <w:sz w:val="28"/>
          <w:szCs w:val="28"/>
          <w:highlight w:val="none"/>
          <w:lang w:val="en-US" w:eastAsia="zh-CN"/>
        </w:rPr>
        <w:t>2024年度年初预算</w:t>
      </w:r>
      <w:r>
        <w:rPr>
          <w:rFonts w:hint="eastAsia" w:ascii="仿宋" w:hAnsi="仿宋" w:eastAsia="仿宋" w:cs="仿宋"/>
          <w:b w:val="0"/>
          <w:bCs w:val="0"/>
          <w:color w:val="auto"/>
          <w:kern w:val="0"/>
          <w:sz w:val="28"/>
          <w:szCs w:val="28"/>
          <w:lang w:val="en-US" w:eastAsia="zh-CN"/>
        </w:rPr>
        <w:t>6119.56万元，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年度决算4834.87万元，</w:t>
      </w:r>
      <w:r>
        <w:rPr>
          <w:rFonts w:hint="eastAsia" w:ascii="仿宋_GB2312" w:eastAsia="仿宋_GB2312"/>
          <w:sz w:val="28"/>
          <w:szCs w:val="28"/>
          <w:highlight w:val="none"/>
          <w:lang w:val="en-US" w:eastAsia="zh-CN"/>
        </w:rPr>
        <w:t>完成年初预算79.01%</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主要原因：</w:t>
      </w:r>
      <w:r>
        <w:rPr>
          <w:rFonts w:hint="eastAsia" w:ascii="仿宋_GB2312" w:eastAsia="仿宋_GB2312"/>
          <w:sz w:val="28"/>
          <w:szCs w:val="28"/>
          <w:highlight w:val="none"/>
        </w:rPr>
        <w:t>优抚对象新增人员比往年增加人数减少，导致当年发放补助金减少；北京市定期补助金调标文件当年未下达，预计调标部分于次年文件下达后落实发放</w:t>
      </w:r>
      <w:r>
        <w:rPr>
          <w:rFonts w:hint="eastAsia" w:ascii="仿宋_GB2312" w:eastAsia="仿宋_GB2312"/>
          <w:sz w:val="28"/>
          <w:szCs w:val="28"/>
          <w:highlight w:val="none"/>
          <w:lang w:eastAsia="zh-CN"/>
        </w:rPr>
        <w:t>；病故军人减少，导致一次性抚恤金支付减少。</w:t>
      </w:r>
    </w:p>
    <w:p w14:paraId="036B557D">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“退役安置”（款）</w:t>
      </w:r>
      <w:r>
        <w:rPr>
          <w:rFonts w:hint="eastAsia" w:ascii="仿宋_GB2312" w:eastAsia="仿宋_GB2312"/>
          <w:color w:val="auto"/>
          <w:sz w:val="28"/>
          <w:szCs w:val="28"/>
          <w:highlight w:val="none"/>
          <w:lang w:val="en-US" w:eastAsia="zh-CN"/>
        </w:rPr>
        <w:t>2024年度年初预算</w:t>
      </w:r>
      <w:r>
        <w:rPr>
          <w:rFonts w:hint="eastAsia" w:ascii="仿宋" w:hAnsi="仿宋" w:eastAsia="仿宋" w:cs="仿宋"/>
          <w:b w:val="0"/>
          <w:bCs w:val="0"/>
          <w:color w:val="auto"/>
          <w:kern w:val="0"/>
          <w:sz w:val="28"/>
          <w:szCs w:val="28"/>
          <w:lang w:val="en-US" w:eastAsia="zh-CN"/>
        </w:rPr>
        <w:t>10855.88万元，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年度决算10885.0</w:t>
      </w: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完成年初预算100.27%</w:t>
      </w:r>
      <w:r>
        <w:rPr>
          <w:rFonts w:hint="eastAsia" w:ascii="仿宋_GB2312" w:eastAsia="仿宋_GB2312"/>
          <w:sz w:val="28"/>
          <w:szCs w:val="28"/>
          <w:highlight w:val="none"/>
        </w:rPr>
        <w:t>。主要原因：</w:t>
      </w:r>
      <w:r>
        <w:rPr>
          <w:rFonts w:hint="eastAsia" w:ascii="仿宋_GB2312" w:eastAsia="仿宋_GB2312"/>
          <w:color w:val="auto"/>
          <w:sz w:val="28"/>
          <w:szCs w:val="28"/>
          <w:highlight w:val="none"/>
          <w:lang w:eastAsia="zh-CN"/>
        </w:rPr>
        <w:t>军休干部增资。</w:t>
      </w:r>
    </w:p>
    <w:p w14:paraId="322CEAD7">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 w:hAnsi="仿宋" w:eastAsia="仿宋_GB2312" w:cs="仿宋"/>
          <w:color w:val="auto"/>
          <w:sz w:val="28"/>
          <w:szCs w:val="28"/>
          <w:highlight w:val="none"/>
          <w:lang w:val="en-US" w:eastAsia="zh-CN"/>
        </w:rPr>
      </w:pPr>
      <w:r>
        <w:rPr>
          <w:rFonts w:hint="eastAsia" w:ascii="仿宋_GB2312" w:eastAsia="仿宋_GB2312"/>
          <w:sz w:val="28"/>
          <w:szCs w:val="28"/>
          <w:highlight w:val="none"/>
        </w:rPr>
        <w:t>“社会福利”（款</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2024年度年初预算</w:t>
      </w:r>
      <w:r>
        <w:rPr>
          <w:rFonts w:hint="eastAsia" w:ascii="仿宋" w:hAnsi="仿宋" w:eastAsia="仿宋" w:cs="仿宋"/>
          <w:b w:val="0"/>
          <w:bCs w:val="0"/>
          <w:color w:val="auto"/>
          <w:kern w:val="0"/>
          <w:sz w:val="28"/>
          <w:szCs w:val="28"/>
          <w:lang w:val="en-US" w:eastAsia="zh-CN"/>
        </w:rPr>
        <w:t>17.66万元，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年度决算17.66万元，</w:t>
      </w:r>
      <w:r>
        <w:rPr>
          <w:rFonts w:hint="eastAsia" w:ascii="仿宋_GB2312" w:eastAsia="仿宋_GB2312"/>
          <w:sz w:val="28"/>
          <w:szCs w:val="28"/>
          <w:highlight w:val="none"/>
          <w:lang w:val="en-US" w:eastAsia="zh-CN"/>
        </w:rPr>
        <w:t>完成年初预算100%</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市级下达我</w:t>
      </w:r>
      <w:r>
        <w:rPr>
          <w:rFonts w:hint="eastAsia" w:ascii="仿宋_GB2312" w:eastAsia="仿宋_GB2312"/>
          <w:sz w:val="28"/>
          <w:szCs w:val="28"/>
          <w:highlight w:val="none"/>
        </w:rPr>
        <w:t>区</w:t>
      </w:r>
      <w:r>
        <w:rPr>
          <w:rFonts w:hint="eastAsia" w:ascii="仿宋_GB2312" w:eastAsia="仿宋_GB2312"/>
          <w:sz w:val="28"/>
          <w:szCs w:val="28"/>
          <w:highlight w:val="none"/>
          <w:lang w:eastAsia="zh-CN"/>
        </w:rPr>
        <w:t>上年度</w:t>
      </w:r>
      <w:r>
        <w:rPr>
          <w:rFonts w:hint="eastAsia" w:ascii="仿宋_GB2312" w:eastAsia="仿宋_GB2312"/>
          <w:sz w:val="28"/>
          <w:szCs w:val="28"/>
          <w:highlight w:val="none"/>
        </w:rPr>
        <w:t>垫付优抚对象物价临时补贴</w:t>
      </w:r>
      <w:r>
        <w:rPr>
          <w:rFonts w:hint="eastAsia" w:ascii="仿宋_GB2312" w:eastAsia="仿宋_GB2312"/>
          <w:sz w:val="28"/>
          <w:szCs w:val="28"/>
          <w:highlight w:val="none"/>
          <w:lang w:eastAsia="zh-CN"/>
        </w:rPr>
        <w:t>。</w:t>
      </w:r>
    </w:p>
    <w:p w14:paraId="34269744">
      <w:pPr>
        <w:spacing w:line="580" w:lineRule="exact"/>
        <w:ind w:firstLine="560" w:firstLineChars="200"/>
        <w:rPr>
          <w:rFonts w:hint="eastAsia" w:ascii="仿宋_GB2312" w:eastAsia="仿宋_GB2312"/>
          <w:color w:val="auto"/>
          <w:sz w:val="28"/>
          <w:szCs w:val="28"/>
          <w:highlight w:val="none"/>
          <w:lang w:eastAsia="zh-CN"/>
        </w:rPr>
      </w:pPr>
      <w:r>
        <w:rPr>
          <w:rFonts w:hint="eastAsia" w:ascii="仿宋_GB2312" w:eastAsia="仿宋_GB2312"/>
          <w:sz w:val="28"/>
          <w:szCs w:val="28"/>
          <w:highlight w:val="none"/>
        </w:rPr>
        <w:t>“退役军人管理事务”（款）</w:t>
      </w:r>
      <w:r>
        <w:rPr>
          <w:rFonts w:hint="eastAsia" w:ascii="仿宋_GB2312" w:eastAsia="仿宋_GB2312"/>
          <w:color w:val="auto"/>
          <w:sz w:val="28"/>
          <w:szCs w:val="28"/>
          <w:highlight w:val="none"/>
          <w:lang w:val="en-US" w:eastAsia="zh-CN"/>
        </w:rPr>
        <w:t>2024年度年初预算</w:t>
      </w:r>
      <w:r>
        <w:rPr>
          <w:rFonts w:hint="eastAsia" w:ascii="仿宋" w:hAnsi="仿宋" w:eastAsia="仿宋" w:cs="仿宋"/>
          <w:b w:val="0"/>
          <w:bCs w:val="0"/>
          <w:color w:val="auto"/>
          <w:kern w:val="0"/>
          <w:sz w:val="28"/>
          <w:szCs w:val="28"/>
          <w:lang w:val="en-US" w:eastAsia="zh-CN"/>
        </w:rPr>
        <w:t>2266.78万元，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年度决算2240.5</w:t>
      </w: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完成年初预算98.84%</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领取</w:t>
      </w:r>
      <w:r>
        <w:rPr>
          <w:rFonts w:hint="eastAsia" w:ascii="仿宋_GB2312" w:eastAsia="仿宋_GB2312"/>
          <w:sz w:val="28"/>
          <w:szCs w:val="28"/>
          <w:highlight w:val="none"/>
        </w:rPr>
        <w:t>驻区部队随军家属自谋职业补助金</w:t>
      </w:r>
      <w:r>
        <w:rPr>
          <w:rFonts w:hint="eastAsia" w:ascii="仿宋_GB2312" w:eastAsia="仿宋_GB2312"/>
          <w:sz w:val="28"/>
          <w:szCs w:val="28"/>
          <w:highlight w:val="none"/>
          <w:lang w:eastAsia="zh-CN"/>
        </w:rPr>
        <w:t>人员减少。</w:t>
      </w:r>
    </w:p>
    <w:p w14:paraId="2D207FCA">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.“卫生健康支出”（类）</w:t>
      </w:r>
      <w:r>
        <w:rPr>
          <w:rFonts w:hint="eastAsia" w:ascii="仿宋_GB2312" w:eastAsia="仿宋_GB2312"/>
          <w:sz w:val="28"/>
          <w:szCs w:val="28"/>
          <w:highlight w:val="none"/>
          <w:lang w:val="en-US" w:eastAsia="zh-CN"/>
        </w:rPr>
        <w:t>2024年度年初预算119.64万元，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129.72万元，完成年初预算108.43%</w:t>
      </w:r>
      <w:r>
        <w:rPr>
          <w:rFonts w:hint="eastAsia" w:ascii="仿宋_GB2312" w:eastAsia="仿宋_GB2312"/>
          <w:sz w:val="28"/>
          <w:szCs w:val="28"/>
          <w:highlight w:val="none"/>
        </w:rPr>
        <w:t>。其中：</w:t>
      </w:r>
    </w:p>
    <w:p w14:paraId="00C44BE0">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rPr>
        <w:t>“行政事业单位医疗”（款）</w:t>
      </w:r>
      <w:r>
        <w:rPr>
          <w:rFonts w:hint="eastAsia" w:ascii="仿宋_GB2312" w:eastAsia="仿宋_GB2312"/>
          <w:sz w:val="28"/>
          <w:szCs w:val="28"/>
          <w:highlight w:val="none"/>
          <w:lang w:val="en-US" w:eastAsia="zh-CN"/>
        </w:rPr>
        <w:t>2024年度年初预算119.64万元，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129.72</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完成年初预算108.43%</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保险基数</w:t>
      </w:r>
      <w:r>
        <w:rPr>
          <w:rFonts w:hint="eastAsia" w:ascii="仿宋_GB2312" w:eastAsia="仿宋_GB2312"/>
          <w:color w:val="auto"/>
          <w:sz w:val="28"/>
          <w:szCs w:val="28"/>
          <w:highlight w:val="none"/>
          <w:lang w:eastAsia="zh-CN"/>
        </w:rPr>
        <w:t>增加</w:t>
      </w:r>
      <w:r>
        <w:rPr>
          <w:rFonts w:hint="eastAsia" w:ascii="仿宋_GB2312" w:eastAsia="仿宋_GB2312"/>
          <w:color w:val="auto"/>
          <w:sz w:val="28"/>
          <w:szCs w:val="28"/>
          <w:highlight w:val="none"/>
          <w:lang w:val="en-US" w:eastAsia="zh-CN"/>
        </w:rPr>
        <w:t>,保险费增长</w:t>
      </w:r>
      <w:r>
        <w:rPr>
          <w:rFonts w:hint="eastAsia" w:ascii="仿宋_GB2312" w:eastAsia="仿宋_GB2312"/>
          <w:color w:val="auto"/>
          <w:sz w:val="28"/>
          <w:szCs w:val="28"/>
          <w:highlight w:val="none"/>
        </w:rPr>
        <w:t>。</w:t>
      </w:r>
    </w:p>
    <w:p w14:paraId="28D2EC85">
      <w:pPr>
        <w:spacing w:line="580" w:lineRule="exact"/>
        <w:ind w:firstLine="560" w:firstLineChars="200"/>
        <w:rPr>
          <w:rFonts w:hint="eastAsia" w:ascii="仿宋_GB2312" w:eastAsia="仿宋_GB2312"/>
          <w:sz w:val="28"/>
          <w:szCs w:val="28"/>
          <w:highlight w:val="none"/>
        </w:rPr>
      </w:pP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“住房保障支出” （类）</w:t>
      </w:r>
      <w:r>
        <w:rPr>
          <w:rFonts w:hint="eastAsia" w:ascii="仿宋_GB2312" w:eastAsia="仿宋_GB2312"/>
          <w:color w:val="auto"/>
          <w:sz w:val="28"/>
          <w:szCs w:val="28"/>
          <w:highlight w:val="none"/>
          <w:lang w:val="en-US" w:eastAsia="zh-CN"/>
        </w:rPr>
        <w:t>2024年度年初预算0万元，</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年度决算</w:t>
      </w:r>
      <w:r>
        <w:rPr>
          <w:rFonts w:hint="eastAsia" w:ascii="仿宋_GB2312" w:eastAsia="仿宋_GB2312"/>
          <w:color w:val="auto"/>
          <w:sz w:val="28"/>
          <w:szCs w:val="28"/>
          <w:highlight w:val="none"/>
          <w:lang w:val="en-US" w:eastAsia="zh-CN"/>
        </w:rPr>
        <w:t>517.06</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eastAsia="zh-CN"/>
        </w:rPr>
        <w:t>完成年初预算</w:t>
      </w:r>
      <w:r>
        <w:rPr>
          <w:rFonts w:hint="eastAsia" w:ascii="仿宋_GB2312" w:eastAsia="仿宋_GB2312"/>
          <w:color w:val="auto"/>
          <w:sz w:val="28"/>
          <w:szCs w:val="28"/>
          <w:highlight w:val="none"/>
          <w:lang w:val="en-US" w:eastAsia="zh-CN"/>
        </w:rPr>
        <w:t>100%</w:t>
      </w:r>
      <w:r>
        <w:rPr>
          <w:rFonts w:hint="eastAsia" w:ascii="仿宋_GB2312" w:eastAsia="仿宋_GB2312"/>
          <w:color w:val="auto"/>
          <w:sz w:val="28"/>
          <w:szCs w:val="28"/>
          <w:highlight w:val="none"/>
        </w:rPr>
        <w:t>。</w:t>
      </w:r>
      <w:r>
        <w:rPr>
          <w:rFonts w:hint="eastAsia" w:ascii="仿宋_GB2312" w:eastAsia="仿宋_GB2312"/>
          <w:sz w:val="28"/>
          <w:szCs w:val="28"/>
          <w:highlight w:val="none"/>
        </w:rPr>
        <w:t>其中：</w:t>
      </w:r>
    </w:p>
    <w:p w14:paraId="22A04582">
      <w:pPr>
        <w:spacing w:line="580" w:lineRule="exact"/>
        <w:ind w:firstLine="560" w:firstLineChars="200"/>
        <w:rPr>
          <w:rFonts w:ascii="仿宋_GB2312" w:eastAsia="仿宋_GB2312"/>
          <w:sz w:val="28"/>
          <w:szCs w:val="28"/>
        </w:rPr>
      </w:pPr>
      <w:r>
        <w:rPr>
          <w:rFonts w:hint="eastAsia" w:ascii="仿宋_GB2312" w:eastAsia="仿宋_GB2312"/>
          <w:sz w:val="28"/>
          <w:szCs w:val="28"/>
          <w:highlight w:val="none"/>
        </w:rPr>
        <w:t>“住房改革支出”（款）</w:t>
      </w:r>
      <w:r>
        <w:rPr>
          <w:rFonts w:hint="eastAsia" w:ascii="仿宋_GB2312" w:eastAsia="仿宋_GB2312"/>
          <w:color w:val="auto"/>
          <w:sz w:val="28"/>
          <w:szCs w:val="28"/>
          <w:highlight w:val="none"/>
          <w:lang w:val="en-US" w:eastAsia="zh-CN"/>
        </w:rPr>
        <w:t>2024年度年初预算0万元，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517.06</w:t>
      </w:r>
      <w:r>
        <w:rPr>
          <w:rFonts w:hint="eastAsia" w:ascii="仿宋_GB2312" w:eastAsia="仿宋_GB2312"/>
          <w:sz w:val="28"/>
          <w:szCs w:val="28"/>
          <w:highlight w:val="none"/>
        </w:rPr>
        <w:t>万元，</w:t>
      </w:r>
      <w:r>
        <w:rPr>
          <w:rFonts w:hint="eastAsia" w:ascii="仿宋_GB2312" w:eastAsia="仿宋_GB2312"/>
          <w:color w:val="auto"/>
          <w:sz w:val="28"/>
          <w:szCs w:val="28"/>
          <w:highlight w:val="none"/>
          <w:lang w:eastAsia="zh-CN"/>
        </w:rPr>
        <w:t>完成年初预算</w:t>
      </w:r>
      <w:r>
        <w:rPr>
          <w:rFonts w:hint="eastAsia" w:ascii="仿宋_GB2312" w:eastAsia="仿宋_GB2312"/>
          <w:color w:val="auto"/>
          <w:sz w:val="28"/>
          <w:szCs w:val="28"/>
          <w:highlight w:val="none"/>
          <w:lang w:val="en-US" w:eastAsia="zh-CN"/>
        </w:rPr>
        <w:t>100%</w:t>
      </w:r>
      <w:r>
        <w:rPr>
          <w:rFonts w:hint="eastAsia" w:ascii="仿宋_GB2312" w:eastAsia="仿宋_GB2312"/>
          <w:color w:val="auto"/>
          <w:sz w:val="28"/>
          <w:szCs w:val="28"/>
          <w:highlight w:val="none"/>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落实服务对象待遇发放住房补贴</w:t>
      </w:r>
      <w:r>
        <w:rPr>
          <w:rFonts w:hint="eastAsia" w:ascii="仿宋_GB2312" w:eastAsia="仿宋_GB2312"/>
          <w:sz w:val="28"/>
          <w:szCs w:val="28"/>
          <w:highlight w:val="none"/>
        </w:rPr>
        <w:t>。</w:t>
      </w:r>
    </w:p>
    <w:p w14:paraId="1FA63F4F">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0DEFF8F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本部门202</w:t>
      </w:r>
      <w:r>
        <w:rPr>
          <w:rFonts w:hint="eastAsia" w:ascii="仿宋_GB2312" w:eastAsia="仿宋_GB2312"/>
          <w:sz w:val="28"/>
          <w:szCs w:val="28"/>
          <w:lang w:val="en-US" w:eastAsia="zh-CN"/>
        </w:rPr>
        <w:t>4</w:t>
      </w:r>
      <w:r>
        <w:rPr>
          <w:rFonts w:hint="eastAsia" w:ascii="仿宋_GB2312" w:eastAsia="仿宋_GB2312"/>
          <w:sz w:val="28"/>
          <w:szCs w:val="28"/>
        </w:rPr>
        <w:t>年度无政府性基金预算财政拨款安排的支出</w:t>
      </w:r>
    </w:p>
    <w:p w14:paraId="40B133D1">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1D9A169">
      <w:pPr>
        <w:numPr>
          <w:ilvl w:val="0"/>
          <w:numId w:val="0"/>
        </w:num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本部门202</w:t>
      </w:r>
      <w:r>
        <w:rPr>
          <w:rFonts w:hint="eastAsia" w:ascii="仿宋_GB2312" w:eastAsia="仿宋_GB2312"/>
          <w:sz w:val="28"/>
          <w:szCs w:val="28"/>
          <w:lang w:val="en-US" w:eastAsia="zh-CN"/>
        </w:rPr>
        <w:t>4</w:t>
      </w:r>
      <w:r>
        <w:rPr>
          <w:rFonts w:hint="eastAsia" w:ascii="仿宋_GB2312" w:eastAsia="仿宋_GB2312"/>
          <w:sz w:val="28"/>
          <w:szCs w:val="28"/>
        </w:rPr>
        <w:t>年度无国有资本经营预算财</w:t>
      </w:r>
      <w:r>
        <w:rPr>
          <w:rFonts w:ascii="仿宋_GB2312" w:eastAsia="仿宋_GB2312"/>
          <w:sz w:val="28"/>
          <w:szCs w:val="28"/>
        </w:rPr>
        <w:t>政拨款</w:t>
      </w:r>
      <w:r>
        <w:rPr>
          <w:rFonts w:hint="eastAsia" w:ascii="仿宋_GB2312" w:eastAsia="仿宋_GB2312"/>
          <w:sz w:val="28"/>
          <w:szCs w:val="28"/>
        </w:rPr>
        <w:t>安排的支出</w:t>
      </w:r>
      <w:r>
        <w:rPr>
          <w:rFonts w:hint="eastAsia" w:ascii="仿宋_GB2312" w:eastAsia="仿宋_GB2312"/>
          <w:sz w:val="28"/>
          <w:szCs w:val="28"/>
          <w:lang w:eastAsia="zh-CN"/>
        </w:rPr>
        <w:t>。</w:t>
      </w:r>
    </w:p>
    <w:p w14:paraId="1BD094BF">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3BE808AB">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1657.33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40DEABE5">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1B7E12A4">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606239F1">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114B3475">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4.59</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7.2</w:t>
      </w:r>
      <w:r>
        <w:rPr>
          <w:rFonts w:hint="eastAsia" w:ascii="仿宋_GB2312" w:eastAsia="仿宋_GB2312"/>
          <w:sz w:val="28"/>
          <w:szCs w:val="28"/>
        </w:rPr>
        <w:t>万元增加（减少）</w:t>
      </w:r>
      <w:r>
        <w:rPr>
          <w:rFonts w:hint="eastAsia" w:ascii="仿宋_GB2312" w:eastAsia="仿宋_GB2312"/>
          <w:sz w:val="28"/>
          <w:szCs w:val="28"/>
          <w:lang w:val="en-US" w:eastAsia="zh-CN"/>
        </w:rPr>
        <w:t>2.61</w:t>
      </w:r>
      <w:r>
        <w:rPr>
          <w:rFonts w:hint="eastAsia" w:ascii="仿宋_GB2312" w:eastAsia="仿宋_GB2312"/>
          <w:sz w:val="28"/>
          <w:szCs w:val="28"/>
        </w:rPr>
        <w:t>万元。其中：</w:t>
      </w:r>
    </w:p>
    <w:p w14:paraId="6C0C1821">
      <w:pPr>
        <w:spacing w:line="560" w:lineRule="exact"/>
        <w:ind w:firstLine="600"/>
        <w:rPr>
          <w:rFonts w:hint="eastAsia" w:ascii="仿宋_GB2312" w:hAnsi="文星标宋" w:eastAsia="仿宋_GB2312" w:cs="Tahoma"/>
          <w:color w:val="auto"/>
          <w:sz w:val="28"/>
          <w:szCs w:val="28"/>
        </w:rPr>
      </w:pPr>
      <w:r>
        <w:rPr>
          <w:rFonts w:hint="eastAsia" w:ascii="仿宋_GB2312" w:eastAsia="仿宋_GB2312"/>
          <w:sz w:val="28"/>
          <w:szCs w:val="28"/>
        </w:rPr>
        <w:t>1.因公出国（境）费用。</w:t>
      </w:r>
      <w:r>
        <w:rPr>
          <w:rFonts w:hint="eastAsia" w:ascii="仿宋_GB2312" w:eastAsia="仿宋_GB2312"/>
          <w:sz w:val="28"/>
          <w:szCs w:val="28"/>
          <w:lang w:val="en-US" w:eastAsia="zh-CN"/>
        </w:rPr>
        <w:t>2</w:t>
      </w:r>
      <w:r>
        <w:rPr>
          <w:rFonts w:hint="eastAsia" w:ascii="仿宋_GB2312" w:eastAsia="仿宋_GB2312"/>
          <w:sz w:val="28"/>
          <w:szCs w:val="28"/>
        </w:rPr>
        <w:t>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增加</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hAnsi="文星标宋" w:eastAsia="仿宋_GB2312" w:cs="Tahoma"/>
          <w:color w:val="auto"/>
          <w:sz w:val="28"/>
          <w:szCs w:val="28"/>
        </w:rPr>
        <w:t>主要原因：</w:t>
      </w:r>
      <w:r>
        <w:rPr>
          <w:rFonts w:hint="eastAsia" w:ascii="仿宋_GB2312" w:hAnsi="文星标宋" w:eastAsia="仿宋_GB2312" w:cs="Tahoma"/>
          <w:color w:val="auto"/>
          <w:sz w:val="28"/>
          <w:szCs w:val="28"/>
          <w:lang w:eastAsia="zh-CN"/>
        </w:rPr>
        <w:t>落实政策过紧日子的要求节约开</w:t>
      </w:r>
      <w:r>
        <w:rPr>
          <w:rFonts w:hint="eastAsia" w:ascii="仿宋_GB2312" w:hAnsi="文星标宋" w:eastAsia="仿宋_GB2312" w:cs="Tahoma"/>
          <w:color w:val="auto"/>
          <w:sz w:val="28"/>
          <w:szCs w:val="28"/>
        </w:rPr>
        <w:t>支，未安排因公出国事项。</w:t>
      </w:r>
    </w:p>
    <w:p w14:paraId="228E35F0">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增加</w:t>
      </w:r>
      <w:r>
        <w:rPr>
          <w:rFonts w:hint="eastAsia" w:ascii="仿宋_GB2312" w:eastAsia="仿宋_GB2312"/>
          <w:sz w:val="28"/>
          <w:szCs w:val="28"/>
          <w:lang w:val="en-US" w:eastAsia="zh-CN"/>
        </w:rPr>
        <w:t>0</w:t>
      </w:r>
      <w:r>
        <w:rPr>
          <w:rFonts w:hint="eastAsia" w:ascii="仿宋_GB2312" w:eastAsia="仿宋_GB2312"/>
          <w:sz w:val="28"/>
          <w:szCs w:val="28"/>
        </w:rPr>
        <w:t>万元。主要原因：落实政策过紧日子的要求厉行节约，减少公务接待费。</w:t>
      </w:r>
    </w:p>
    <w:p w14:paraId="2B41881C">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3.公务用车购置及运行维护费。202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4.59</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年度年初预算数</w:t>
      </w:r>
      <w:r>
        <w:rPr>
          <w:rFonts w:hint="eastAsia" w:ascii="仿宋_GB2312" w:eastAsia="仿宋_GB2312"/>
          <w:color w:val="auto"/>
          <w:sz w:val="28"/>
          <w:szCs w:val="28"/>
          <w:lang w:val="en-US" w:eastAsia="zh-CN"/>
        </w:rPr>
        <w:t>7.20</w:t>
      </w:r>
      <w:r>
        <w:rPr>
          <w:rFonts w:hint="eastAsia" w:ascii="仿宋_GB2312" w:eastAsia="仿宋_GB2312"/>
          <w:color w:val="auto"/>
          <w:sz w:val="28"/>
          <w:szCs w:val="28"/>
        </w:rPr>
        <w:t>万元减少</w:t>
      </w:r>
      <w:r>
        <w:rPr>
          <w:rFonts w:hint="eastAsia" w:ascii="仿宋_GB2312" w:eastAsia="仿宋_GB2312"/>
          <w:color w:val="auto"/>
          <w:sz w:val="28"/>
          <w:szCs w:val="28"/>
          <w:lang w:val="en-US" w:eastAsia="zh-CN"/>
        </w:rPr>
        <w:t>2.61</w:t>
      </w:r>
      <w:r>
        <w:rPr>
          <w:rFonts w:hint="eastAsia" w:ascii="仿宋_GB2312" w:eastAsia="仿宋_GB2312"/>
          <w:color w:val="auto"/>
          <w:sz w:val="28"/>
          <w:szCs w:val="28"/>
        </w:rPr>
        <w:t>万元。其中，公务用车购置费202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万元，主要原因：落实政策过紧日子的要求厉行节约，</w:t>
      </w:r>
      <w:r>
        <w:rPr>
          <w:rFonts w:hint="eastAsia" w:ascii="仿宋_GB2312" w:eastAsia="仿宋_GB2312"/>
          <w:color w:val="auto"/>
          <w:sz w:val="28"/>
          <w:szCs w:val="28"/>
          <w:lang w:eastAsia="zh-CN"/>
        </w:rPr>
        <w:t>未购置新车</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年度购置（更新）</w:t>
      </w:r>
      <w:r>
        <w:rPr>
          <w:rFonts w:hint="eastAsia" w:ascii="仿宋_GB2312" w:eastAsia="仿宋_GB2312"/>
          <w:color w:val="auto"/>
          <w:sz w:val="28"/>
          <w:szCs w:val="28"/>
          <w:lang w:eastAsia="zh-CN"/>
        </w:rPr>
        <w:t>0</w:t>
      </w:r>
      <w:r>
        <w:rPr>
          <w:rFonts w:hint="eastAsia" w:ascii="仿宋_GB2312" w:eastAsia="仿宋_GB2312"/>
          <w:color w:val="auto"/>
          <w:sz w:val="28"/>
          <w:szCs w:val="28"/>
        </w:rPr>
        <w:t>辆。公务用车运行维护费202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4.59</w:t>
      </w:r>
      <w:r>
        <w:rPr>
          <w:rFonts w:hint="eastAsia" w:ascii="仿宋_GB2312" w:eastAsia="仿宋_GB2312"/>
          <w:color w:val="auto"/>
          <w:sz w:val="28"/>
          <w:szCs w:val="28"/>
        </w:rPr>
        <w:t>万元，主要原因：</w:t>
      </w:r>
      <w:r>
        <w:rPr>
          <w:rFonts w:hint="eastAsia" w:ascii="仿宋_GB2312" w:hAnsi="文星标宋" w:eastAsia="仿宋_GB2312" w:cs="Tahoma"/>
          <w:color w:val="auto"/>
          <w:sz w:val="28"/>
          <w:szCs w:val="28"/>
          <w:lang w:eastAsia="zh-CN"/>
        </w:rPr>
        <w:t>落实政策过紧日子的要求</w:t>
      </w:r>
      <w:r>
        <w:rPr>
          <w:rFonts w:hint="eastAsia" w:ascii="仿宋_GB2312" w:eastAsia="仿宋_GB2312"/>
          <w:color w:val="auto"/>
          <w:sz w:val="28"/>
          <w:szCs w:val="28"/>
          <w:lang w:eastAsia="zh-CN"/>
        </w:rPr>
        <w:t>倡导绿色出行，公车燃油费降低</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年度公务用车保有量</w:t>
      </w:r>
      <w:r>
        <w:rPr>
          <w:rFonts w:ascii="仿宋_GB2312" w:eastAsia="仿宋_GB2312"/>
          <w:color w:val="auto"/>
          <w:sz w:val="28"/>
          <w:szCs w:val="28"/>
        </w:rPr>
        <w:t>4</w:t>
      </w:r>
      <w:r>
        <w:rPr>
          <w:rFonts w:hint="eastAsia" w:ascii="仿宋_GB2312" w:eastAsia="仿宋_GB2312"/>
          <w:color w:val="auto"/>
          <w:sz w:val="28"/>
          <w:szCs w:val="28"/>
        </w:rPr>
        <w:t>辆。</w:t>
      </w:r>
    </w:p>
    <w:p w14:paraId="398B40F7">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116F7705">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104.26</w:t>
      </w:r>
      <w:r>
        <w:rPr>
          <w:rFonts w:hint="eastAsia" w:ascii="仿宋_GB2312" w:eastAsia="仿宋_GB2312"/>
          <w:sz w:val="28"/>
          <w:szCs w:val="28"/>
        </w:rPr>
        <w:t>万元，比上年增加</w:t>
      </w:r>
      <w:r>
        <w:rPr>
          <w:rFonts w:hint="eastAsia" w:ascii="仿宋_GB2312" w:eastAsia="仿宋_GB2312"/>
          <w:sz w:val="28"/>
          <w:szCs w:val="28"/>
          <w:lang w:val="en-US" w:eastAsia="zh-CN"/>
        </w:rPr>
        <w:t>4.11</w:t>
      </w:r>
      <w:r>
        <w:rPr>
          <w:rFonts w:hint="eastAsia" w:ascii="仿宋_GB2312" w:eastAsia="仿宋_GB2312"/>
          <w:sz w:val="28"/>
          <w:szCs w:val="28"/>
        </w:rPr>
        <w:t>万元，增加原因：</w:t>
      </w:r>
      <w:r>
        <w:rPr>
          <w:rFonts w:hint="eastAsia" w:ascii="仿宋_GB2312" w:eastAsia="仿宋_GB2312"/>
          <w:sz w:val="28"/>
          <w:szCs w:val="28"/>
          <w:highlight w:val="none"/>
          <w:lang w:eastAsia="zh-CN"/>
        </w:rPr>
        <w:t>人员工资调整，工会经费增长</w:t>
      </w:r>
      <w:r>
        <w:rPr>
          <w:rFonts w:hint="eastAsia" w:ascii="仿宋_GB2312" w:eastAsia="仿宋_GB2312"/>
          <w:sz w:val="28"/>
          <w:szCs w:val="28"/>
          <w:highlight w:val="none"/>
        </w:rPr>
        <w:t>。</w:t>
      </w:r>
    </w:p>
    <w:p w14:paraId="194ADE2C">
      <w:pPr>
        <w:ind w:left="540"/>
        <w:rPr>
          <w:rFonts w:hint="eastAsia" w:ascii="黑体" w:eastAsia="黑体"/>
          <w:sz w:val="28"/>
          <w:szCs w:val="28"/>
        </w:rPr>
      </w:pPr>
      <w:r>
        <w:rPr>
          <w:rFonts w:hint="eastAsia" w:ascii="黑体" w:eastAsia="黑体"/>
          <w:sz w:val="28"/>
          <w:szCs w:val="28"/>
        </w:rPr>
        <w:t>三、政府采购支出情况</w:t>
      </w:r>
    </w:p>
    <w:p w14:paraId="69BBC35E">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596</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500.29</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95.71</w:t>
      </w:r>
      <w:r>
        <w:rPr>
          <w:rFonts w:hint="eastAsia" w:ascii="仿宋_GB2312" w:eastAsia="仿宋_GB2312"/>
          <w:sz w:val="28"/>
          <w:szCs w:val="28"/>
        </w:rPr>
        <w:t>万元。授予中小企业合同金额</w:t>
      </w:r>
      <w:r>
        <w:rPr>
          <w:rFonts w:ascii="仿宋_GB2312" w:eastAsia="仿宋_GB2312"/>
          <w:sz w:val="28"/>
          <w:szCs w:val="28"/>
        </w:rPr>
        <w:t>96.39</w:t>
      </w:r>
      <w:r>
        <w:rPr>
          <w:rFonts w:hint="eastAsia" w:ascii="仿宋_GB2312" w:eastAsia="仿宋_GB2312"/>
          <w:sz w:val="28"/>
          <w:szCs w:val="28"/>
        </w:rPr>
        <w:t>万元，占政府采购支出总额的</w:t>
      </w:r>
      <w:r>
        <w:rPr>
          <w:rFonts w:hint="eastAsia" w:ascii="仿宋_GB2312" w:eastAsia="仿宋_GB2312"/>
          <w:sz w:val="28"/>
          <w:szCs w:val="28"/>
          <w:lang w:eastAsia="zh-CN"/>
        </w:rPr>
        <w:t>16.17</w:t>
      </w:r>
      <w:r>
        <w:rPr>
          <w:rFonts w:hint="eastAsia" w:ascii="仿宋_GB2312" w:eastAsia="仿宋_GB2312"/>
          <w:sz w:val="28"/>
          <w:szCs w:val="28"/>
        </w:rPr>
        <w:t>%，其中：授予小微企业合同金额</w:t>
      </w:r>
      <w:r>
        <w:rPr>
          <w:rFonts w:ascii="仿宋_GB2312" w:eastAsia="仿宋_GB2312"/>
          <w:sz w:val="28"/>
          <w:szCs w:val="28"/>
        </w:rPr>
        <w:t>5.36</w:t>
      </w:r>
      <w:r>
        <w:rPr>
          <w:rFonts w:hint="eastAsia" w:ascii="仿宋_GB2312" w:eastAsia="仿宋_GB2312"/>
          <w:sz w:val="28"/>
          <w:szCs w:val="28"/>
        </w:rPr>
        <w:t>万元，占政府采购支出总额的</w:t>
      </w:r>
      <w:r>
        <w:rPr>
          <w:rFonts w:ascii="仿宋_GB2312" w:eastAsia="仿宋_GB2312"/>
          <w:sz w:val="28"/>
          <w:szCs w:val="28"/>
        </w:rPr>
        <w:t>0.9</w:t>
      </w:r>
      <w:r>
        <w:rPr>
          <w:rFonts w:hint="eastAsia" w:ascii="仿宋_GB2312" w:eastAsia="仿宋_GB2312"/>
          <w:sz w:val="28"/>
          <w:szCs w:val="28"/>
        </w:rPr>
        <w:t>%。</w:t>
      </w:r>
    </w:p>
    <w:p w14:paraId="6958EB9B">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3A5F6A1C">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12月31日，北京市大兴区退役军人事务局（本级）</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4</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60B56332">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556F49EC">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政府购买服务决算86.27</w:t>
      </w:r>
      <w:r>
        <w:rPr>
          <w:rFonts w:hint="eastAsia" w:ascii="仿宋_GB2312" w:eastAsia="仿宋_GB2312"/>
          <w:sz w:val="28"/>
          <w:szCs w:val="28"/>
        </w:rPr>
        <w:t>万元。</w:t>
      </w:r>
    </w:p>
    <w:p w14:paraId="6436FA0D">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5D1CDC8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6C7269E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1391BCBF">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7AAC867">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36DB1CC9">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433802A2">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276C43DD">
      <w:pPr>
        <w:ind w:firstLine="420" w:firstLineChars="150"/>
        <w:rPr>
          <w:rFonts w:hint="eastAsia" w:ascii="仿宋_GB2312" w:eastAsia="仿宋_GB2312"/>
          <w:color w:val="auto"/>
          <w:sz w:val="28"/>
          <w:szCs w:val="28"/>
        </w:rPr>
      </w:pPr>
      <w:r>
        <w:rPr>
          <w:rFonts w:hint="eastAsia" w:ascii="仿宋_GB2312" w:eastAsia="仿宋_GB2312"/>
          <w:color w:val="auto"/>
          <w:sz w:val="28"/>
          <w:szCs w:val="28"/>
        </w:rPr>
        <w:t>7.社会保障和就业支出行政事业单位养老支出行政单位离退休：反映用于行政单位（包括实行公务员管理的事业单位）开支的离退休经费。</w:t>
      </w:r>
    </w:p>
    <w:p w14:paraId="0A1C7085">
      <w:pPr>
        <w:ind w:firstLine="420" w:firstLineChars="150"/>
        <w:rPr>
          <w:rFonts w:hint="eastAsia" w:ascii="仿宋_GB2312" w:eastAsia="仿宋_GB2312"/>
          <w:color w:val="auto"/>
          <w:sz w:val="28"/>
          <w:szCs w:val="28"/>
        </w:rPr>
      </w:pPr>
      <w:r>
        <w:rPr>
          <w:rFonts w:hint="eastAsia" w:ascii="仿宋_GB2312" w:eastAsia="仿宋_GB2312"/>
          <w:color w:val="auto"/>
          <w:sz w:val="28"/>
          <w:szCs w:val="28"/>
          <w:lang w:val="en-US" w:eastAsia="zh-CN"/>
        </w:rPr>
        <w:t>8.</w:t>
      </w:r>
      <w:r>
        <w:rPr>
          <w:rFonts w:hint="eastAsia" w:ascii="仿宋_GB2312" w:eastAsia="仿宋_GB2312"/>
          <w:color w:val="auto"/>
          <w:sz w:val="28"/>
          <w:szCs w:val="28"/>
        </w:rPr>
        <w:t>社会保障和就业支出行政事业单位养老支出</w:t>
      </w:r>
      <w:r>
        <w:rPr>
          <w:rFonts w:hint="eastAsia" w:ascii="仿宋_GB2312" w:eastAsia="仿宋_GB2312"/>
          <w:color w:val="auto"/>
          <w:sz w:val="28"/>
          <w:szCs w:val="28"/>
          <w:lang w:eastAsia="zh-CN"/>
        </w:rPr>
        <w:t>事业</w:t>
      </w:r>
      <w:r>
        <w:rPr>
          <w:rFonts w:hint="eastAsia" w:ascii="仿宋_GB2312" w:eastAsia="仿宋_GB2312"/>
          <w:color w:val="auto"/>
          <w:sz w:val="28"/>
          <w:szCs w:val="28"/>
        </w:rPr>
        <w:t>单位离退休：反映</w:t>
      </w:r>
      <w:r>
        <w:rPr>
          <w:rFonts w:hint="eastAsia" w:ascii="仿宋_GB2312" w:eastAsia="仿宋_GB2312"/>
          <w:color w:val="auto"/>
          <w:sz w:val="28"/>
          <w:szCs w:val="28"/>
          <w:lang w:eastAsia="zh-CN"/>
        </w:rPr>
        <w:t>事业单位开支的</w:t>
      </w:r>
      <w:r>
        <w:rPr>
          <w:rFonts w:hint="eastAsia" w:ascii="仿宋_GB2312" w:eastAsia="仿宋_GB2312"/>
          <w:color w:val="auto"/>
          <w:sz w:val="28"/>
          <w:szCs w:val="28"/>
        </w:rPr>
        <w:t>离退休经费。</w:t>
      </w:r>
    </w:p>
    <w:p w14:paraId="7E9C7D9C">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9.</w:t>
      </w:r>
      <w:r>
        <w:rPr>
          <w:rFonts w:hint="eastAsia" w:ascii="仿宋_GB2312" w:eastAsia="仿宋_GB2312"/>
          <w:color w:val="auto"/>
          <w:sz w:val="28"/>
          <w:szCs w:val="28"/>
        </w:rPr>
        <w:t>社会保障和就业支出行政事业单位养老支出</w:t>
      </w:r>
      <w:r>
        <w:rPr>
          <w:rFonts w:hint="eastAsia" w:ascii="仿宋_GB2312" w:eastAsia="仿宋_GB2312"/>
          <w:color w:val="auto"/>
          <w:sz w:val="28"/>
          <w:szCs w:val="28"/>
          <w:lang w:eastAsia="zh-CN"/>
        </w:rPr>
        <w:t>机关事业单位基本养老保险缴费支出：</w:t>
      </w:r>
      <w:r>
        <w:rPr>
          <w:rFonts w:hint="eastAsia" w:ascii="仿宋_GB2312" w:eastAsia="仿宋_GB2312"/>
          <w:color w:val="auto"/>
          <w:sz w:val="28"/>
          <w:szCs w:val="28"/>
        </w:rPr>
        <w:t>反映</w:t>
      </w:r>
      <w:r>
        <w:rPr>
          <w:rFonts w:hint="eastAsia" w:ascii="仿宋_GB2312" w:eastAsia="仿宋_GB2312"/>
          <w:color w:val="auto"/>
          <w:sz w:val="28"/>
          <w:szCs w:val="28"/>
          <w:lang w:eastAsia="zh-CN"/>
        </w:rPr>
        <w:t>机关事业单位实施养老保险制度由单位缴纳的基本养老保险费支出。</w:t>
      </w:r>
    </w:p>
    <w:p w14:paraId="4F9D5F5F">
      <w:pPr>
        <w:ind w:firstLine="420" w:firstLineChars="150"/>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10.</w:t>
      </w:r>
      <w:r>
        <w:rPr>
          <w:rFonts w:hint="eastAsia" w:ascii="仿宋_GB2312" w:eastAsia="仿宋_GB2312"/>
          <w:color w:val="auto"/>
          <w:sz w:val="28"/>
          <w:szCs w:val="28"/>
        </w:rPr>
        <w:t>社会保障和就业支出行政事业单位养老支出</w:t>
      </w:r>
      <w:r>
        <w:rPr>
          <w:rFonts w:hint="eastAsia" w:ascii="仿宋_GB2312" w:eastAsia="仿宋_GB2312"/>
          <w:color w:val="auto"/>
          <w:sz w:val="28"/>
          <w:szCs w:val="28"/>
          <w:lang w:eastAsia="zh-CN"/>
        </w:rPr>
        <w:t>机关事业单位职业年金缴费支出：</w:t>
      </w:r>
      <w:r>
        <w:rPr>
          <w:rFonts w:hint="eastAsia" w:ascii="仿宋_GB2312" w:eastAsia="仿宋_GB2312"/>
          <w:color w:val="auto"/>
          <w:sz w:val="28"/>
          <w:szCs w:val="28"/>
        </w:rPr>
        <w:t>反映</w:t>
      </w:r>
      <w:r>
        <w:rPr>
          <w:rFonts w:hint="eastAsia" w:ascii="仿宋_GB2312" w:eastAsia="仿宋_GB2312"/>
          <w:color w:val="auto"/>
          <w:sz w:val="28"/>
          <w:szCs w:val="28"/>
          <w:lang w:eastAsia="zh-CN"/>
        </w:rPr>
        <w:t>机关事业单位实施养老保险制度由单位实际缴纳的职业年金支出。</w:t>
      </w:r>
    </w:p>
    <w:p w14:paraId="0D722A96">
      <w:pPr>
        <w:ind w:firstLine="420" w:firstLineChars="150"/>
        <w:rPr>
          <w:rFonts w:hint="eastAsia" w:ascii="仿宋_GB2312" w:eastAsia="仿宋_GB2312"/>
          <w:b w:val="0"/>
          <w:bCs/>
          <w:color w:val="auto"/>
          <w:sz w:val="28"/>
          <w:szCs w:val="28"/>
          <w:lang w:eastAsia="zh-CN"/>
        </w:rPr>
      </w:pPr>
      <w:r>
        <w:rPr>
          <w:rFonts w:hint="eastAsia" w:ascii="仿宋_GB2312" w:eastAsia="仿宋_GB2312"/>
          <w:sz w:val="28"/>
          <w:szCs w:val="28"/>
          <w:lang w:val="en-US" w:eastAsia="zh-CN"/>
        </w:rPr>
        <w:t>11.</w:t>
      </w:r>
      <w:r>
        <w:rPr>
          <w:rFonts w:hint="eastAsia" w:ascii="仿宋_GB2312" w:eastAsia="仿宋_GB2312"/>
          <w:b w:val="0"/>
          <w:bCs/>
          <w:color w:val="auto"/>
          <w:sz w:val="28"/>
          <w:szCs w:val="28"/>
        </w:rPr>
        <w:t>社会保障和就业</w:t>
      </w:r>
      <w:r>
        <w:rPr>
          <w:rFonts w:hint="eastAsia" w:ascii="仿宋_GB2312" w:eastAsia="仿宋_GB2312"/>
          <w:b w:val="0"/>
          <w:bCs/>
          <w:color w:val="auto"/>
          <w:sz w:val="28"/>
          <w:szCs w:val="28"/>
          <w:lang w:eastAsia="zh-CN"/>
        </w:rPr>
        <w:t>支出抚恤光荣院：反映光荣院运行及管理维护服务支出。</w:t>
      </w:r>
    </w:p>
    <w:p w14:paraId="6B5B57C0">
      <w:pPr>
        <w:ind w:firstLine="420" w:firstLineChars="150"/>
        <w:rPr>
          <w:rFonts w:hint="eastAsia" w:ascii="仿宋_GB2312" w:eastAsia="仿宋_GB2312"/>
          <w:b w:val="0"/>
          <w:bCs/>
          <w:color w:val="auto"/>
          <w:sz w:val="28"/>
          <w:szCs w:val="28"/>
          <w:lang w:val="en-US" w:eastAsia="zh-CN"/>
        </w:rPr>
      </w:pPr>
      <w:r>
        <w:rPr>
          <w:rFonts w:hint="eastAsia" w:ascii="仿宋_GB2312" w:eastAsia="仿宋_GB2312"/>
          <w:b w:val="0"/>
          <w:bCs/>
          <w:color w:val="auto"/>
          <w:sz w:val="28"/>
          <w:szCs w:val="28"/>
          <w:lang w:val="en-US" w:eastAsia="zh-CN"/>
        </w:rPr>
        <w:t>12.社会保障和就业支出</w:t>
      </w:r>
      <w:r>
        <w:rPr>
          <w:rFonts w:hint="eastAsia" w:ascii="仿宋_GB2312" w:eastAsia="仿宋_GB2312"/>
          <w:b w:val="0"/>
          <w:bCs/>
          <w:color w:val="auto"/>
          <w:sz w:val="28"/>
          <w:szCs w:val="28"/>
          <w:lang w:eastAsia="zh-CN"/>
        </w:rPr>
        <w:t>抚恤</w:t>
      </w:r>
      <w:r>
        <w:rPr>
          <w:rFonts w:hint="eastAsia" w:ascii="仿宋_GB2312" w:eastAsia="仿宋_GB2312"/>
          <w:b w:val="0"/>
          <w:bCs/>
          <w:color w:val="auto"/>
          <w:sz w:val="28"/>
          <w:szCs w:val="28"/>
          <w:lang w:val="en-US" w:eastAsia="zh-CN"/>
        </w:rPr>
        <w:t>其他优抚支出：反映除上述项目以外其他用于优抚方面的支出，包括向优抚对象发放的价格临时补贴、老烈士子女、老党员定期生活补助等支出。</w:t>
      </w:r>
    </w:p>
    <w:p w14:paraId="50D66CA7">
      <w:pPr>
        <w:ind w:firstLine="420" w:firstLineChars="150"/>
        <w:rPr>
          <w:rFonts w:hint="eastAsia" w:ascii="仿宋_GB2312" w:eastAsia="仿宋_GB2312"/>
          <w:b w:val="0"/>
          <w:bCs/>
          <w:color w:val="auto"/>
          <w:sz w:val="28"/>
          <w:szCs w:val="28"/>
          <w:lang w:val="en-US" w:eastAsia="zh-CN"/>
        </w:rPr>
      </w:pPr>
      <w:r>
        <w:rPr>
          <w:rFonts w:hint="eastAsia" w:ascii="仿宋_GB2312" w:eastAsia="仿宋_GB2312"/>
          <w:b w:val="0"/>
          <w:bCs/>
          <w:color w:val="auto"/>
          <w:sz w:val="28"/>
          <w:szCs w:val="28"/>
          <w:lang w:val="en-US" w:eastAsia="zh-CN"/>
        </w:rPr>
        <w:t>13.社会保障和就业支出社会福利其他社会福利支出：反映除上述项目以外其他用于社会福利方面的支出。</w:t>
      </w:r>
    </w:p>
    <w:p w14:paraId="258357EB">
      <w:pPr>
        <w:ind w:firstLine="420" w:firstLineChars="150"/>
        <w:rPr>
          <w:rFonts w:hint="eastAsia" w:ascii="仿宋_GB2312" w:eastAsia="仿宋_GB2312"/>
          <w:b w:val="0"/>
          <w:bCs/>
          <w:color w:val="auto"/>
          <w:sz w:val="28"/>
          <w:szCs w:val="28"/>
          <w:lang w:eastAsia="zh-CN"/>
        </w:rPr>
      </w:pPr>
      <w:r>
        <w:rPr>
          <w:rFonts w:hint="eastAsia" w:ascii="仿宋_GB2312" w:eastAsia="仿宋_GB2312"/>
          <w:b w:val="0"/>
          <w:bCs/>
          <w:color w:val="auto"/>
          <w:sz w:val="28"/>
          <w:szCs w:val="28"/>
          <w:lang w:val="en-US" w:eastAsia="zh-CN"/>
        </w:rPr>
        <w:t>14..</w:t>
      </w:r>
      <w:r>
        <w:rPr>
          <w:rFonts w:hint="eastAsia" w:ascii="仿宋_GB2312" w:eastAsia="仿宋_GB2312"/>
          <w:b w:val="0"/>
          <w:bCs/>
          <w:color w:val="auto"/>
          <w:sz w:val="28"/>
          <w:szCs w:val="28"/>
        </w:rPr>
        <w:t>社会保障和就业</w:t>
      </w:r>
      <w:r>
        <w:rPr>
          <w:rFonts w:hint="eastAsia" w:ascii="仿宋_GB2312" w:eastAsia="仿宋_GB2312"/>
          <w:b w:val="0"/>
          <w:bCs/>
          <w:color w:val="auto"/>
          <w:sz w:val="28"/>
          <w:szCs w:val="28"/>
          <w:lang w:eastAsia="zh-CN"/>
        </w:rPr>
        <w:t>支出退役军人管理事务行政运行：反映行政单位（包括实行公务员管理的事业单位）的基本支出。</w:t>
      </w:r>
    </w:p>
    <w:p w14:paraId="5787D813">
      <w:pPr>
        <w:ind w:firstLine="420" w:firstLineChars="150"/>
        <w:rPr>
          <w:rFonts w:hint="eastAsia"/>
          <w:lang w:eastAsia="zh-CN"/>
        </w:rPr>
      </w:pPr>
      <w:r>
        <w:rPr>
          <w:rFonts w:hint="eastAsia" w:ascii="仿宋_GB2312" w:eastAsia="仿宋_GB2312"/>
          <w:b w:val="0"/>
          <w:bCs/>
          <w:color w:val="auto"/>
          <w:sz w:val="28"/>
          <w:szCs w:val="28"/>
          <w:lang w:val="en-US" w:eastAsia="zh-CN"/>
        </w:rPr>
        <w:t>15.</w:t>
      </w:r>
      <w:r>
        <w:rPr>
          <w:rFonts w:hint="eastAsia" w:ascii="仿宋_GB2312" w:eastAsia="仿宋_GB2312"/>
          <w:b w:val="0"/>
          <w:bCs/>
          <w:color w:val="auto"/>
          <w:sz w:val="28"/>
          <w:szCs w:val="28"/>
        </w:rPr>
        <w:t>社会保障和就业</w:t>
      </w:r>
      <w:r>
        <w:rPr>
          <w:rFonts w:hint="eastAsia" w:ascii="仿宋_GB2312" w:eastAsia="仿宋_GB2312"/>
          <w:b w:val="0"/>
          <w:bCs/>
          <w:color w:val="auto"/>
          <w:sz w:val="28"/>
          <w:szCs w:val="28"/>
          <w:lang w:eastAsia="zh-CN"/>
        </w:rPr>
        <w:t>支出退役军人管理事务事业运行：反映事业单位的基本支出，不包括行政单位（包括实行公务员管理的事业单位）后勤服务中心、医务室等附属事业单位。</w:t>
      </w:r>
    </w:p>
    <w:p w14:paraId="3F6F2B73">
      <w:pPr>
        <w:ind w:firstLine="420" w:firstLineChars="150"/>
        <w:rPr>
          <w:rFonts w:hint="eastAsia" w:ascii="仿宋_GB2312" w:eastAsia="仿宋_GB2312"/>
          <w:b w:val="0"/>
          <w:bCs/>
          <w:color w:val="auto"/>
          <w:sz w:val="28"/>
          <w:szCs w:val="28"/>
          <w:lang w:eastAsia="zh-CN"/>
        </w:rPr>
      </w:pPr>
      <w:r>
        <w:rPr>
          <w:rFonts w:hint="eastAsia" w:ascii="仿宋_GB2312" w:eastAsia="仿宋_GB2312"/>
          <w:b w:val="0"/>
          <w:bCs/>
          <w:color w:val="auto"/>
          <w:sz w:val="28"/>
          <w:szCs w:val="28"/>
          <w:lang w:val="en-US" w:eastAsia="zh-CN"/>
        </w:rPr>
        <w:t>16.</w:t>
      </w:r>
      <w:r>
        <w:rPr>
          <w:rFonts w:hint="eastAsia" w:ascii="仿宋_GB2312" w:eastAsia="仿宋_GB2312"/>
          <w:b w:val="0"/>
          <w:bCs/>
          <w:color w:val="auto"/>
          <w:sz w:val="28"/>
          <w:szCs w:val="28"/>
        </w:rPr>
        <w:t>社会保障和就业</w:t>
      </w:r>
      <w:r>
        <w:rPr>
          <w:rFonts w:hint="eastAsia" w:ascii="仿宋_GB2312" w:eastAsia="仿宋_GB2312"/>
          <w:b w:val="0"/>
          <w:bCs/>
          <w:color w:val="auto"/>
          <w:sz w:val="28"/>
          <w:szCs w:val="28"/>
          <w:lang w:eastAsia="zh-CN"/>
        </w:rPr>
        <w:t>支出退役军人管理事务拥军优属：反映开展拥军优属活动的支出。</w:t>
      </w:r>
    </w:p>
    <w:p w14:paraId="50D64F89">
      <w:pPr>
        <w:ind w:firstLine="420" w:firstLineChars="150"/>
        <w:rPr>
          <w:rFonts w:hint="default" w:ascii="仿宋_GB2312" w:eastAsia="仿宋_GB2312"/>
          <w:b w:val="0"/>
          <w:bCs/>
          <w:color w:val="auto"/>
          <w:sz w:val="28"/>
          <w:szCs w:val="28"/>
          <w:lang w:val="en-US" w:eastAsia="zh-CN"/>
        </w:rPr>
      </w:pPr>
      <w:r>
        <w:rPr>
          <w:rFonts w:hint="eastAsia" w:ascii="仿宋_GB2312" w:eastAsia="仿宋_GB2312"/>
          <w:b w:val="0"/>
          <w:bCs/>
          <w:color w:val="auto"/>
          <w:sz w:val="28"/>
          <w:szCs w:val="28"/>
          <w:lang w:val="en-US" w:eastAsia="zh-CN"/>
        </w:rPr>
        <w:t>17.</w:t>
      </w:r>
      <w:r>
        <w:rPr>
          <w:rFonts w:hint="eastAsia" w:ascii="仿宋_GB2312" w:eastAsia="仿宋_GB2312"/>
          <w:b w:val="0"/>
          <w:bCs/>
          <w:color w:val="auto"/>
          <w:sz w:val="28"/>
          <w:szCs w:val="28"/>
        </w:rPr>
        <w:t>社会保障和就业</w:t>
      </w:r>
      <w:r>
        <w:rPr>
          <w:rFonts w:hint="eastAsia" w:ascii="仿宋_GB2312" w:eastAsia="仿宋_GB2312"/>
          <w:b w:val="0"/>
          <w:bCs/>
          <w:color w:val="auto"/>
          <w:sz w:val="28"/>
          <w:szCs w:val="28"/>
          <w:lang w:eastAsia="zh-CN"/>
        </w:rPr>
        <w:t>支出退役军人管理事务其他退役军人事务管理支出：反映</w:t>
      </w:r>
      <w:r>
        <w:rPr>
          <w:rFonts w:hint="eastAsia" w:ascii="仿宋_GB2312" w:eastAsia="仿宋_GB2312"/>
          <w:b w:val="0"/>
          <w:bCs/>
          <w:color w:val="auto"/>
          <w:sz w:val="28"/>
          <w:szCs w:val="28"/>
          <w:lang w:val="en-US" w:eastAsia="zh-CN"/>
        </w:rPr>
        <w:t>除上述项目以外其他用于退役军人事务管理方面的支出。</w:t>
      </w:r>
    </w:p>
    <w:p w14:paraId="6C6F37C7">
      <w:pPr>
        <w:ind w:firstLine="420" w:firstLineChars="150"/>
        <w:rPr>
          <w:rFonts w:hint="eastAsia" w:ascii="仿宋_GB2312" w:eastAsia="仿宋_GB2312"/>
          <w:sz w:val="28"/>
          <w:szCs w:val="28"/>
          <w:lang w:eastAsia="zh-CN"/>
        </w:rPr>
      </w:pPr>
      <w:r>
        <w:rPr>
          <w:rFonts w:hint="eastAsia" w:ascii="仿宋_GB2312" w:eastAsia="仿宋_GB2312"/>
          <w:b w:val="0"/>
          <w:bCs/>
          <w:sz w:val="28"/>
          <w:szCs w:val="28"/>
          <w:lang w:val="en-US" w:eastAsia="zh-CN"/>
        </w:rPr>
        <w:t>18.</w:t>
      </w:r>
      <w:r>
        <w:rPr>
          <w:rFonts w:hint="eastAsia" w:ascii="仿宋_GB2312" w:eastAsia="仿宋_GB2312"/>
          <w:b w:val="0"/>
          <w:bCs/>
          <w:sz w:val="28"/>
          <w:szCs w:val="28"/>
          <w:lang w:eastAsia="zh-CN"/>
        </w:rPr>
        <w:t>卫生健康支出行政事业单位医疗行政单位医疗</w:t>
      </w:r>
      <w:r>
        <w:rPr>
          <w:rFonts w:hint="eastAsia" w:ascii="仿宋_GB2312" w:eastAsia="仿宋_GB2312"/>
          <w:b w:val="0"/>
          <w:bCs/>
          <w:sz w:val="28"/>
          <w:szCs w:val="28"/>
          <w:lang w:val="en-US" w:eastAsia="zh-CN"/>
        </w:rPr>
        <w:t>:</w:t>
      </w:r>
      <w:r>
        <w:rPr>
          <w:rFonts w:hint="eastAsia" w:ascii="仿宋_GB2312" w:eastAsia="仿宋_GB2312"/>
          <w:b w:val="0"/>
          <w:bCs/>
          <w:sz w:val="28"/>
          <w:szCs w:val="28"/>
        </w:rPr>
        <w:t>反映</w:t>
      </w:r>
      <w:r>
        <w:rPr>
          <w:rFonts w:hint="eastAsia" w:ascii="仿宋_GB2312" w:eastAsia="仿宋_GB2312"/>
          <w:sz w:val="28"/>
          <w:szCs w:val="28"/>
          <w:lang w:eastAsia="zh-CN"/>
        </w:rPr>
        <w:t>财政部门安排的行政单位（包括实行公务员管理的事业单位，下同）基本医疗保险缴费经费，未参加医疗保险的行政单位的公费医疗经费，按国家规定享受离休人员、红军老战士待遇人员的医疗经费。</w:t>
      </w:r>
    </w:p>
    <w:p w14:paraId="519044F5">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19.</w:t>
      </w:r>
      <w:r>
        <w:rPr>
          <w:rFonts w:hint="eastAsia" w:ascii="仿宋_GB2312" w:eastAsia="仿宋_GB2312"/>
          <w:b w:val="0"/>
          <w:bCs/>
          <w:sz w:val="28"/>
          <w:szCs w:val="28"/>
          <w:lang w:eastAsia="zh-CN"/>
        </w:rPr>
        <w:t>卫生健康支出行政事业单位医疗事业单位医疗：</w:t>
      </w:r>
      <w:r>
        <w:rPr>
          <w:rFonts w:hint="eastAsia" w:ascii="仿宋_GB2312" w:eastAsia="仿宋_GB2312"/>
          <w:b w:val="0"/>
          <w:bCs/>
          <w:sz w:val="28"/>
          <w:szCs w:val="28"/>
        </w:rPr>
        <w:t>反映</w:t>
      </w:r>
      <w:r>
        <w:rPr>
          <w:rFonts w:hint="eastAsia" w:ascii="仿宋_GB2312" w:eastAsia="仿宋_GB2312"/>
          <w:sz w:val="28"/>
          <w:szCs w:val="28"/>
          <w:lang w:eastAsia="zh-CN"/>
        </w:rPr>
        <w:t>财政部门安排的事业单位基本医疗保险缴费经费，未参加医疗保险的事业单位的公费医疗经费，按国家规定享受离休人员待遇人员的医疗经费。</w:t>
      </w:r>
    </w:p>
    <w:p w14:paraId="118172DE">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20.</w:t>
      </w:r>
      <w:r>
        <w:rPr>
          <w:rFonts w:hint="eastAsia" w:ascii="仿宋_GB2312" w:eastAsia="仿宋_GB2312"/>
          <w:b w:val="0"/>
          <w:bCs/>
          <w:sz w:val="28"/>
          <w:szCs w:val="28"/>
          <w:lang w:eastAsia="zh-CN"/>
        </w:rPr>
        <w:t>卫生健康支出行政事业单位医疗公务员医疗补助：</w:t>
      </w:r>
      <w:r>
        <w:rPr>
          <w:rFonts w:hint="eastAsia" w:ascii="仿宋_GB2312" w:eastAsia="仿宋_GB2312"/>
          <w:b w:val="0"/>
          <w:bCs/>
          <w:sz w:val="28"/>
          <w:szCs w:val="28"/>
        </w:rPr>
        <w:t>反映</w:t>
      </w:r>
      <w:r>
        <w:rPr>
          <w:rFonts w:hint="eastAsia" w:ascii="仿宋_GB2312" w:eastAsia="仿宋_GB2312"/>
          <w:sz w:val="28"/>
          <w:szCs w:val="28"/>
          <w:lang w:eastAsia="zh-CN"/>
        </w:rPr>
        <w:t>财政部门安排的公务员医疗补助经费。</w:t>
      </w:r>
    </w:p>
    <w:p w14:paraId="0315EB71">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21.住房保障支出住房改革支出购房补贴：反映按房改政策规定，行政事业单位向符合条件职工（含离退休人员）、军队（含武警）向转役复员离退休人员发放的用于购买住房的补贴。</w:t>
      </w:r>
    </w:p>
    <w:p w14:paraId="0437BA11">
      <w:pPr>
        <w:jc w:val="both"/>
        <w:rPr>
          <w:rFonts w:hint="eastAsia" w:ascii="黑体" w:eastAsia="黑体"/>
          <w:sz w:val="32"/>
          <w:szCs w:val="32"/>
        </w:rPr>
      </w:pPr>
    </w:p>
    <w:p w14:paraId="591AC9C3">
      <w:pPr>
        <w:ind w:firstLine="640" w:firstLineChars="200"/>
        <w:jc w:val="center"/>
        <w:rPr>
          <w:rFonts w:hint="eastAsia" w:ascii="黑体" w:eastAsia="黑体"/>
          <w:sz w:val="32"/>
          <w:szCs w:val="32"/>
        </w:rPr>
      </w:pPr>
    </w:p>
    <w:p w14:paraId="5FBEC340">
      <w:pPr>
        <w:ind w:firstLine="640" w:firstLineChars="200"/>
        <w:jc w:val="center"/>
        <w:rPr>
          <w:rFonts w:hint="eastAsia" w:ascii="黑体" w:eastAsia="黑体"/>
          <w:sz w:val="32"/>
          <w:szCs w:val="32"/>
        </w:rPr>
      </w:pPr>
    </w:p>
    <w:p w14:paraId="7515EED5">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0A2DA053">
      <w:pPr>
        <w:ind w:firstLine="560" w:firstLineChars="200"/>
        <w:rPr>
          <w:rFonts w:hint="eastAsia" w:ascii="黑体" w:eastAsia="黑体"/>
          <w:sz w:val="28"/>
          <w:szCs w:val="28"/>
          <w:highlight w:val="yellow"/>
        </w:rPr>
      </w:pPr>
    </w:p>
    <w:p w14:paraId="21777EAE">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部门整体绩效评价报告</w:t>
      </w:r>
    </w:p>
    <w:p w14:paraId="61D96D47">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楷体_GB2312" w:eastAsia="楷体_GB2312"/>
          <w:sz w:val="28"/>
          <w:szCs w:val="28"/>
          <w:highlight w:val="none"/>
        </w:rPr>
      </w:pPr>
      <w:r>
        <w:rPr>
          <w:rFonts w:hint="eastAsia" w:ascii="黑体" w:hAnsi="黑体" w:eastAsia="黑体" w:cs="宋体"/>
          <w:color w:val="000000"/>
          <w:kern w:val="0"/>
          <w:sz w:val="28"/>
          <w:szCs w:val="28"/>
          <w:highlight w:val="none"/>
          <w:lang w:val="en-US" w:eastAsia="zh-CN"/>
        </w:rPr>
        <w:t>(</w:t>
      </w:r>
      <w:r>
        <w:rPr>
          <w:rFonts w:hint="eastAsia" w:ascii="黑体" w:hAnsi="黑体" w:eastAsia="黑体" w:cs="宋体"/>
          <w:color w:val="000000"/>
          <w:kern w:val="0"/>
          <w:sz w:val="28"/>
          <w:szCs w:val="28"/>
          <w:highlight w:val="none"/>
        </w:rPr>
        <w:t>一</w:t>
      </w:r>
      <w:r>
        <w:rPr>
          <w:rFonts w:hint="eastAsia" w:ascii="黑体" w:hAnsi="黑体" w:eastAsia="黑体" w:cs="宋体"/>
          <w:color w:val="000000"/>
          <w:kern w:val="0"/>
          <w:sz w:val="28"/>
          <w:szCs w:val="28"/>
          <w:highlight w:val="none"/>
          <w:lang w:val="en-US" w:eastAsia="zh-CN"/>
        </w:rPr>
        <w:t>)</w:t>
      </w:r>
      <w:r>
        <w:rPr>
          <w:rFonts w:hint="eastAsia" w:ascii="黑体" w:hAnsi="黑体" w:eastAsia="黑体" w:cs="宋体"/>
          <w:color w:val="000000"/>
          <w:kern w:val="0"/>
          <w:sz w:val="28"/>
          <w:szCs w:val="28"/>
          <w:highlight w:val="none"/>
        </w:rPr>
        <w:t>、部门概况</w:t>
      </w:r>
    </w:p>
    <w:p w14:paraId="2F9814C3">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楷体_GB2312" w:eastAsia="楷体_GB2312"/>
          <w:sz w:val="28"/>
          <w:szCs w:val="28"/>
          <w:highlight w:val="none"/>
        </w:rPr>
      </w:pPr>
      <w:r>
        <w:rPr>
          <w:rFonts w:hint="eastAsia" w:ascii="楷体_GB2312" w:eastAsia="楷体_GB2312"/>
          <w:sz w:val="28"/>
          <w:szCs w:val="28"/>
          <w:highlight w:val="none"/>
          <w:lang w:val="en-US" w:eastAsia="zh-CN"/>
        </w:rPr>
        <w:t>1.</w:t>
      </w:r>
      <w:r>
        <w:rPr>
          <w:rFonts w:hint="eastAsia" w:ascii="楷体_GB2312" w:eastAsia="楷体_GB2312"/>
          <w:sz w:val="28"/>
          <w:szCs w:val="28"/>
          <w:highlight w:val="none"/>
        </w:rPr>
        <w:t>机构设置及职责工作任务情况</w:t>
      </w:r>
    </w:p>
    <w:p w14:paraId="64464A96">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宋体" w:eastAsia="仿宋_GB2312" w:cs="宋体"/>
          <w:color w:val="000000"/>
          <w:kern w:val="0"/>
          <w:sz w:val="28"/>
          <w:szCs w:val="28"/>
          <w:highlight w:val="none"/>
          <w:lang w:eastAsia="zh-CN"/>
        </w:rPr>
      </w:pPr>
      <w:r>
        <w:rPr>
          <w:rFonts w:hint="eastAsia" w:ascii="仿宋_GB2312" w:hAnsi="宋体" w:eastAsia="仿宋_GB2312" w:cs="宋体"/>
          <w:color w:val="000000"/>
          <w:kern w:val="0"/>
          <w:sz w:val="28"/>
          <w:szCs w:val="28"/>
          <w:highlight w:val="none"/>
        </w:rPr>
        <w:t>大兴区退役军人事务局</w:t>
      </w:r>
      <w:r>
        <w:rPr>
          <w:rFonts w:hint="eastAsia" w:ascii="仿宋_GB2312" w:hAnsi="宋体" w:eastAsia="仿宋_GB2312" w:cs="宋体"/>
          <w:color w:val="000000"/>
          <w:kern w:val="0"/>
          <w:sz w:val="28"/>
          <w:szCs w:val="28"/>
          <w:highlight w:val="none"/>
          <w:lang w:eastAsia="zh-CN"/>
        </w:rPr>
        <w:t>是区政府工作部门</w:t>
      </w:r>
      <w:r>
        <w:rPr>
          <w:rFonts w:hint="eastAsia" w:ascii="仿宋_GB2312" w:hAnsi="宋体" w:eastAsia="仿宋_GB2312" w:cs="宋体"/>
          <w:color w:val="000000"/>
          <w:kern w:val="0"/>
          <w:sz w:val="28"/>
          <w:szCs w:val="28"/>
          <w:highlight w:val="none"/>
        </w:rPr>
        <w:t>，</w:t>
      </w:r>
      <w:r>
        <w:rPr>
          <w:rFonts w:hint="eastAsia" w:ascii="仿宋_GB2312" w:hAnsi="宋体" w:eastAsia="仿宋_GB2312" w:cs="宋体"/>
          <w:color w:val="000000"/>
          <w:kern w:val="0"/>
          <w:sz w:val="28"/>
          <w:szCs w:val="28"/>
          <w:highlight w:val="none"/>
          <w:lang w:eastAsia="zh-CN"/>
        </w:rPr>
        <w:t>为正处级。内设</w:t>
      </w:r>
      <w:r>
        <w:rPr>
          <w:rFonts w:hint="eastAsia" w:ascii="仿宋_GB2312" w:hAnsi="宋体" w:eastAsia="仿宋_GB2312" w:cs="宋体"/>
          <w:color w:val="000000"/>
          <w:kern w:val="0"/>
          <w:sz w:val="28"/>
          <w:szCs w:val="28"/>
          <w:highlight w:val="none"/>
        </w:rPr>
        <w:t>综合办公室</w:t>
      </w:r>
      <w:r>
        <w:rPr>
          <w:rFonts w:hint="eastAsia" w:ascii="仿宋_GB2312" w:hAnsi="宋体" w:eastAsia="仿宋_GB2312" w:cs="宋体"/>
          <w:color w:val="000000"/>
          <w:kern w:val="0"/>
          <w:sz w:val="28"/>
          <w:szCs w:val="28"/>
          <w:highlight w:val="none"/>
          <w:lang w:eastAsia="zh-CN"/>
        </w:rPr>
        <w:t>，优抚褒扬工作组，移交安置工作组，双拥办，财务工作组和三</w:t>
      </w:r>
      <w:r>
        <w:rPr>
          <w:rFonts w:hint="eastAsia" w:ascii="仿宋_GB2312" w:hAnsi="宋体" w:eastAsia="仿宋_GB2312" w:cs="宋体"/>
          <w:color w:val="000000"/>
          <w:kern w:val="0"/>
          <w:sz w:val="28"/>
          <w:szCs w:val="28"/>
          <w:highlight w:val="none"/>
        </w:rPr>
        <w:t>个</w:t>
      </w:r>
      <w:r>
        <w:rPr>
          <w:rFonts w:hint="eastAsia" w:ascii="仿宋_GB2312" w:hAnsi="宋体" w:eastAsia="仿宋_GB2312" w:cs="宋体"/>
          <w:color w:val="000000"/>
          <w:kern w:val="0"/>
          <w:sz w:val="28"/>
          <w:szCs w:val="28"/>
          <w:highlight w:val="none"/>
          <w:lang w:eastAsia="zh-CN"/>
        </w:rPr>
        <w:t>不独立核算的</w:t>
      </w:r>
      <w:r>
        <w:rPr>
          <w:rFonts w:hint="eastAsia" w:ascii="仿宋_GB2312" w:hAnsi="宋体" w:eastAsia="仿宋_GB2312" w:cs="宋体"/>
          <w:color w:val="000000"/>
          <w:kern w:val="0"/>
          <w:sz w:val="28"/>
          <w:szCs w:val="28"/>
          <w:highlight w:val="none"/>
        </w:rPr>
        <w:t>事业单位</w:t>
      </w:r>
      <w:r>
        <w:rPr>
          <w:rFonts w:hint="eastAsia" w:ascii="仿宋_GB2312" w:hAnsi="宋体" w:eastAsia="仿宋_GB2312" w:cs="宋体"/>
          <w:color w:val="000000"/>
          <w:kern w:val="0"/>
          <w:sz w:val="28"/>
          <w:szCs w:val="28"/>
          <w:highlight w:val="none"/>
          <w:lang w:val="en-US" w:eastAsia="zh-CN"/>
        </w:rPr>
        <w:t>,具体是：</w:t>
      </w:r>
      <w:r>
        <w:rPr>
          <w:rFonts w:hint="eastAsia" w:ascii="仿宋" w:hAnsi="仿宋" w:eastAsia="仿宋" w:cs="仿宋"/>
          <w:sz w:val="28"/>
          <w:szCs w:val="28"/>
          <w:lang w:val="en-US" w:eastAsia="zh-CN"/>
        </w:rPr>
        <w:t>北京市大兴区退役军人服务中心；大兴区双拥共建事务中心（北京市大兴区光荣院）；北京市大兴区军队离休退休干部安置事务中心</w:t>
      </w:r>
      <w:r>
        <w:rPr>
          <w:rFonts w:hint="eastAsia" w:ascii="仿宋_GB2312" w:hAnsi="宋体" w:eastAsia="仿宋_GB2312" w:cs="宋体"/>
          <w:color w:val="000000"/>
          <w:kern w:val="0"/>
          <w:sz w:val="28"/>
          <w:szCs w:val="28"/>
          <w:highlight w:val="none"/>
          <w:lang w:eastAsia="zh-CN"/>
        </w:rPr>
        <w:t>。</w:t>
      </w:r>
    </w:p>
    <w:p w14:paraId="6BB83F30">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部门职责</w:t>
      </w:r>
      <w:r>
        <w:rPr>
          <w:rFonts w:hint="eastAsia" w:ascii="仿宋_GB2312" w:hAnsi="宋体" w:eastAsia="仿宋_GB2312" w:cs="宋体"/>
          <w:color w:val="000000"/>
          <w:kern w:val="0"/>
          <w:sz w:val="28"/>
          <w:szCs w:val="28"/>
          <w:highlight w:val="none"/>
          <w:lang w:eastAsia="zh-CN"/>
        </w:rPr>
        <w:t>主要负责贯彻落实</w:t>
      </w:r>
      <w:r>
        <w:rPr>
          <w:rFonts w:hint="eastAsia" w:ascii="仿宋_GB2312" w:hAnsi="宋体" w:eastAsia="仿宋_GB2312" w:cs="宋体"/>
          <w:color w:val="000000"/>
          <w:kern w:val="0"/>
          <w:sz w:val="28"/>
          <w:szCs w:val="28"/>
          <w:highlight w:val="none"/>
        </w:rPr>
        <w:t>本区转业干部、退役士兵政策</w:t>
      </w:r>
      <w:r>
        <w:rPr>
          <w:rFonts w:hint="eastAsia" w:ascii="仿宋_GB2312" w:hAnsi="宋体" w:eastAsia="仿宋_GB2312" w:cs="宋体"/>
          <w:color w:val="000000"/>
          <w:kern w:val="0"/>
          <w:sz w:val="28"/>
          <w:szCs w:val="28"/>
          <w:highlight w:val="none"/>
          <w:lang w:val="en-US" w:eastAsia="zh-CN"/>
        </w:rPr>
        <w:t>，</w:t>
      </w:r>
      <w:r>
        <w:rPr>
          <w:rFonts w:hint="eastAsia" w:ascii="仿宋_GB2312" w:hAnsi="宋体" w:eastAsia="仿宋_GB2312" w:cs="宋体"/>
          <w:color w:val="000000"/>
          <w:kern w:val="0"/>
          <w:sz w:val="28"/>
          <w:szCs w:val="28"/>
          <w:highlight w:val="none"/>
          <w:lang w:eastAsia="zh-CN"/>
        </w:rPr>
        <w:t>制</w:t>
      </w:r>
      <w:r>
        <w:rPr>
          <w:rFonts w:hint="eastAsia" w:ascii="仿宋_GB2312" w:hAnsi="宋体" w:eastAsia="仿宋_GB2312" w:cs="宋体"/>
          <w:color w:val="000000"/>
          <w:kern w:val="0"/>
          <w:sz w:val="28"/>
          <w:szCs w:val="28"/>
          <w:highlight w:val="none"/>
        </w:rPr>
        <w:t>定</w:t>
      </w:r>
      <w:r>
        <w:rPr>
          <w:rFonts w:hint="eastAsia" w:ascii="仿宋_GB2312" w:hAnsi="宋体" w:eastAsia="仿宋_GB2312" w:cs="宋体"/>
          <w:color w:val="000000"/>
          <w:kern w:val="0"/>
          <w:sz w:val="28"/>
          <w:szCs w:val="28"/>
          <w:highlight w:val="none"/>
          <w:lang w:eastAsia="zh-CN"/>
        </w:rPr>
        <w:t>接收</w:t>
      </w:r>
      <w:r>
        <w:rPr>
          <w:rFonts w:hint="eastAsia" w:ascii="仿宋_GB2312" w:hAnsi="宋体" w:eastAsia="仿宋_GB2312" w:cs="宋体"/>
          <w:color w:val="000000"/>
          <w:kern w:val="0"/>
          <w:sz w:val="28"/>
          <w:szCs w:val="28"/>
          <w:highlight w:val="none"/>
        </w:rPr>
        <w:t>安置计划并组织实施。组织</w:t>
      </w:r>
      <w:r>
        <w:rPr>
          <w:rFonts w:hint="eastAsia" w:ascii="仿宋_GB2312" w:hAnsi="宋体" w:eastAsia="仿宋_GB2312" w:cs="宋体"/>
          <w:color w:val="000000"/>
          <w:kern w:val="0"/>
          <w:sz w:val="28"/>
          <w:szCs w:val="28"/>
          <w:highlight w:val="none"/>
          <w:lang w:eastAsia="zh-CN"/>
        </w:rPr>
        <w:t>开展</w:t>
      </w:r>
      <w:r>
        <w:rPr>
          <w:rFonts w:hint="eastAsia" w:ascii="仿宋_GB2312" w:hAnsi="宋体" w:eastAsia="仿宋_GB2312" w:cs="宋体"/>
          <w:color w:val="000000"/>
          <w:kern w:val="0"/>
          <w:sz w:val="28"/>
          <w:szCs w:val="28"/>
          <w:highlight w:val="none"/>
        </w:rPr>
        <w:t>退役军人、随军家属就业创业培训工作。负责本区军队离休退休干部、无军籍退休</w:t>
      </w:r>
      <w:r>
        <w:rPr>
          <w:rFonts w:hint="eastAsia" w:ascii="仿宋_GB2312" w:hAnsi="宋体" w:eastAsia="仿宋_GB2312" w:cs="宋体"/>
          <w:color w:val="000000"/>
          <w:kern w:val="0"/>
          <w:sz w:val="28"/>
          <w:szCs w:val="28"/>
          <w:highlight w:val="none"/>
          <w:lang w:eastAsia="zh-CN"/>
        </w:rPr>
        <w:t>退职</w:t>
      </w:r>
      <w:r>
        <w:rPr>
          <w:rFonts w:hint="eastAsia" w:ascii="仿宋_GB2312" w:hAnsi="宋体" w:eastAsia="仿宋_GB2312" w:cs="宋体"/>
          <w:color w:val="000000"/>
          <w:kern w:val="0"/>
          <w:sz w:val="28"/>
          <w:szCs w:val="28"/>
          <w:highlight w:val="none"/>
        </w:rPr>
        <w:t>职工的</w:t>
      </w:r>
      <w:r>
        <w:rPr>
          <w:rFonts w:hint="eastAsia" w:ascii="仿宋_GB2312" w:hAnsi="宋体" w:eastAsia="仿宋_GB2312" w:cs="宋体"/>
          <w:color w:val="000000"/>
          <w:kern w:val="0"/>
          <w:sz w:val="28"/>
          <w:szCs w:val="28"/>
          <w:highlight w:val="none"/>
          <w:lang w:eastAsia="zh-CN"/>
        </w:rPr>
        <w:t>移交安置工作</w:t>
      </w:r>
      <w:r>
        <w:rPr>
          <w:rFonts w:hint="eastAsia" w:ascii="仿宋_GB2312" w:hAnsi="宋体" w:eastAsia="仿宋_GB2312" w:cs="宋体"/>
          <w:color w:val="000000"/>
          <w:kern w:val="0"/>
          <w:sz w:val="28"/>
          <w:szCs w:val="28"/>
          <w:highlight w:val="none"/>
        </w:rPr>
        <w:t>和服务管理工作。承担本区拥军优属工作，负责现役军人、退役军人</w:t>
      </w:r>
      <w:r>
        <w:rPr>
          <w:rFonts w:hint="eastAsia" w:ascii="仿宋_GB2312" w:hAnsi="宋体" w:eastAsia="仿宋_GB2312" w:cs="宋体"/>
          <w:color w:val="000000"/>
          <w:kern w:val="0"/>
          <w:sz w:val="28"/>
          <w:szCs w:val="28"/>
          <w:highlight w:val="none"/>
          <w:lang w:eastAsia="zh-CN"/>
        </w:rPr>
        <w:t>、</w:t>
      </w:r>
      <w:r>
        <w:rPr>
          <w:rFonts w:hint="eastAsia" w:ascii="仿宋_GB2312" w:hAnsi="宋体" w:eastAsia="仿宋_GB2312" w:cs="宋体"/>
          <w:color w:val="000000"/>
          <w:kern w:val="0"/>
          <w:sz w:val="28"/>
          <w:szCs w:val="28"/>
          <w:highlight w:val="none"/>
        </w:rPr>
        <w:t>军属优待、抚恤工作。依法承担烈士纪念设施的保护维护工作，负责审核烈士申报、褒扬工作，组织开展烈士纪念活动。</w:t>
      </w:r>
    </w:p>
    <w:p w14:paraId="7B989ABE">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楷体_GB2312" w:eastAsia="楷体_GB2312"/>
          <w:sz w:val="28"/>
          <w:szCs w:val="28"/>
          <w:highlight w:val="none"/>
        </w:rPr>
      </w:pPr>
      <w:r>
        <w:rPr>
          <w:rFonts w:hint="eastAsia" w:ascii="楷体_GB2312" w:eastAsia="楷体_GB2312"/>
          <w:sz w:val="28"/>
          <w:szCs w:val="28"/>
          <w:highlight w:val="none"/>
          <w:lang w:val="en-US" w:eastAsia="zh-CN"/>
        </w:rPr>
        <w:t>2.</w:t>
      </w:r>
      <w:r>
        <w:rPr>
          <w:rFonts w:hint="eastAsia" w:ascii="楷体_GB2312" w:eastAsia="楷体_GB2312"/>
          <w:sz w:val="28"/>
          <w:szCs w:val="28"/>
          <w:highlight w:val="none"/>
        </w:rPr>
        <w:t>部门整体绩效目标设立情况。</w:t>
      </w:r>
    </w:p>
    <w:p w14:paraId="03DC32BC">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根据</w:t>
      </w:r>
      <w:r>
        <w:rPr>
          <w:rFonts w:hint="eastAsia" w:ascii="仿宋_GB2312" w:hAnsi="宋体" w:eastAsia="仿宋_GB2312" w:cs="宋体"/>
          <w:color w:val="000000"/>
          <w:kern w:val="0"/>
          <w:sz w:val="28"/>
          <w:szCs w:val="28"/>
          <w:highlight w:val="none"/>
          <w:lang w:eastAsia="zh-CN"/>
        </w:rPr>
        <w:t>“三定方案”明确的退役军人思想政治、移交安置、就业创业、优抚优待等核心职能设定目标</w:t>
      </w:r>
      <w:r>
        <w:rPr>
          <w:rFonts w:hint="default" w:ascii="仿宋_GB2312" w:hAnsi="宋体" w:eastAsia="仿宋_GB2312" w:cs="宋体"/>
          <w:color w:val="000000"/>
          <w:kern w:val="0"/>
          <w:sz w:val="28"/>
          <w:szCs w:val="28"/>
          <w:highlight w:val="none"/>
          <w:lang w:eastAsia="zh-CN"/>
        </w:rPr>
        <w:t>确保与法定职责完全匹配。</w:t>
      </w:r>
      <w:r>
        <w:rPr>
          <w:rFonts w:hint="default" w:ascii="仿宋_GB2312" w:hAnsi="宋体" w:eastAsia="仿宋_GB2312" w:cs="宋体"/>
          <w:color w:val="000000"/>
          <w:kern w:val="0"/>
          <w:sz w:val="28"/>
          <w:szCs w:val="28"/>
          <w:highlight w:val="none"/>
          <w:lang w:eastAsia="zh-CN"/>
        </w:rPr>
        <w:br w:type="textWrapping"/>
      </w:r>
      <w:r>
        <w:rPr>
          <w:rFonts w:hint="eastAsia" w:ascii="仿宋_GB2312" w:hAnsi="宋体" w:eastAsia="仿宋_GB2312" w:cs="宋体"/>
          <w:color w:val="000000"/>
          <w:kern w:val="0"/>
          <w:sz w:val="28"/>
          <w:szCs w:val="28"/>
          <w:highlight w:val="none"/>
          <w:lang w:val="en-US" w:eastAsia="zh-CN"/>
        </w:rPr>
        <w:t xml:space="preserve">   总体目标：（1）夯实基层基础工作，提高服务保障能力。（2）持续推进双拥共建实现军地融合发展(3)高质量做好优待抚恤和褒扬纪念工作。（4）圆满完成退役军人安置、就业创业和服务管理工作（5）认真落实好军休干部“两个待遇”。</w:t>
      </w:r>
    </w:p>
    <w:p w14:paraId="61A0D2DF">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宋体" w:hAnsi="宋体" w:eastAsia="宋体" w:cs="宋体"/>
          <w:i w:val="0"/>
          <w:iCs w:val="0"/>
          <w:color w:val="000000"/>
          <w:kern w:val="0"/>
          <w:sz w:val="28"/>
          <w:szCs w:val="28"/>
          <w:highlight w:val="none"/>
          <w:u w:val="none"/>
          <w:lang w:val="en-US" w:eastAsia="zh-CN" w:bidi="ar"/>
        </w:rPr>
      </w:pPr>
      <w:r>
        <w:rPr>
          <w:rFonts w:hint="eastAsia" w:ascii="仿宋_GB2312" w:hAnsi="宋体" w:eastAsia="仿宋_GB2312" w:cs="宋体"/>
          <w:color w:val="000000"/>
          <w:kern w:val="0"/>
          <w:sz w:val="28"/>
          <w:szCs w:val="28"/>
          <w:highlight w:val="none"/>
          <w:lang w:val="en-US" w:eastAsia="zh-CN"/>
        </w:rPr>
        <w:t>阶段性目标：1.突出政治引领,用心做好常态化联系退役军人工作，加强和规范“首都老兵”志愿服务工作，</w:t>
      </w:r>
      <w:r>
        <w:rPr>
          <w:rFonts w:hint="eastAsia" w:ascii="仿宋_GB2312" w:hAnsi="宋体" w:eastAsia="仿宋_GB2312" w:cs="宋体"/>
          <w:color w:val="000000"/>
          <w:kern w:val="0"/>
          <w:sz w:val="28"/>
          <w:szCs w:val="28"/>
          <w:highlight w:val="none"/>
          <w:lang w:val="en" w:eastAsia="zh-CN"/>
        </w:rPr>
        <w:t>畅通信访渠道</w:t>
      </w:r>
      <w:r>
        <w:rPr>
          <w:rFonts w:hint="eastAsia" w:ascii="仿宋_GB2312" w:hAnsi="宋体" w:eastAsia="仿宋_GB2312" w:cs="宋体"/>
          <w:color w:val="000000"/>
          <w:kern w:val="0"/>
          <w:sz w:val="28"/>
          <w:szCs w:val="28"/>
          <w:highlight w:val="none"/>
          <w:lang w:val="en-US" w:eastAsia="zh-CN"/>
        </w:rPr>
        <w:t>。2.双拥创建全国双拥模范城宣传和总结工作，推进随军家属就业服务工作，打造特色双拥品牌，营造尊崇军人的良好氛围，完善军地互办实事“双清单”。3.严格落实优抚对象政策待遇，用心做好褒扬纪念工作，加强烈士纪念设施管理保护及日常维护。4.有序完成本年度移交安置工作，推进教育培训工作，增强就业创业能力。5.做好军休干部和无军籍职工接收安置工作，持续做好持卡就医后续工作，做好军休人员服务管理工作。</w:t>
      </w:r>
    </w:p>
    <w:p w14:paraId="15EBC1D9">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lang w:eastAsia="zh-CN"/>
        </w:rPr>
        <w:t>（</w:t>
      </w:r>
      <w:r>
        <w:rPr>
          <w:rFonts w:hint="eastAsia" w:ascii="黑体" w:hAnsi="黑体" w:eastAsia="黑体" w:cs="宋体"/>
          <w:color w:val="000000"/>
          <w:kern w:val="0"/>
          <w:sz w:val="28"/>
          <w:szCs w:val="28"/>
          <w:highlight w:val="none"/>
        </w:rPr>
        <w:t>二</w:t>
      </w:r>
      <w:r>
        <w:rPr>
          <w:rFonts w:hint="eastAsia" w:ascii="黑体" w:hAnsi="黑体" w:eastAsia="黑体" w:cs="宋体"/>
          <w:color w:val="000000"/>
          <w:kern w:val="0"/>
          <w:sz w:val="28"/>
          <w:szCs w:val="28"/>
          <w:highlight w:val="none"/>
          <w:lang w:eastAsia="zh-CN"/>
        </w:rPr>
        <w:t>）</w:t>
      </w:r>
      <w:r>
        <w:rPr>
          <w:rFonts w:ascii="黑体" w:hAnsi="黑体" w:eastAsia="黑体" w:cs="宋体"/>
          <w:color w:val="000000"/>
          <w:kern w:val="0"/>
          <w:sz w:val="28"/>
          <w:szCs w:val="28"/>
          <w:highlight w:val="none"/>
        </w:rPr>
        <w:t>、</w:t>
      </w:r>
      <w:r>
        <w:rPr>
          <w:rFonts w:hint="eastAsia" w:ascii="黑体" w:hAnsi="黑体" w:eastAsia="黑体" w:cs="宋体"/>
          <w:color w:val="000000"/>
          <w:kern w:val="0"/>
          <w:sz w:val="28"/>
          <w:szCs w:val="28"/>
          <w:highlight w:val="none"/>
        </w:rPr>
        <w:t>当年</w:t>
      </w:r>
      <w:r>
        <w:rPr>
          <w:rFonts w:ascii="黑体" w:hAnsi="黑体" w:eastAsia="黑体" w:cs="宋体"/>
          <w:color w:val="000000"/>
          <w:kern w:val="0"/>
          <w:sz w:val="28"/>
          <w:szCs w:val="28"/>
          <w:highlight w:val="none"/>
        </w:rPr>
        <w:t>预算执行情况</w:t>
      </w:r>
    </w:p>
    <w:p w14:paraId="6D9B00D3">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202</w:t>
      </w:r>
      <w:r>
        <w:rPr>
          <w:rFonts w:hint="eastAsia" w:ascii="仿宋_GB2312" w:hAnsi="宋体" w:eastAsia="仿宋_GB2312" w:cs="宋体"/>
          <w:color w:val="000000"/>
          <w:kern w:val="0"/>
          <w:sz w:val="28"/>
          <w:szCs w:val="28"/>
          <w:highlight w:val="none"/>
          <w:lang w:val="en-US" w:eastAsia="zh-CN"/>
        </w:rPr>
        <w:t>4</w:t>
      </w:r>
      <w:r>
        <w:rPr>
          <w:rFonts w:hint="eastAsia" w:ascii="仿宋_GB2312" w:hAnsi="宋体" w:eastAsia="仿宋_GB2312" w:cs="宋体"/>
          <w:color w:val="000000"/>
          <w:kern w:val="0"/>
          <w:sz w:val="28"/>
          <w:szCs w:val="28"/>
          <w:highlight w:val="none"/>
        </w:rPr>
        <w:t>年</w:t>
      </w:r>
      <w:r>
        <w:rPr>
          <w:rFonts w:ascii="仿宋_GB2312" w:hAnsi="宋体" w:eastAsia="仿宋_GB2312" w:cs="宋体"/>
          <w:color w:val="000000"/>
          <w:kern w:val="0"/>
          <w:sz w:val="28"/>
          <w:szCs w:val="28"/>
          <w:highlight w:val="none"/>
        </w:rPr>
        <w:t>全年</w:t>
      </w:r>
      <w:r>
        <w:rPr>
          <w:rFonts w:hint="eastAsia" w:ascii="仿宋_GB2312" w:hAnsi="宋体" w:eastAsia="仿宋_GB2312" w:cs="宋体"/>
          <w:color w:val="000000"/>
          <w:kern w:val="0"/>
          <w:sz w:val="28"/>
          <w:szCs w:val="28"/>
          <w:highlight w:val="none"/>
        </w:rPr>
        <w:t>预算数</w:t>
      </w:r>
      <w:r>
        <w:rPr>
          <w:rFonts w:hint="eastAsia" w:ascii="仿宋_GB2312" w:hAnsi="宋体" w:eastAsia="仿宋_GB2312" w:cs="宋体"/>
          <w:color w:val="auto"/>
          <w:kern w:val="0"/>
          <w:sz w:val="28"/>
          <w:szCs w:val="28"/>
          <w:highlight w:val="none"/>
        </w:rPr>
        <w:t>19229.23万元</w:t>
      </w:r>
      <w:r>
        <w:rPr>
          <w:rFonts w:ascii="仿宋_GB2312" w:hAnsi="宋体" w:eastAsia="仿宋_GB2312" w:cs="宋体"/>
          <w:color w:val="auto"/>
          <w:kern w:val="0"/>
          <w:sz w:val="28"/>
          <w:szCs w:val="28"/>
          <w:highlight w:val="none"/>
        </w:rPr>
        <w:t>，</w:t>
      </w:r>
      <w:r>
        <w:rPr>
          <w:rFonts w:hint="eastAsia" w:ascii="仿宋_GB2312" w:hAnsi="宋体" w:eastAsia="仿宋_GB2312" w:cs="宋体"/>
          <w:color w:val="auto"/>
          <w:kern w:val="0"/>
          <w:sz w:val="28"/>
          <w:szCs w:val="28"/>
          <w:highlight w:val="none"/>
        </w:rPr>
        <w:t>其中</w:t>
      </w:r>
      <w:r>
        <w:rPr>
          <w:rFonts w:ascii="仿宋_GB2312" w:hAnsi="宋体" w:eastAsia="仿宋_GB2312" w:cs="宋体"/>
          <w:color w:val="auto"/>
          <w:kern w:val="0"/>
          <w:sz w:val="28"/>
          <w:szCs w:val="28"/>
          <w:highlight w:val="none"/>
        </w:rPr>
        <w:t>，基本</w:t>
      </w:r>
      <w:r>
        <w:rPr>
          <w:rFonts w:hint="eastAsia" w:ascii="仿宋_GB2312" w:hAnsi="宋体" w:eastAsia="仿宋_GB2312" w:cs="宋体"/>
          <w:color w:val="auto"/>
          <w:kern w:val="0"/>
          <w:sz w:val="28"/>
          <w:szCs w:val="28"/>
          <w:highlight w:val="none"/>
        </w:rPr>
        <w:t>支出</w:t>
      </w:r>
      <w:r>
        <w:rPr>
          <w:rFonts w:ascii="仿宋_GB2312" w:hAnsi="宋体" w:eastAsia="仿宋_GB2312" w:cs="宋体"/>
          <w:color w:val="auto"/>
          <w:kern w:val="0"/>
          <w:sz w:val="28"/>
          <w:szCs w:val="28"/>
          <w:highlight w:val="none"/>
        </w:rPr>
        <w:t>预算</w:t>
      </w:r>
      <w:r>
        <w:rPr>
          <w:rFonts w:hint="eastAsia" w:ascii="仿宋_GB2312" w:hAnsi="宋体" w:eastAsia="仿宋_GB2312" w:cs="宋体"/>
          <w:color w:val="auto"/>
          <w:kern w:val="0"/>
          <w:sz w:val="28"/>
          <w:szCs w:val="28"/>
          <w:highlight w:val="none"/>
        </w:rPr>
        <w:t>数</w:t>
      </w:r>
      <w:r>
        <w:rPr>
          <w:rFonts w:hint="eastAsia" w:ascii="仿宋_GB2312" w:hAnsi="宋体" w:eastAsia="仿宋_GB2312" w:cs="宋体"/>
          <w:color w:val="auto"/>
          <w:kern w:val="0"/>
          <w:sz w:val="28"/>
          <w:szCs w:val="28"/>
          <w:highlight w:val="none"/>
          <w:lang w:val="en-US" w:eastAsia="zh-CN"/>
        </w:rPr>
        <w:t>1675.15</w:t>
      </w:r>
      <w:r>
        <w:rPr>
          <w:rFonts w:hint="eastAsia" w:ascii="仿宋_GB2312" w:hAnsi="宋体" w:eastAsia="仿宋_GB2312" w:cs="宋体"/>
          <w:color w:val="auto"/>
          <w:kern w:val="0"/>
          <w:sz w:val="28"/>
          <w:szCs w:val="28"/>
          <w:highlight w:val="none"/>
        </w:rPr>
        <w:t>万元</w:t>
      </w:r>
      <w:r>
        <w:rPr>
          <w:rFonts w:ascii="仿宋_GB2312" w:hAnsi="宋体" w:eastAsia="仿宋_GB2312" w:cs="宋体"/>
          <w:color w:val="auto"/>
          <w:kern w:val="0"/>
          <w:sz w:val="28"/>
          <w:szCs w:val="28"/>
          <w:highlight w:val="none"/>
        </w:rPr>
        <w:t>，</w:t>
      </w:r>
      <w:r>
        <w:rPr>
          <w:rFonts w:hint="eastAsia" w:ascii="仿宋_GB2312" w:hAnsi="宋体" w:eastAsia="仿宋_GB2312" w:cs="宋体"/>
          <w:color w:val="auto"/>
          <w:kern w:val="0"/>
          <w:sz w:val="28"/>
          <w:szCs w:val="28"/>
          <w:highlight w:val="none"/>
        </w:rPr>
        <w:t>项目支出预算数17554.08</w:t>
      </w:r>
      <w:r>
        <w:rPr>
          <w:rFonts w:ascii="仿宋_GB2312" w:hAnsi="宋体" w:eastAsia="仿宋_GB2312" w:cs="宋体"/>
          <w:color w:val="auto"/>
          <w:kern w:val="0"/>
          <w:sz w:val="28"/>
          <w:szCs w:val="28"/>
          <w:highlight w:val="none"/>
        </w:rPr>
        <w:t>万元，</w:t>
      </w:r>
      <w:r>
        <w:rPr>
          <w:rFonts w:ascii="仿宋_GB2312" w:hAnsi="宋体" w:eastAsia="仿宋_GB2312" w:cs="宋体"/>
          <w:color w:val="000000"/>
          <w:kern w:val="0"/>
          <w:sz w:val="28"/>
          <w:szCs w:val="28"/>
          <w:highlight w:val="none"/>
        </w:rPr>
        <w:t>其他支出</w:t>
      </w:r>
      <w:r>
        <w:rPr>
          <w:rFonts w:hint="eastAsia" w:ascii="仿宋_GB2312" w:hAnsi="宋体" w:eastAsia="仿宋_GB2312" w:cs="宋体"/>
          <w:color w:val="000000"/>
          <w:kern w:val="0"/>
          <w:sz w:val="28"/>
          <w:szCs w:val="28"/>
          <w:highlight w:val="none"/>
        </w:rPr>
        <w:t>预算数</w:t>
      </w:r>
      <w:r>
        <w:rPr>
          <w:rFonts w:hint="eastAsia" w:ascii="仿宋_GB2312" w:hAnsi="宋体" w:eastAsia="仿宋_GB2312" w:cs="宋体"/>
          <w:color w:val="000000"/>
          <w:kern w:val="0"/>
          <w:sz w:val="28"/>
          <w:szCs w:val="28"/>
          <w:highlight w:val="none"/>
          <w:lang w:val="en-US" w:eastAsia="zh-CN"/>
        </w:rPr>
        <w:t>0</w:t>
      </w:r>
      <w:r>
        <w:rPr>
          <w:rFonts w:ascii="仿宋_GB2312" w:hAnsi="宋体" w:eastAsia="仿宋_GB2312" w:cs="宋体"/>
          <w:color w:val="000000"/>
          <w:kern w:val="0"/>
          <w:sz w:val="28"/>
          <w:szCs w:val="28"/>
          <w:highlight w:val="none"/>
        </w:rPr>
        <w:t>万元</w:t>
      </w:r>
      <w:r>
        <w:rPr>
          <w:rFonts w:hint="eastAsia" w:ascii="仿宋_GB2312" w:hAnsi="宋体" w:eastAsia="仿宋_GB2312" w:cs="宋体"/>
          <w:color w:val="000000"/>
          <w:kern w:val="0"/>
          <w:sz w:val="28"/>
          <w:szCs w:val="28"/>
          <w:highlight w:val="none"/>
        </w:rPr>
        <w:t>。</w:t>
      </w:r>
      <w:r>
        <w:rPr>
          <w:rFonts w:ascii="仿宋_GB2312" w:hAnsi="宋体" w:eastAsia="仿宋_GB2312" w:cs="宋体"/>
          <w:color w:val="000000"/>
          <w:kern w:val="0"/>
          <w:sz w:val="28"/>
          <w:szCs w:val="28"/>
          <w:highlight w:val="none"/>
        </w:rPr>
        <w:t>资金总体</w:t>
      </w:r>
      <w:r>
        <w:rPr>
          <w:rFonts w:hint="eastAsia" w:ascii="仿宋_GB2312" w:hAnsi="宋体" w:eastAsia="仿宋_GB2312" w:cs="宋体"/>
          <w:color w:val="000000"/>
          <w:kern w:val="0"/>
          <w:sz w:val="28"/>
          <w:szCs w:val="28"/>
          <w:highlight w:val="none"/>
        </w:rPr>
        <w:t>支出18819.31</w:t>
      </w:r>
      <w:r>
        <w:rPr>
          <w:rFonts w:ascii="仿宋_GB2312" w:hAnsi="宋体" w:eastAsia="仿宋_GB2312" w:cs="宋体"/>
          <w:color w:val="000000"/>
          <w:kern w:val="0"/>
          <w:sz w:val="28"/>
          <w:szCs w:val="28"/>
          <w:highlight w:val="none"/>
        </w:rPr>
        <w:t>万元，其中，基本支出</w:t>
      </w:r>
      <w:r>
        <w:rPr>
          <w:rFonts w:hint="eastAsia" w:ascii="仿宋_GB2312" w:hAnsi="宋体" w:eastAsia="仿宋_GB2312" w:cs="宋体"/>
          <w:color w:val="000000"/>
          <w:kern w:val="0"/>
          <w:sz w:val="28"/>
          <w:szCs w:val="28"/>
          <w:highlight w:val="none"/>
        </w:rPr>
        <w:t>1657.33</w:t>
      </w:r>
      <w:r>
        <w:rPr>
          <w:rFonts w:ascii="仿宋_GB2312" w:hAnsi="宋体" w:eastAsia="仿宋_GB2312" w:cs="宋体"/>
          <w:color w:val="000000"/>
          <w:kern w:val="0"/>
          <w:sz w:val="28"/>
          <w:szCs w:val="28"/>
          <w:highlight w:val="none"/>
        </w:rPr>
        <w:t>万元，项目</w:t>
      </w:r>
      <w:r>
        <w:rPr>
          <w:rFonts w:hint="eastAsia" w:ascii="仿宋_GB2312" w:hAnsi="宋体" w:eastAsia="仿宋_GB2312" w:cs="宋体"/>
          <w:color w:val="000000"/>
          <w:kern w:val="0"/>
          <w:sz w:val="28"/>
          <w:szCs w:val="28"/>
          <w:highlight w:val="none"/>
        </w:rPr>
        <w:t>支出17161.9</w:t>
      </w:r>
      <w:r>
        <w:rPr>
          <w:rFonts w:hint="eastAsia" w:ascii="仿宋_GB2312" w:hAnsi="宋体" w:eastAsia="仿宋_GB2312" w:cs="宋体"/>
          <w:color w:val="000000"/>
          <w:kern w:val="0"/>
          <w:sz w:val="28"/>
          <w:szCs w:val="28"/>
          <w:highlight w:val="none"/>
          <w:lang w:val="en-US" w:eastAsia="zh-CN"/>
        </w:rPr>
        <w:t>8</w:t>
      </w:r>
      <w:r>
        <w:rPr>
          <w:rFonts w:ascii="仿宋_GB2312" w:hAnsi="宋体" w:eastAsia="仿宋_GB2312" w:cs="宋体"/>
          <w:color w:val="000000"/>
          <w:kern w:val="0"/>
          <w:sz w:val="28"/>
          <w:szCs w:val="28"/>
          <w:highlight w:val="none"/>
        </w:rPr>
        <w:t>万元，其他支出</w:t>
      </w:r>
      <w:r>
        <w:rPr>
          <w:rFonts w:hint="eastAsia" w:ascii="仿宋_GB2312" w:hAnsi="宋体" w:eastAsia="仿宋_GB2312" w:cs="宋体"/>
          <w:color w:val="000000"/>
          <w:kern w:val="0"/>
          <w:sz w:val="28"/>
          <w:szCs w:val="28"/>
          <w:highlight w:val="none"/>
          <w:lang w:val="en-US" w:eastAsia="zh-CN"/>
        </w:rPr>
        <w:t>0</w:t>
      </w:r>
      <w:r>
        <w:rPr>
          <w:rFonts w:ascii="仿宋_GB2312" w:hAnsi="宋体" w:eastAsia="仿宋_GB2312" w:cs="宋体"/>
          <w:color w:val="000000"/>
          <w:kern w:val="0"/>
          <w:sz w:val="28"/>
          <w:szCs w:val="28"/>
          <w:highlight w:val="none"/>
        </w:rPr>
        <w:t>万元。</w:t>
      </w:r>
      <w:r>
        <w:rPr>
          <w:rFonts w:hint="eastAsia" w:ascii="仿宋_GB2312" w:hAnsi="宋体" w:eastAsia="仿宋_GB2312" w:cs="宋体"/>
          <w:color w:val="000000"/>
          <w:kern w:val="0"/>
          <w:sz w:val="28"/>
          <w:szCs w:val="28"/>
          <w:highlight w:val="none"/>
        </w:rPr>
        <w:t>预算</w:t>
      </w:r>
      <w:r>
        <w:rPr>
          <w:rFonts w:ascii="仿宋_GB2312" w:hAnsi="宋体" w:eastAsia="仿宋_GB2312" w:cs="宋体"/>
          <w:color w:val="000000"/>
          <w:kern w:val="0"/>
          <w:sz w:val="28"/>
          <w:szCs w:val="28"/>
          <w:highlight w:val="none"/>
        </w:rPr>
        <w:t>执行率为</w:t>
      </w:r>
      <w:r>
        <w:rPr>
          <w:rFonts w:hint="eastAsia" w:ascii="仿宋_GB2312" w:hAnsi="宋体" w:eastAsia="仿宋_GB2312" w:cs="宋体"/>
          <w:color w:val="000000"/>
          <w:kern w:val="0"/>
          <w:sz w:val="28"/>
          <w:szCs w:val="28"/>
          <w:highlight w:val="none"/>
          <w:lang w:val="en-US" w:eastAsia="zh-CN"/>
        </w:rPr>
        <w:t>97.87%</w:t>
      </w:r>
      <w:r>
        <w:rPr>
          <w:rFonts w:hint="eastAsia" w:ascii="仿宋_GB2312" w:hAnsi="宋体" w:eastAsia="仿宋_GB2312" w:cs="宋体"/>
          <w:color w:val="000000"/>
          <w:kern w:val="0"/>
          <w:sz w:val="28"/>
          <w:szCs w:val="28"/>
          <w:highlight w:val="none"/>
        </w:rPr>
        <w:t>。</w:t>
      </w:r>
    </w:p>
    <w:p w14:paraId="4780E8CF">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lang w:eastAsia="zh-CN"/>
        </w:rPr>
        <w:t>（</w:t>
      </w:r>
      <w:r>
        <w:rPr>
          <w:rFonts w:hint="eastAsia" w:ascii="黑体" w:hAnsi="黑体" w:eastAsia="黑体" w:cs="宋体"/>
          <w:color w:val="000000"/>
          <w:kern w:val="0"/>
          <w:sz w:val="28"/>
          <w:szCs w:val="28"/>
          <w:highlight w:val="none"/>
        </w:rPr>
        <w:t>三</w:t>
      </w:r>
      <w:r>
        <w:rPr>
          <w:rFonts w:hint="eastAsia" w:ascii="黑体" w:hAnsi="黑体" w:eastAsia="黑体" w:cs="宋体"/>
          <w:color w:val="000000"/>
          <w:kern w:val="0"/>
          <w:sz w:val="28"/>
          <w:szCs w:val="28"/>
          <w:highlight w:val="none"/>
          <w:lang w:eastAsia="zh-CN"/>
        </w:rPr>
        <w:t>）</w:t>
      </w:r>
      <w:r>
        <w:rPr>
          <w:rFonts w:ascii="黑体" w:hAnsi="黑体" w:eastAsia="黑体" w:cs="宋体"/>
          <w:color w:val="000000"/>
          <w:kern w:val="0"/>
          <w:sz w:val="28"/>
          <w:szCs w:val="28"/>
          <w:highlight w:val="none"/>
        </w:rPr>
        <w:t>、整体绩效目标实现情况</w:t>
      </w:r>
    </w:p>
    <w:p w14:paraId="67188DFD">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宋体" w:eastAsia="仿宋_GB2312" w:cs="宋体"/>
          <w:color w:val="000000"/>
          <w:kern w:val="0"/>
          <w:sz w:val="28"/>
          <w:szCs w:val="28"/>
          <w:highlight w:val="none"/>
        </w:rPr>
      </w:pPr>
      <w:r>
        <w:rPr>
          <w:rFonts w:hint="eastAsia" w:ascii="楷体_GB2312" w:eastAsia="楷体_GB2312"/>
          <w:sz w:val="28"/>
          <w:szCs w:val="28"/>
          <w:highlight w:val="none"/>
          <w:lang w:eastAsia="zh-CN"/>
        </w:rPr>
        <w:t>任务一</w:t>
      </w:r>
      <w:r>
        <w:rPr>
          <w:rFonts w:hint="eastAsia" w:ascii="楷体_GB2312" w:eastAsia="楷体_GB2312"/>
          <w:sz w:val="28"/>
          <w:szCs w:val="28"/>
          <w:highlight w:val="none"/>
        </w:rPr>
        <w:t>完成情况分析</w:t>
      </w:r>
      <w:r>
        <w:rPr>
          <w:rFonts w:hint="eastAsia" w:ascii="仿宋_GB2312" w:hAnsi="宋体" w:eastAsia="仿宋_GB2312" w:cs="宋体"/>
          <w:color w:val="000000"/>
          <w:kern w:val="0"/>
          <w:sz w:val="28"/>
          <w:szCs w:val="28"/>
          <w:highlight w:val="none"/>
        </w:rPr>
        <w:t xml:space="preserve"> </w:t>
      </w:r>
    </w:p>
    <w:p w14:paraId="4E7119B7">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楷体_GB2312" w:hAnsi="Times New Roman" w:eastAsia="楷体_GB2312" w:cs="Times New Roman"/>
          <w:b/>
          <w:bCs/>
          <w:sz w:val="28"/>
          <w:szCs w:val="28"/>
          <w:highlight w:val="none"/>
          <w:lang w:val="en-US" w:eastAsia="zh-CN"/>
        </w:rPr>
      </w:pPr>
      <w:r>
        <w:rPr>
          <w:rFonts w:hint="eastAsia" w:ascii="楷体_GB2312" w:hAnsi="Times New Roman" w:eastAsia="楷体_GB2312" w:cs="Times New Roman"/>
          <w:b/>
          <w:bCs/>
          <w:sz w:val="28"/>
          <w:szCs w:val="28"/>
          <w:highlight w:val="none"/>
          <w:lang w:val="en-US" w:eastAsia="zh-CN"/>
        </w:rPr>
        <w:t>思想政治与权益维护</w:t>
      </w:r>
    </w:p>
    <w:p w14:paraId="21AE0F6C">
      <w:pPr>
        <w:widowControl/>
        <w:spacing w:line="480" w:lineRule="exact"/>
        <w:ind w:firstLine="560" w:firstLineChars="200"/>
        <w:jc w:val="left"/>
        <w:textAlignment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1.常态化联系机制：常态化联系25名退役军人，建立联系“结对子”，</w:t>
      </w:r>
      <w:r>
        <w:rPr>
          <w:rFonts w:ascii="仿宋_GB2312" w:hAnsi="宋体" w:eastAsia="仿宋_GB2312" w:cs="宋体"/>
          <w:color w:val="000000"/>
          <w:kern w:val="0"/>
          <w:sz w:val="28"/>
          <w:szCs w:val="28"/>
        </w:rPr>
        <w:t xml:space="preserve"> 建档立卡26021人</w:t>
      </w:r>
      <w:r>
        <w:rPr>
          <w:rFonts w:hint="eastAsia" w:ascii="仿宋_GB2312" w:hAnsi="宋体" w:eastAsia="仿宋_GB2312" w:cs="宋体"/>
          <w:color w:val="000000"/>
          <w:kern w:val="0"/>
          <w:sz w:val="28"/>
          <w:szCs w:val="28"/>
        </w:rPr>
        <w:t>，优待证接受申请31318人次，发放证件26777张。</w:t>
      </w:r>
    </w:p>
    <w:p w14:paraId="2402EA66">
      <w:pPr>
        <w:widowControl/>
        <w:spacing w:line="480" w:lineRule="exact"/>
        <w:ind w:firstLine="560" w:firstLineChars="200"/>
        <w:jc w:val="left"/>
        <w:textAlignment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2.志愿服务体系建设："首都老兵"志愿服务队671支，参与志愿服务工作退役军人6000余人。开展活动3000余次。</w:t>
      </w:r>
    </w:p>
    <w:p w14:paraId="3F0CF94A">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textAlignment w:val="auto"/>
        <w:rPr>
          <w:rFonts w:hint="eastAsia" w:ascii="楷体_GB2312" w:eastAsia="楷体_GB2312"/>
          <w:sz w:val="28"/>
          <w:szCs w:val="28"/>
          <w:highlight w:val="none"/>
          <w:lang w:eastAsia="zh-CN"/>
        </w:rPr>
      </w:pPr>
      <w:r>
        <w:rPr>
          <w:rFonts w:hint="eastAsia" w:ascii="楷体_GB2312" w:eastAsia="楷体_GB2312"/>
          <w:sz w:val="28"/>
          <w:szCs w:val="28"/>
          <w:highlight w:val="none"/>
          <w:lang w:eastAsia="zh-CN"/>
        </w:rPr>
        <w:t>任务二完成情况分析</w:t>
      </w:r>
    </w:p>
    <w:p w14:paraId="7B0A251B">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default" w:ascii="楷体_GB2312" w:hAnsi="Times New Roman" w:eastAsia="楷体_GB2312" w:cs="Times New Roman"/>
          <w:b/>
          <w:bCs/>
          <w:sz w:val="28"/>
          <w:szCs w:val="28"/>
          <w:highlight w:val="none"/>
          <w:lang w:val="en-US" w:eastAsia="zh-CN"/>
        </w:rPr>
      </w:pPr>
      <w:r>
        <w:rPr>
          <w:rFonts w:hint="default" w:ascii="楷体_GB2312" w:hAnsi="Times New Roman" w:eastAsia="楷体_GB2312" w:cs="Times New Roman"/>
          <w:b/>
          <w:bCs/>
          <w:sz w:val="28"/>
          <w:szCs w:val="28"/>
          <w:highlight w:val="none"/>
          <w:lang w:val="en-US" w:eastAsia="zh-CN"/>
        </w:rPr>
        <w:t>双拥创建与品牌建设</w:t>
      </w:r>
    </w:p>
    <w:p w14:paraId="59C0E61B">
      <w:pPr>
        <w:keepNext w:val="0"/>
        <w:keepLines w:val="0"/>
        <w:pageBreakBefore w:val="0"/>
        <w:widowControl w:val="0"/>
        <w:kinsoku/>
        <w:wordWrap/>
        <w:overflowPunct/>
        <w:topLinePunct w:val="0"/>
        <w:autoSpaceDE/>
        <w:autoSpaceDN/>
        <w:bidi w:val="0"/>
        <w:adjustRightInd/>
        <w:snapToGrid/>
        <w:spacing w:line="520" w:lineRule="exact"/>
        <w:ind w:left="105" w:leftChars="50" w:firstLine="560" w:firstLineChars="200"/>
        <w:textAlignment w:val="auto"/>
        <w:rPr>
          <w:rFonts w:hint="eastAsia" w:ascii="仿宋_GB2312" w:hAnsi="宋体" w:eastAsia="仿宋_GB2312" w:cs="宋体"/>
          <w:b w:val="0"/>
          <w:bCs w:val="0"/>
          <w:color w:val="000000"/>
          <w:kern w:val="0"/>
          <w:sz w:val="28"/>
          <w:szCs w:val="28"/>
          <w:highlight w:val="none"/>
          <w:lang w:val="en-US" w:eastAsia="zh-CN"/>
        </w:rPr>
      </w:pPr>
      <w:r>
        <w:rPr>
          <w:rFonts w:hint="eastAsia" w:ascii="仿宋_GB2312" w:hAnsi="仿宋_GB2312" w:eastAsia="仿宋_GB2312" w:cs="仿宋_GB2312"/>
          <w:b w:val="0"/>
          <w:bCs w:val="0"/>
          <w:color w:val="000000"/>
          <w:kern w:val="0"/>
          <w:sz w:val="28"/>
          <w:szCs w:val="28"/>
          <w:highlight w:val="none"/>
          <w:lang w:val="en-US" w:eastAsia="zh-CN"/>
        </w:rPr>
        <w:t>1、模范城创建：做好本届双拥模范城创建成果的宣传和总结工作，推进社会化拥军工作，企业新增数64家，社会化拥军企业名录已达163家。开展军地共建活动场次10+次，春节、“八一”等期间，走访慰问驻区部队。送出喜报63份；联合区教委开展“情系边海防”春节专项慰问活动，征集全区中小学师生慰问信、书画、贺年卡等作品530余幅；组织第二届“崇军荣属 京南行动”大兴区立功军人家属逛京城活动，邀请49名驻区部队二等功军人军属来京参观游览。保障服务对象的满意度90%以上。制定军地互办实事“双清单”，收到拥军优属类17个工作事项30多件内容；全区首个双拥共建体育场已投入使用。完成本年度驻区部队军人子女优待入学85人。</w:t>
      </w:r>
    </w:p>
    <w:p w14:paraId="7EC83939">
      <w:pPr>
        <w:keepNext w:val="0"/>
        <w:keepLines w:val="0"/>
        <w:pageBreakBefore w:val="0"/>
        <w:widowControl w:val="0"/>
        <w:kinsoku/>
        <w:wordWrap/>
        <w:overflowPunct/>
        <w:topLinePunct w:val="0"/>
        <w:autoSpaceDE/>
        <w:autoSpaceDN/>
        <w:bidi w:val="0"/>
        <w:adjustRightInd/>
        <w:snapToGrid/>
        <w:spacing w:line="520" w:lineRule="exact"/>
        <w:ind w:left="105" w:leftChars="50" w:firstLine="560" w:firstLineChars="200"/>
        <w:textAlignment w:val="auto"/>
        <w:rPr>
          <w:rFonts w:hint="eastAsia" w:ascii="宋体" w:hAnsi="宋体" w:eastAsia="宋体" w:cs="宋体"/>
          <w:i w:val="0"/>
          <w:iCs w:val="0"/>
          <w:color w:val="000000"/>
          <w:kern w:val="0"/>
          <w:sz w:val="21"/>
          <w:szCs w:val="21"/>
          <w:highlight w:val="none"/>
          <w:u w:val="none"/>
          <w:lang w:val="en-US" w:eastAsia="zh-CN" w:bidi="ar"/>
        </w:rPr>
      </w:pPr>
      <w:r>
        <w:rPr>
          <w:rFonts w:hint="eastAsia" w:ascii="仿宋_GB2312" w:hAnsi="宋体" w:eastAsia="仿宋_GB2312" w:cs="宋体"/>
          <w:b w:val="0"/>
          <w:bCs w:val="0"/>
          <w:color w:val="000000"/>
          <w:kern w:val="0"/>
          <w:sz w:val="28"/>
          <w:szCs w:val="28"/>
          <w:highlight w:val="none"/>
          <w:lang w:val="en-US" w:eastAsia="zh-CN"/>
        </w:rPr>
        <w:t xml:space="preserve"> 2</w:t>
      </w:r>
      <w:r>
        <w:rPr>
          <w:rFonts w:hint="eastAsia" w:ascii="仿宋_GB2312" w:hAnsi="仿宋_GB2312" w:eastAsia="仿宋_GB2312" w:cs="仿宋_GB2312"/>
          <w:b w:val="0"/>
          <w:bCs w:val="0"/>
          <w:color w:val="000000"/>
          <w:kern w:val="0"/>
          <w:sz w:val="28"/>
          <w:szCs w:val="28"/>
          <w:highlight w:val="none"/>
          <w:lang w:val="en-US" w:eastAsia="zh-CN"/>
        </w:rPr>
        <w:t>、军属就业扶持：协调提供机关、事业、社工、国企岗位，6名随军家属安置到事业编、社</w:t>
      </w:r>
      <w:r>
        <w:rPr>
          <w:rFonts w:hint="eastAsia" w:ascii="仿宋_GB2312" w:hAnsi="仿宋_GB2312" w:eastAsia="仿宋_GB2312" w:cs="仿宋_GB2312"/>
          <w:b w:val="0"/>
          <w:bCs w:val="0"/>
          <w:color w:val="000000"/>
          <w:kern w:val="0"/>
          <w:sz w:val="32"/>
          <w:szCs w:val="32"/>
          <w:highlight w:val="none"/>
          <w:lang w:val="en-US" w:eastAsia="zh-CN"/>
        </w:rPr>
        <w:t>工岗位。</w:t>
      </w:r>
    </w:p>
    <w:p w14:paraId="4B7E9FEB">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textAlignment w:val="auto"/>
        <w:rPr>
          <w:rFonts w:hint="eastAsia" w:ascii="楷体_GB2312" w:eastAsia="楷体_GB2312"/>
          <w:sz w:val="28"/>
          <w:szCs w:val="28"/>
          <w:highlight w:val="none"/>
          <w:lang w:eastAsia="zh-CN"/>
        </w:rPr>
      </w:pPr>
      <w:r>
        <w:rPr>
          <w:rFonts w:hint="eastAsia" w:ascii="楷体_GB2312" w:eastAsia="楷体_GB2312"/>
          <w:sz w:val="28"/>
          <w:szCs w:val="28"/>
          <w:highlight w:val="none"/>
          <w:lang w:eastAsia="zh-CN"/>
        </w:rPr>
        <w:t>任务三完成情况分析</w:t>
      </w:r>
    </w:p>
    <w:p w14:paraId="5D4D88F3">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textAlignment w:val="auto"/>
        <w:rPr>
          <w:rFonts w:hint="eastAsia" w:ascii="楷体_GB2312" w:hAnsi="Times New Roman" w:eastAsia="楷体_GB2312" w:cs="Times New Roman"/>
          <w:b/>
          <w:bCs/>
          <w:sz w:val="28"/>
          <w:szCs w:val="28"/>
          <w:highlight w:val="none"/>
          <w:lang w:val="en-US" w:eastAsia="zh-CN"/>
        </w:rPr>
      </w:pPr>
      <w:r>
        <w:rPr>
          <w:rFonts w:hint="eastAsia" w:ascii="楷体_GB2312" w:hAnsi="Times New Roman" w:eastAsia="楷体_GB2312" w:cs="Times New Roman"/>
          <w:b/>
          <w:bCs/>
          <w:sz w:val="28"/>
          <w:szCs w:val="28"/>
          <w:highlight w:val="none"/>
          <w:lang w:val="en-US" w:eastAsia="zh-CN"/>
        </w:rPr>
        <w:t>优抚保障与褒扬纪念</w:t>
      </w:r>
    </w:p>
    <w:p w14:paraId="0B3DFED5">
      <w:pPr>
        <w:keepNext w:val="0"/>
        <w:keepLines w:val="0"/>
        <w:pageBreakBefore w:val="0"/>
        <w:widowControl w:val="0"/>
        <w:kinsoku/>
        <w:wordWrap/>
        <w:overflowPunct/>
        <w:topLinePunct w:val="0"/>
        <w:autoSpaceDE/>
        <w:autoSpaceDN/>
        <w:bidi w:val="0"/>
        <w:adjustRightInd/>
        <w:snapToGrid/>
        <w:spacing w:line="520" w:lineRule="exact"/>
        <w:ind w:left="105" w:leftChars="50" w:firstLine="560" w:firstLineChars="200"/>
        <w:textAlignment w:val="auto"/>
        <w:rPr>
          <w:rFonts w:hint="eastAsia" w:ascii="仿宋_GB2312" w:hAnsi="宋体" w:eastAsia="仿宋_GB2312" w:cs="宋体"/>
          <w:b w:val="0"/>
          <w:bCs w:val="0"/>
          <w:color w:val="000000"/>
          <w:kern w:val="0"/>
          <w:sz w:val="28"/>
          <w:szCs w:val="28"/>
          <w:highlight w:val="none"/>
          <w:lang w:val="en-US" w:eastAsia="zh-CN"/>
        </w:rPr>
      </w:pPr>
      <w:r>
        <w:rPr>
          <w:rFonts w:hint="eastAsia" w:ascii="仿宋_GB2312" w:hAnsi="宋体" w:eastAsia="仿宋_GB2312" w:cs="宋体"/>
          <w:b w:val="0"/>
          <w:bCs w:val="0"/>
          <w:color w:val="000000"/>
          <w:kern w:val="0"/>
          <w:sz w:val="28"/>
          <w:szCs w:val="28"/>
          <w:highlight w:val="none"/>
          <w:lang w:val="en-US" w:eastAsia="zh-CN"/>
        </w:rPr>
        <w:t>1、政策落实：全区优抚对象共3836人，发放优抚补助金、慰问费共4100余万元，一次性抚恤金250余万元，消防士优待金310余万元。2024年度享受城乡居民补充医疗保障人员1678人；优抚对象</w:t>
      </w:r>
      <w:r>
        <w:rPr>
          <w:rFonts w:hint="default" w:ascii="仿宋_GB2312" w:hAnsi="宋体" w:eastAsia="仿宋_GB2312" w:cs="宋体"/>
          <w:b w:val="0"/>
          <w:bCs w:val="0"/>
          <w:color w:val="000000"/>
          <w:kern w:val="0"/>
          <w:sz w:val="28"/>
          <w:szCs w:val="28"/>
          <w:highlight w:val="none"/>
          <w:lang w:val="en-US" w:eastAsia="zh-CN"/>
        </w:rPr>
        <w:t>医疗</w:t>
      </w:r>
      <w:r>
        <w:rPr>
          <w:rFonts w:hint="eastAsia" w:ascii="仿宋_GB2312" w:hAnsi="宋体" w:eastAsia="仿宋_GB2312" w:cs="宋体"/>
          <w:b w:val="0"/>
          <w:bCs w:val="0"/>
          <w:color w:val="000000"/>
          <w:kern w:val="0"/>
          <w:sz w:val="28"/>
          <w:szCs w:val="28"/>
          <w:highlight w:val="none"/>
          <w:lang w:val="en-US" w:eastAsia="zh-CN"/>
        </w:rPr>
        <w:t>二次</w:t>
      </w:r>
      <w:r>
        <w:rPr>
          <w:rFonts w:hint="default" w:ascii="仿宋_GB2312" w:hAnsi="宋体" w:eastAsia="仿宋_GB2312" w:cs="宋体"/>
          <w:b w:val="0"/>
          <w:bCs w:val="0"/>
          <w:color w:val="000000"/>
          <w:kern w:val="0"/>
          <w:sz w:val="28"/>
          <w:szCs w:val="28"/>
          <w:highlight w:val="none"/>
          <w:lang w:val="en-US" w:eastAsia="zh-CN"/>
        </w:rPr>
        <w:t>报销874人</w:t>
      </w:r>
      <w:r>
        <w:rPr>
          <w:rFonts w:hint="eastAsia" w:ascii="仿宋_GB2312" w:hAnsi="宋体" w:eastAsia="仿宋_GB2312" w:cs="宋体"/>
          <w:b w:val="0"/>
          <w:bCs w:val="0"/>
          <w:color w:val="000000"/>
          <w:kern w:val="0"/>
          <w:sz w:val="28"/>
          <w:szCs w:val="28"/>
          <w:highlight w:val="none"/>
          <w:lang w:val="en-US" w:eastAsia="zh-CN"/>
        </w:rPr>
        <w:t>次，发放资金210余万元，优抚资金发放及时率100%，组织开展2024年优抚对象短期疗养活动。</w:t>
      </w:r>
    </w:p>
    <w:p w14:paraId="5E0CB6B2">
      <w:pPr>
        <w:keepNext w:val="0"/>
        <w:keepLines w:val="0"/>
        <w:pageBreakBefore w:val="0"/>
        <w:widowControl w:val="0"/>
        <w:kinsoku/>
        <w:wordWrap/>
        <w:overflowPunct/>
        <w:topLinePunct w:val="0"/>
        <w:autoSpaceDE/>
        <w:autoSpaceDN/>
        <w:bidi w:val="0"/>
        <w:adjustRightInd/>
        <w:snapToGrid/>
        <w:spacing w:line="520" w:lineRule="exact"/>
        <w:ind w:left="105" w:leftChars="50" w:firstLine="560" w:firstLineChars="200"/>
        <w:textAlignment w:val="auto"/>
        <w:rPr>
          <w:rFonts w:hint="default" w:ascii="Arial" w:hAnsi="Arial" w:eastAsia="Arial" w:cs="Arial"/>
          <w:i w:val="0"/>
          <w:iCs w:val="0"/>
          <w:caps w:val="0"/>
          <w:color w:val="333333"/>
          <w:spacing w:val="0"/>
          <w:kern w:val="0"/>
          <w:sz w:val="28"/>
          <w:szCs w:val="28"/>
          <w:highlight w:val="none"/>
          <w:lang w:val="en-US" w:eastAsia="zh-CN" w:bidi="ar"/>
        </w:rPr>
      </w:pPr>
      <w:r>
        <w:rPr>
          <w:rFonts w:hint="eastAsia" w:ascii="仿宋_GB2312" w:hAnsi="宋体" w:eastAsia="仿宋_GB2312" w:cs="宋体"/>
          <w:b w:val="0"/>
          <w:bCs w:val="0"/>
          <w:color w:val="000000"/>
          <w:kern w:val="0"/>
          <w:sz w:val="28"/>
          <w:szCs w:val="28"/>
          <w:highlight w:val="none"/>
          <w:lang w:val="en-US" w:eastAsia="zh-CN"/>
        </w:rPr>
        <w:t>2、烈士纪念设施管理：与11个相关镇签订《委托管理协议书》，组织“2024清明祭英烈”活动，共6000余人次参加；完成“9.30”烈士公祭活动，区四套班子领导及各界代表1000余人参加。加强烈士纪念设施管理保护及日常维护，保障服务对象的满意度95%以上。</w:t>
      </w:r>
    </w:p>
    <w:p w14:paraId="6F5EA95F">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textAlignment w:val="auto"/>
        <w:rPr>
          <w:rFonts w:hint="eastAsia" w:ascii="楷体_GB2312" w:hAnsi="Times New Roman" w:eastAsia="楷体_GB2312" w:cs="Times New Roman"/>
          <w:sz w:val="28"/>
          <w:szCs w:val="28"/>
          <w:highlight w:val="none"/>
          <w:lang w:eastAsia="zh-CN"/>
        </w:rPr>
      </w:pPr>
      <w:r>
        <w:rPr>
          <w:rFonts w:hint="eastAsia" w:ascii="楷体_GB2312" w:hAnsi="Times New Roman" w:eastAsia="楷体_GB2312" w:cs="Times New Roman"/>
          <w:sz w:val="28"/>
          <w:szCs w:val="28"/>
          <w:highlight w:val="none"/>
          <w:lang w:eastAsia="zh-CN"/>
        </w:rPr>
        <w:t>任务四完成情况分析</w:t>
      </w:r>
    </w:p>
    <w:p w14:paraId="4944AF0D">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textAlignment w:val="auto"/>
        <w:rPr>
          <w:rFonts w:hint="eastAsia" w:ascii="楷体_GB2312" w:hAnsi="Times New Roman" w:eastAsia="楷体_GB2312" w:cs="Times New Roman"/>
          <w:b/>
          <w:bCs/>
          <w:sz w:val="28"/>
          <w:szCs w:val="28"/>
          <w:highlight w:val="none"/>
          <w:lang w:val="en-US" w:eastAsia="zh-CN"/>
        </w:rPr>
      </w:pPr>
      <w:r>
        <w:rPr>
          <w:rFonts w:hint="eastAsia" w:ascii="楷体_GB2312" w:hAnsi="Times New Roman" w:eastAsia="楷体_GB2312" w:cs="Times New Roman"/>
          <w:b/>
          <w:bCs/>
          <w:sz w:val="28"/>
          <w:szCs w:val="28"/>
          <w:highlight w:val="none"/>
          <w:lang w:val="en-US" w:eastAsia="zh-CN"/>
        </w:rPr>
        <w:t>移交安置与就业扶持</w:t>
      </w:r>
    </w:p>
    <w:p w14:paraId="17881D82">
      <w:pPr>
        <w:keepNext w:val="0"/>
        <w:keepLines w:val="0"/>
        <w:widowControl/>
        <w:suppressLineNumbers w:val="0"/>
        <w:ind w:firstLine="560" w:firstLineChars="200"/>
        <w:jc w:val="left"/>
        <w:textAlignment w:val="center"/>
        <w:rPr>
          <w:rFonts w:hint="eastAsia" w:ascii="仿宋" w:hAnsi="仿宋" w:eastAsia="仿宋" w:cs="仿宋"/>
          <w:i w:val="0"/>
          <w:iCs w:val="0"/>
          <w:color w:val="000000"/>
          <w:kern w:val="0"/>
          <w:sz w:val="28"/>
          <w:szCs w:val="28"/>
          <w:highlight w:val="none"/>
          <w:u w:val="none"/>
          <w:lang w:val="en-US" w:eastAsia="zh-CN" w:bidi="ar"/>
        </w:rPr>
      </w:pPr>
      <w:r>
        <w:rPr>
          <w:rFonts w:hint="eastAsia" w:ascii="仿宋" w:hAnsi="仿宋" w:eastAsia="仿宋" w:cs="仿宋"/>
          <w:b w:val="0"/>
          <w:bCs w:val="0"/>
          <w:color w:val="000000"/>
          <w:kern w:val="0"/>
          <w:sz w:val="28"/>
          <w:szCs w:val="28"/>
          <w:highlight w:val="none"/>
          <w:lang w:val="en-US" w:eastAsia="zh-CN"/>
        </w:rPr>
        <w:t>1.接收安置工作。</w:t>
      </w:r>
      <w:r>
        <w:rPr>
          <w:rFonts w:hint="eastAsia" w:ascii="仿宋" w:hAnsi="仿宋" w:eastAsia="仿宋" w:cs="仿宋"/>
          <w:i w:val="0"/>
          <w:iCs w:val="0"/>
          <w:color w:val="000000"/>
          <w:kern w:val="0"/>
          <w:sz w:val="28"/>
          <w:szCs w:val="28"/>
          <w:highlight w:val="none"/>
          <w:u w:val="none"/>
          <w:lang w:val="en-US" w:eastAsia="zh-CN" w:bidi="ar"/>
        </w:rPr>
        <w:t>完成2024年度自主就业退役士兵、安排工作退役士兵、转业军官、复员干部、逐月领取退役金退役军官等人员的接收和安置；完成自主就业退役士兵一次性经济补助金、自主择业军转干部住房补贴和医疗保险缴纳等工作；完成符合条件且自愿申请的退役士兵基本养老保险和医疗保险补缴工作；服务对象的满意度90%以上。</w:t>
      </w:r>
    </w:p>
    <w:p w14:paraId="795FC151">
      <w:pPr>
        <w:keepNext w:val="0"/>
        <w:keepLines w:val="0"/>
        <w:widowControl/>
        <w:suppressLineNumbers w:val="0"/>
        <w:ind w:firstLine="560" w:firstLineChars="200"/>
        <w:jc w:val="left"/>
        <w:textAlignment w:val="center"/>
        <w:rPr>
          <w:rFonts w:hint="eastAsia" w:ascii="仿宋" w:hAnsi="仿宋" w:eastAsia="仿宋" w:cs="仿宋"/>
          <w:i w:val="0"/>
          <w:iCs w:val="0"/>
          <w:color w:val="000000"/>
          <w:kern w:val="0"/>
          <w:sz w:val="28"/>
          <w:szCs w:val="28"/>
          <w:highlight w:val="none"/>
          <w:u w:val="none"/>
          <w:lang w:val="en-US" w:eastAsia="zh-CN" w:bidi="ar"/>
        </w:rPr>
      </w:pPr>
      <w:r>
        <w:rPr>
          <w:rFonts w:hint="eastAsia" w:ascii="仿宋" w:hAnsi="仿宋" w:eastAsia="仿宋" w:cs="仿宋"/>
          <w:i w:val="0"/>
          <w:iCs w:val="0"/>
          <w:color w:val="000000"/>
          <w:kern w:val="0"/>
          <w:sz w:val="28"/>
          <w:szCs w:val="28"/>
          <w:highlight w:val="none"/>
          <w:u w:val="none"/>
          <w:lang w:val="en-US" w:eastAsia="zh-CN" w:bidi="ar"/>
        </w:rPr>
        <w:t>2.教育培训工作。组织开展政府安排工作退役士兵、自主就业退役士兵、转业军官等人员的返乡欢迎暨适应性培训工作；深入驻区部队开展2场“送政策进军营”活动。认真做好自愿报名参加职业技能培训、北京市高职院校报考、成人教育学费补助等50余名退役士兵服务保障工作；确保服务对象的满意度90%以上。</w:t>
      </w:r>
    </w:p>
    <w:p w14:paraId="753FBF66">
      <w:pPr>
        <w:keepNext w:val="0"/>
        <w:keepLines w:val="0"/>
        <w:widowControl/>
        <w:suppressLineNumbers w:val="0"/>
        <w:ind w:firstLine="560" w:firstLineChars="200"/>
        <w:jc w:val="left"/>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8"/>
          <w:szCs w:val="28"/>
          <w:highlight w:val="none"/>
          <w:u w:val="none"/>
          <w:lang w:val="en-US" w:eastAsia="zh-CN" w:bidi="ar"/>
        </w:rPr>
        <w:t>3.就业创业工作。做好本区社区工作者部分岗位面向退役军人招录工作；联合相关部门共同举办退役军人及随军家属招聘会4场，91家企业提供招聘岗位600余个，参加招聘活动退役军人及随军家属120余名。持续推送北京市退役军人事务局网络招聘信息</w:t>
      </w:r>
      <w:r>
        <w:rPr>
          <w:rFonts w:hint="eastAsia" w:ascii="仿宋" w:hAnsi="仿宋" w:eastAsia="仿宋" w:cs="仿宋"/>
          <w:color w:val="auto"/>
          <w:sz w:val="28"/>
          <w:szCs w:val="28"/>
          <w:lang w:val="en-US" w:eastAsia="zh-CN"/>
        </w:rPr>
        <w:t>23次，</w:t>
      </w:r>
      <w:r>
        <w:rPr>
          <w:rFonts w:hint="eastAsia" w:ascii="仿宋" w:hAnsi="仿宋" w:eastAsia="仿宋" w:cs="仿宋"/>
          <w:i w:val="0"/>
          <w:iCs w:val="0"/>
          <w:color w:val="000000"/>
          <w:kern w:val="0"/>
          <w:sz w:val="28"/>
          <w:szCs w:val="28"/>
          <w:highlight w:val="none"/>
          <w:u w:val="none"/>
          <w:lang w:val="en-US" w:eastAsia="zh-CN" w:bidi="ar"/>
        </w:rPr>
        <w:t>共推送就业岗位37000余个。完成第三届北京市退役军人创业创新大赛推荐工作，大兴区2家参赛公司分别荣获生活服务业、乡村振兴常规赛道二等奖。</w:t>
      </w:r>
      <w:r>
        <w:rPr>
          <w:rFonts w:hint="eastAsia" w:ascii="仿宋" w:hAnsi="仿宋" w:eastAsia="仿宋" w:cs="仿宋"/>
          <w:color w:val="auto"/>
          <w:sz w:val="28"/>
          <w:szCs w:val="28"/>
          <w:lang w:val="en-US" w:eastAsia="zh-CN"/>
        </w:rPr>
        <w:t>完成退役军人就业合作单位推选，我局推送的就业合作企业-北京市燃气集团第四分公司被评选2023-2024全国退役军人就业合作企业光荣榜。</w:t>
      </w:r>
      <w:r>
        <w:rPr>
          <w:rFonts w:hint="eastAsia" w:ascii="仿宋" w:hAnsi="仿宋" w:eastAsia="仿宋" w:cs="仿宋"/>
          <w:i w:val="0"/>
          <w:iCs w:val="0"/>
          <w:color w:val="000000"/>
          <w:kern w:val="0"/>
          <w:sz w:val="28"/>
          <w:szCs w:val="28"/>
          <w:highlight w:val="none"/>
          <w:u w:val="none"/>
          <w:lang w:val="en-US" w:eastAsia="zh-CN" w:bidi="ar"/>
        </w:rPr>
        <w:t>圆满完成优秀退役大学生士兵推选工作，区城管执法局福征同志荣获“北京市第七届优秀退役大学生士兵”。</w:t>
      </w:r>
    </w:p>
    <w:p w14:paraId="07F87A89">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textAlignment w:val="auto"/>
        <w:rPr>
          <w:rFonts w:hint="eastAsia" w:ascii="楷体_GB2312" w:hAnsi="Times New Roman" w:eastAsia="楷体_GB2312" w:cs="Times New Roman"/>
          <w:sz w:val="28"/>
          <w:szCs w:val="28"/>
          <w:highlight w:val="none"/>
          <w:lang w:eastAsia="zh-CN"/>
        </w:rPr>
      </w:pPr>
      <w:r>
        <w:rPr>
          <w:rFonts w:hint="eastAsia" w:ascii="楷体_GB2312" w:hAnsi="Times New Roman" w:eastAsia="楷体_GB2312" w:cs="Times New Roman"/>
          <w:sz w:val="28"/>
          <w:szCs w:val="28"/>
          <w:highlight w:val="none"/>
          <w:lang w:eastAsia="zh-CN"/>
        </w:rPr>
        <w:t>任务五完成情况分析</w:t>
      </w:r>
    </w:p>
    <w:p w14:paraId="257639F4">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firstLine="280" w:firstLineChars="100"/>
        <w:textAlignment w:val="auto"/>
        <w:rPr>
          <w:rFonts w:hint="default" w:ascii="楷体_GB2312" w:hAnsi="Times New Roman" w:eastAsia="楷体_GB2312" w:cs="Times New Roman"/>
          <w:b/>
          <w:bCs/>
          <w:sz w:val="28"/>
          <w:szCs w:val="28"/>
          <w:highlight w:val="none"/>
          <w:lang w:val="en-US" w:eastAsia="zh-CN"/>
        </w:rPr>
      </w:pPr>
      <w:r>
        <w:rPr>
          <w:rFonts w:hint="default" w:ascii="楷体_GB2312" w:hAnsi="Times New Roman" w:eastAsia="楷体_GB2312" w:cs="Times New Roman"/>
          <w:b/>
          <w:bCs/>
          <w:sz w:val="28"/>
          <w:szCs w:val="28"/>
          <w:highlight w:val="none"/>
          <w:lang w:val="en-US" w:eastAsia="zh-CN"/>
        </w:rPr>
        <w:t>军休服务管理</w:t>
      </w:r>
    </w:p>
    <w:p w14:paraId="625A4A31">
      <w:pPr>
        <w:keepNext w:val="0"/>
        <w:keepLines w:val="0"/>
        <w:pageBreakBefore w:val="0"/>
        <w:widowControl w:val="0"/>
        <w:kinsoku/>
        <w:wordWrap/>
        <w:overflowPunct/>
        <w:topLinePunct w:val="0"/>
        <w:autoSpaceDE/>
        <w:autoSpaceDN/>
        <w:bidi w:val="0"/>
        <w:adjustRightInd/>
        <w:snapToGrid/>
        <w:spacing w:line="520" w:lineRule="exact"/>
        <w:ind w:left="105" w:leftChars="50" w:firstLine="560" w:firstLineChars="200"/>
        <w:textAlignment w:val="auto"/>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b w:val="0"/>
          <w:bCs w:val="0"/>
          <w:color w:val="000000"/>
          <w:kern w:val="0"/>
          <w:sz w:val="28"/>
          <w:szCs w:val="28"/>
          <w:highlight w:val="none"/>
          <w:lang w:val="en-US" w:eastAsia="zh-CN"/>
        </w:rPr>
        <w:t>1、接收安置：2024年</w:t>
      </w:r>
      <w:r>
        <w:rPr>
          <w:rFonts w:hint="eastAsia" w:ascii="仿宋_GB2312" w:hAnsi="宋体" w:eastAsia="仿宋_GB2312" w:cs="宋体"/>
          <w:color w:val="000000"/>
          <w:kern w:val="0"/>
          <w:sz w:val="28"/>
          <w:szCs w:val="28"/>
          <w:highlight w:val="none"/>
          <w:lang w:val="en-US" w:eastAsia="zh-CN"/>
        </w:rPr>
        <w:t>军休干部、无军籍职工的接收安置工作已完成，</w:t>
      </w:r>
      <w:r>
        <w:rPr>
          <w:rFonts w:hint="default" w:ascii="仿宋_GB2312" w:hAnsi="宋体" w:eastAsia="仿宋_GB2312" w:cs="宋体"/>
          <w:color w:val="000000"/>
          <w:kern w:val="0"/>
          <w:sz w:val="28"/>
          <w:szCs w:val="28"/>
          <w:highlight w:val="none"/>
          <w:lang w:val="en-US" w:eastAsia="zh-CN"/>
        </w:rPr>
        <w:t>安置完成率100%</w:t>
      </w:r>
      <w:r>
        <w:rPr>
          <w:rFonts w:hint="eastAsia" w:ascii="仿宋_GB2312" w:hAnsi="宋体" w:eastAsia="仿宋_GB2312" w:cs="宋体"/>
          <w:color w:val="000000"/>
          <w:kern w:val="0"/>
          <w:sz w:val="28"/>
          <w:szCs w:val="28"/>
          <w:highlight w:val="none"/>
          <w:lang w:val="en-US" w:eastAsia="zh-CN"/>
        </w:rPr>
        <w:t>，“三方”满意。新接收人员卡制作信息已报送,持卡就医覆盖率100%。</w:t>
      </w:r>
    </w:p>
    <w:p w14:paraId="2C48C249">
      <w:pPr>
        <w:keepNext w:val="0"/>
        <w:keepLines w:val="0"/>
        <w:pageBreakBefore w:val="0"/>
        <w:widowControl w:val="0"/>
        <w:kinsoku/>
        <w:wordWrap/>
        <w:overflowPunct/>
        <w:topLinePunct w:val="0"/>
        <w:autoSpaceDE/>
        <w:autoSpaceDN/>
        <w:bidi w:val="0"/>
        <w:adjustRightInd/>
        <w:snapToGrid/>
        <w:spacing w:line="520" w:lineRule="exact"/>
        <w:ind w:left="105" w:leftChars="50" w:firstLine="560" w:firstLineChars="200"/>
        <w:textAlignment w:val="auto"/>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b w:val="0"/>
          <w:bCs w:val="0"/>
          <w:color w:val="000000"/>
          <w:kern w:val="0"/>
          <w:sz w:val="28"/>
          <w:szCs w:val="28"/>
          <w:highlight w:val="none"/>
          <w:lang w:val="en-US" w:eastAsia="zh-CN"/>
        </w:rPr>
        <w:t>2、服务优化：做</w:t>
      </w:r>
      <w:r>
        <w:rPr>
          <w:rFonts w:hint="eastAsia" w:ascii="仿宋_GB2312" w:hAnsi="宋体" w:eastAsia="仿宋_GB2312" w:cs="宋体"/>
          <w:color w:val="000000"/>
          <w:kern w:val="0"/>
          <w:sz w:val="28"/>
          <w:szCs w:val="28"/>
          <w:highlight w:val="none"/>
          <w:lang w:val="en-US" w:eastAsia="zh-CN"/>
        </w:rPr>
        <w:t>好军休干部和无军籍职工的服务管理工作，工资每月按时发放到位，元旦、春节期间走访慰问军休干部、无军籍职工。积极开展主题系列活动。组织开展“三八”妇女节手工制作香薰、安定古桑园采摘等活动，邀请区医院体检中心开展体检报告数据解读。着力打造军休文化阵地。积极参加市军休系统文体活动，组织军休干部参加扑克牌大赛荣获第六名，组织舞蹈队参加舞蹈比赛荣获优秀奖，深入挖掘军休干部先进事迹，充分发挥先进人物引导示范作用，营造老有所为的氛围。</w:t>
      </w:r>
    </w:p>
    <w:p w14:paraId="179BF210">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lang w:eastAsia="zh-CN"/>
        </w:rPr>
        <w:t>（</w:t>
      </w:r>
      <w:r>
        <w:rPr>
          <w:rFonts w:hint="eastAsia" w:ascii="黑体" w:hAnsi="黑体" w:eastAsia="黑体" w:cs="宋体"/>
          <w:color w:val="000000"/>
          <w:kern w:val="0"/>
          <w:sz w:val="28"/>
          <w:szCs w:val="28"/>
          <w:highlight w:val="none"/>
        </w:rPr>
        <w:t>四</w:t>
      </w:r>
      <w:r>
        <w:rPr>
          <w:rFonts w:hint="eastAsia" w:ascii="黑体" w:hAnsi="黑体" w:eastAsia="黑体" w:cs="宋体"/>
          <w:color w:val="000000"/>
          <w:kern w:val="0"/>
          <w:sz w:val="28"/>
          <w:szCs w:val="28"/>
          <w:highlight w:val="none"/>
          <w:lang w:eastAsia="zh-CN"/>
        </w:rPr>
        <w:t>）</w:t>
      </w:r>
      <w:r>
        <w:rPr>
          <w:rFonts w:ascii="黑体" w:hAnsi="黑体" w:eastAsia="黑体" w:cs="宋体"/>
          <w:color w:val="000000"/>
          <w:kern w:val="0"/>
          <w:sz w:val="28"/>
          <w:szCs w:val="28"/>
          <w:highlight w:val="none"/>
        </w:rPr>
        <w:t>、预算管理</w:t>
      </w:r>
      <w:r>
        <w:rPr>
          <w:rFonts w:hint="eastAsia" w:ascii="黑体" w:hAnsi="黑体" w:eastAsia="黑体" w:cs="宋体"/>
          <w:color w:val="000000"/>
          <w:kern w:val="0"/>
          <w:sz w:val="28"/>
          <w:szCs w:val="28"/>
          <w:highlight w:val="none"/>
        </w:rPr>
        <w:t>情况分</w:t>
      </w:r>
      <w:r>
        <w:rPr>
          <w:rFonts w:ascii="黑体" w:hAnsi="黑体" w:eastAsia="黑体" w:cs="宋体"/>
          <w:color w:val="000000"/>
          <w:kern w:val="0"/>
          <w:sz w:val="28"/>
          <w:szCs w:val="28"/>
          <w:highlight w:val="none"/>
        </w:rPr>
        <w:t>析</w:t>
      </w:r>
    </w:p>
    <w:p w14:paraId="1B78A696">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ascii="楷体_GB2312" w:eastAsia="楷体_GB2312"/>
          <w:b w:val="0"/>
          <w:bCs w:val="0"/>
          <w:sz w:val="28"/>
          <w:szCs w:val="28"/>
          <w:highlight w:val="none"/>
        </w:rPr>
      </w:pPr>
      <w:r>
        <w:rPr>
          <w:rFonts w:hint="eastAsia" w:ascii="楷体_GB2312" w:eastAsia="楷体_GB2312"/>
          <w:b w:val="0"/>
          <w:bCs w:val="0"/>
          <w:sz w:val="28"/>
          <w:szCs w:val="28"/>
          <w:highlight w:val="none"/>
          <w:lang w:val="en-US" w:eastAsia="zh-CN"/>
        </w:rPr>
        <w:t>1.</w:t>
      </w:r>
      <w:r>
        <w:rPr>
          <w:rFonts w:hint="eastAsia" w:ascii="楷体_GB2312" w:eastAsia="楷体_GB2312"/>
          <w:b w:val="0"/>
          <w:bCs w:val="0"/>
          <w:sz w:val="28"/>
          <w:szCs w:val="28"/>
          <w:highlight w:val="none"/>
        </w:rPr>
        <w:t>财务管理</w:t>
      </w:r>
    </w:p>
    <w:p w14:paraId="44B4D8DE">
      <w:pPr>
        <w:keepNext w:val="0"/>
        <w:keepLines w:val="0"/>
        <w:pageBreakBefore w:val="0"/>
        <w:widowControl w:val="0"/>
        <w:kinsoku/>
        <w:wordWrap/>
        <w:overflowPunct/>
        <w:topLinePunct w:val="0"/>
        <w:autoSpaceDE/>
        <w:autoSpaceDN/>
        <w:bidi w:val="0"/>
        <w:adjustRightInd/>
        <w:snapToGrid/>
        <w:spacing w:line="520" w:lineRule="exact"/>
        <w:ind w:left="105" w:leftChars="50" w:firstLine="560" w:firstLineChars="200"/>
        <w:textAlignment w:val="auto"/>
        <w:rPr>
          <w:rFonts w:hint="eastAsia"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lang w:eastAsia="zh-CN"/>
        </w:rPr>
        <w:t>（</w:t>
      </w:r>
      <w:r>
        <w:rPr>
          <w:rFonts w:hint="eastAsia" w:ascii="仿宋_GB2312" w:hAnsi="宋体" w:eastAsia="仿宋_GB2312" w:cs="宋体"/>
          <w:color w:val="000000"/>
          <w:kern w:val="0"/>
          <w:sz w:val="28"/>
          <w:szCs w:val="28"/>
          <w:highlight w:val="none"/>
        </w:rPr>
        <w:t>1</w:t>
      </w:r>
      <w:r>
        <w:rPr>
          <w:rFonts w:hint="eastAsia" w:ascii="仿宋_GB2312" w:hAnsi="宋体" w:eastAsia="仿宋_GB2312" w:cs="宋体"/>
          <w:color w:val="000000"/>
          <w:kern w:val="0"/>
          <w:sz w:val="28"/>
          <w:szCs w:val="28"/>
          <w:highlight w:val="none"/>
          <w:lang w:eastAsia="zh-CN"/>
        </w:rPr>
        <w:t>）</w:t>
      </w:r>
      <w:r>
        <w:rPr>
          <w:rFonts w:hint="eastAsia" w:ascii="仿宋_GB2312" w:hAnsi="宋体" w:eastAsia="仿宋_GB2312" w:cs="宋体"/>
          <w:color w:val="000000"/>
          <w:kern w:val="0"/>
          <w:sz w:val="28"/>
          <w:szCs w:val="28"/>
          <w:highlight w:val="none"/>
        </w:rPr>
        <w:t>.财务管理制度健全性　</w:t>
      </w:r>
    </w:p>
    <w:p w14:paraId="350D0F3B">
      <w:pPr>
        <w:keepNext w:val="0"/>
        <w:keepLines w:val="0"/>
        <w:pageBreakBefore w:val="0"/>
        <w:widowControl w:val="0"/>
        <w:kinsoku/>
        <w:wordWrap/>
        <w:overflowPunct/>
        <w:topLinePunct w:val="0"/>
        <w:autoSpaceDE/>
        <w:autoSpaceDN/>
        <w:bidi w:val="0"/>
        <w:adjustRightInd/>
        <w:snapToGrid/>
        <w:spacing w:line="520" w:lineRule="exact"/>
        <w:ind w:left="105" w:leftChars="50" w:firstLine="560" w:firstLineChars="200"/>
        <w:textAlignment w:val="auto"/>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bidi="ar-SA"/>
        </w:rPr>
        <w:t>区退役军人局为加强内部控制中的财务管理，结合部门工作实际需求，建立了“以预算管理为主线、以资金管控为核心”的内部财务管理控制体系，实现内部财务管理控制体系的系统化与常态化。</w:t>
      </w:r>
      <w:r>
        <w:rPr>
          <w:rFonts w:hint="eastAsia" w:ascii="仿宋_GB2312" w:hAnsi="宋体" w:eastAsia="仿宋_GB2312" w:cs="宋体"/>
          <w:b w:val="0"/>
          <w:bCs w:val="0"/>
          <w:color w:val="000000"/>
          <w:kern w:val="0"/>
          <w:sz w:val="28"/>
          <w:szCs w:val="28"/>
          <w:highlight w:val="none"/>
          <w:lang w:val="en-US" w:eastAsia="zh-CN" w:bidi="ar-SA"/>
        </w:rPr>
        <w:t>对预算管理、资金支出等领域业务流</w:t>
      </w:r>
      <w:r>
        <w:rPr>
          <w:rFonts w:hint="eastAsia" w:ascii="仿宋_GB2312" w:hAnsi="宋体" w:eastAsia="仿宋_GB2312" w:cs="宋体"/>
          <w:color w:val="000000"/>
          <w:kern w:val="0"/>
          <w:sz w:val="28"/>
          <w:szCs w:val="28"/>
          <w:highlight w:val="none"/>
          <w:lang w:val="en-US" w:eastAsia="zh-CN"/>
        </w:rPr>
        <w:t>程的控制节点、提出了重要风险点的控制措施，进一步规范了单位财务管理的流程与监管。</w:t>
      </w:r>
    </w:p>
    <w:p w14:paraId="2179FBAB">
      <w:pPr>
        <w:keepNext w:val="0"/>
        <w:keepLines w:val="0"/>
        <w:pageBreakBefore w:val="0"/>
        <w:widowControl w:val="0"/>
        <w:kinsoku/>
        <w:wordWrap/>
        <w:overflowPunct/>
        <w:topLinePunct w:val="0"/>
        <w:autoSpaceDE/>
        <w:autoSpaceDN/>
        <w:bidi w:val="0"/>
        <w:adjustRightInd/>
        <w:snapToGrid/>
        <w:spacing w:line="520" w:lineRule="exact"/>
        <w:ind w:left="105" w:leftChars="50" w:firstLine="560" w:firstLineChars="200"/>
        <w:textAlignment w:val="auto"/>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《预算资金管理办法》提供了预算编制、审批、执行及调整的详尽指南，从而确保预算的合理与科学。该办法明确了各科室在预算方面的职责与权限，有效减少了预算超支或挪用现象。</w:t>
      </w:r>
    </w:p>
    <w:p w14:paraId="6F05DC73">
      <w:pPr>
        <w:keepNext w:val="0"/>
        <w:keepLines w:val="0"/>
        <w:pageBreakBefore w:val="0"/>
        <w:widowControl w:val="0"/>
        <w:kinsoku/>
        <w:wordWrap/>
        <w:overflowPunct/>
        <w:topLinePunct w:val="0"/>
        <w:autoSpaceDE/>
        <w:autoSpaceDN/>
        <w:bidi w:val="0"/>
        <w:adjustRightInd/>
        <w:snapToGrid/>
        <w:spacing w:line="520" w:lineRule="exact"/>
        <w:ind w:left="105" w:leftChars="50" w:firstLine="560" w:firstLineChars="200"/>
        <w:textAlignment w:val="auto"/>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w:t>
      </w:r>
      <w:r>
        <w:rPr>
          <w:rFonts w:hint="default" w:ascii="仿宋_GB2312" w:hAnsi="宋体" w:eastAsia="仿宋_GB2312" w:cs="宋体"/>
          <w:color w:val="000000"/>
          <w:kern w:val="0"/>
          <w:sz w:val="28"/>
          <w:szCs w:val="28"/>
          <w:highlight w:val="none"/>
          <w:lang w:val="en-US" w:eastAsia="zh-CN"/>
        </w:rPr>
        <w:t>绩效跟踪管理办法》专注于监控和评估项目执行过程中的资金使用绩效。成立了预算绩效管理</w:t>
      </w:r>
      <w:r>
        <w:rPr>
          <w:rFonts w:hint="eastAsia" w:ascii="仿宋_GB2312" w:hAnsi="宋体" w:eastAsia="仿宋_GB2312" w:cs="宋体"/>
          <w:color w:val="000000"/>
          <w:kern w:val="0"/>
          <w:sz w:val="28"/>
          <w:szCs w:val="28"/>
          <w:highlight w:val="none"/>
          <w:lang w:val="en-US" w:eastAsia="zh-CN"/>
        </w:rPr>
        <w:t>小组</w:t>
      </w:r>
      <w:r>
        <w:rPr>
          <w:rFonts w:hint="default" w:ascii="仿宋_GB2312" w:hAnsi="宋体" w:eastAsia="仿宋_GB2312" w:cs="宋体"/>
          <w:color w:val="000000"/>
          <w:kern w:val="0"/>
          <w:sz w:val="28"/>
          <w:szCs w:val="28"/>
          <w:highlight w:val="none"/>
          <w:lang w:val="en-US" w:eastAsia="zh-CN"/>
        </w:rPr>
        <w:t>，定期跟踪项目绩效，及时发现并改进问题，以实现项目效益最大化。</w:t>
      </w:r>
    </w:p>
    <w:p w14:paraId="75888B20">
      <w:pPr>
        <w:keepNext w:val="0"/>
        <w:keepLines w:val="0"/>
        <w:pageBreakBefore w:val="0"/>
        <w:widowControl w:val="0"/>
        <w:kinsoku/>
        <w:wordWrap/>
        <w:overflowPunct/>
        <w:topLinePunct w:val="0"/>
        <w:autoSpaceDE/>
        <w:autoSpaceDN/>
        <w:bidi w:val="0"/>
        <w:adjustRightInd/>
        <w:snapToGrid/>
        <w:spacing w:line="520" w:lineRule="exact"/>
        <w:ind w:left="105" w:leftChars="50" w:firstLine="560" w:firstLineChars="200"/>
        <w:textAlignment w:val="auto"/>
        <w:rPr>
          <w:rFonts w:hint="eastAsia" w:ascii="仿宋_GB2312" w:hAnsi="宋体" w:eastAsia="仿宋_GB2312" w:cs="宋体"/>
          <w:color w:val="000000"/>
          <w:kern w:val="0"/>
          <w:sz w:val="28"/>
          <w:szCs w:val="28"/>
          <w:highlight w:val="none"/>
          <w:lang w:val="en-US" w:eastAsia="zh-CN"/>
        </w:rPr>
      </w:pPr>
      <w:r>
        <w:rPr>
          <w:rFonts w:hint="default" w:ascii="仿宋_GB2312" w:hAnsi="宋体" w:eastAsia="仿宋_GB2312" w:cs="宋体"/>
          <w:color w:val="000000"/>
          <w:kern w:val="0"/>
          <w:sz w:val="28"/>
          <w:szCs w:val="28"/>
          <w:highlight w:val="none"/>
          <w:lang w:val="en-US" w:eastAsia="zh-CN"/>
        </w:rPr>
        <w:t>《资产管理办法》全面涵盖了部门资产的各个管理环节，如采购、验收、使用及报废等。通过建立资产台账和定期盘点，我们确保了资产的安全与完整。</w:t>
      </w:r>
    </w:p>
    <w:p w14:paraId="77DD6445">
      <w:pPr>
        <w:keepNext w:val="0"/>
        <w:keepLines w:val="0"/>
        <w:pageBreakBefore w:val="0"/>
        <w:widowControl w:val="0"/>
        <w:kinsoku/>
        <w:wordWrap/>
        <w:overflowPunct/>
        <w:topLinePunct w:val="0"/>
        <w:autoSpaceDE/>
        <w:autoSpaceDN/>
        <w:bidi w:val="0"/>
        <w:adjustRightInd/>
        <w:snapToGrid/>
        <w:spacing w:line="520" w:lineRule="exact"/>
        <w:ind w:left="105" w:leftChars="50" w:firstLine="560" w:firstLineChars="200"/>
        <w:textAlignment w:val="auto"/>
        <w:rPr>
          <w:rFonts w:hint="eastAsia" w:ascii="仿宋_GB2312" w:hAnsi="宋体" w:eastAsia="仿宋_GB2312" w:cs="宋体"/>
          <w:color w:val="000000"/>
          <w:kern w:val="0"/>
          <w:sz w:val="28"/>
          <w:szCs w:val="28"/>
          <w:highlight w:val="none"/>
          <w:lang w:val="en-US" w:eastAsia="zh-CN"/>
        </w:rPr>
      </w:pPr>
      <w:r>
        <w:rPr>
          <w:rFonts w:hint="default" w:ascii="仿宋_GB2312" w:hAnsi="宋体" w:eastAsia="仿宋_GB2312" w:cs="宋体"/>
          <w:color w:val="000000"/>
          <w:kern w:val="0"/>
          <w:sz w:val="28"/>
          <w:szCs w:val="28"/>
          <w:highlight w:val="none"/>
          <w:lang w:val="en-US" w:eastAsia="zh-CN"/>
        </w:rPr>
        <w:t>部门财务管理制度也在不断完善，与国家相关法律法规和政策保持一致，从而确保了制度的合规性。同时，我们建立了内部控制制度，对各项流程进行全方位监督和控制，有效降低了财务风险。</w:t>
      </w:r>
    </w:p>
    <w:p w14:paraId="3A35DC04">
      <w:pPr>
        <w:keepNext w:val="0"/>
        <w:keepLines w:val="0"/>
        <w:pageBreakBefore w:val="0"/>
        <w:widowControl w:val="0"/>
        <w:kinsoku/>
        <w:wordWrap/>
        <w:overflowPunct/>
        <w:topLinePunct w:val="0"/>
        <w:autoSpaceDE/>
        <w:autoSpaceDN/>
        <w:bidi w:val="0"/>
        <w:adjustRightInd/>
        <w:snapToGrid/>
        <w:spacing w:line="520" w:lineRule="exact"/>
        <w:ind w:left="105" w:leftChars="50" w:firstLine="560" w:firstLineChars="200"/>
        <w:textAlignment w:val="auto"/>
        <w:rPr>
          <w:rFonts w:hint="eastAsia" w:ascii="仿宋_GB2312" w:hAnsi="宋体" w:eastAsia="仿宋_GB2312" w:cs="宋体"/>
          <w:color w:val="000000"/>
          <w:kern w:val="0"/>
          <w:sz w:val="28"/>
          <w:szCs w:val="28"/>
          <w:highlight w:val="none"/>
          <w:lang w:val="en-US" w:eastAsia="zh-CN"/>
        </w:rPr>
      </w:pPr>
      <w:r>
        <w:rPr>
          <w:rFonts w:hint="default" w:ascii="仿宋_GB2312" w:hAnsi="宋体" w:eastAsia="仿宋_GB2312" w:cs="宋体"/>
          <w:color w:val="000000"/>
          <w:kern w:val="0"/>
          <w:sz w:val="28"/>
          <w:szCs w:val="28"/>
          <w:highlight w:val="none"/>
          <w:lang w:val="en-US" w:eastAsia="zh-CN"/>
        </w:rPr>
        <w:t>在会计核算方面，我们遵循《政府会计准则》等相关规定，制定了详细的核算流程和规范。专门的会计岗位和会计人员保证了会计信息的准确性与合规性，而内部审计与外部审计则进一步确保了核算的质量。</w:t>
      </w:r>
      <w:r>
        <w:rPr>
          <w:rFonts w:hint="default" w:ascii="仿宋_GB2312" w:hAnsi="宋体" w:eastAsia="仿宋_GB2312" w:cs="宋体"/>
          <w:color w:val="000000"/>
          <w:kern w:val="0"/>
          <w:sz w:val="28"/>
          <w:szCs w:val="28"/>
          <w:highlight w:val="none"/>
          <w:lang w:val="en-US" w:eastAsia="zh-CN"/>
        </w:rPr>
        <w:br w:type="textWrapping"/>
      </w:r>
      <w:r>
        <w:rPr>
          <w:rFonts w:hint="default" w:ascii="仿宋_GB2312" w:hAnsi="宋体" w:eastAsia="仿宋_GB2312" w:cs="宋体"/>
          <w:color w:val="000000"/>
          <w:kern w:val="0"/>
          <w:sz w:val="28"/>
          <w:szCs w:val="28"/>
          <w:highlight w:val="none"/>
          <w:lang w:val="en-US" w:eastAsia="zh-CN"/>
        </w:rPr>
        <w:t>资金使用合规性和安全性</w:t>
      </w:r>
      <w:r>
        <w:rPr>
          <w:rFonts w:hint="default" w:ascii="仿宋_GB2312" w:hAnsi="宋体" w:eastAsia="仿宋_GB2312" w:cs="宋体"/>
          <w:color w:val="000000"/>
          <w:kern w:val="0"/>
          <w:sz w:val="28"/>
          <w:szCs w:val="28"/>
          <w:highlight w:val="none"/>
          <w:lang w:val="en-US" w:eastAsia="zh-CN"/>
        </w:rPr>
        <w:br w:type="textWrapping"/>
      </w:r>
      <w:r>
        <w:rPr>
          <w:rFonts w:hint="eastAsia" w:ascii="仿宋_GB2312" w:hAnsi="宋体" w:eastAsia="仿宋_GB2312" w:cs="宋体"/>
          <w:color w:val="000000"/>
          <w:kern w:val="0"/>
          <w:sz w:val="28"/>
          <w:szCs w:val="28"/>
          <w:highlight w:val="none"/>
          <w:lang w:val="en-US" w:eastAsia="zh-CN"/>
        </w:rPr>
        <w:t xml:space="preserve">    </w:t>
      </w:r>
      <w:r>
        <w:rPr>
          <w:rFonts w:hint="default" w:ascii="仿宋_GB2312" w:hAnsi="宋体" w:eastAsia="仿宋_GB2312" w:cs="宋体"/>
          <w:color w:val="000000"/>
          <w:kern w:val="0"/>
          <w:sz w:val="28"/>
          <w:szCs w:val="28"/>
          <w:highlight w:val="none"/>
          <w:lang w:val="en-US" w:eastAsia="zh-CN"/>
        </w:rPr>
        <w:t>针对重大项目支出，我们组织专业评估小组进行全面评估，确保资金能够合理投入并实现最大效益。此外，我们还建立了项目库管理制度，对项目实施全程跟踪管理，从而保障了项目的顺利推进与资金的合理运用。</w:t>
      </w:r>
    </w:p>
    <w:p w14:paraId="79EC4E0B">
      <w:pPr>
        <w:keepNext w:val="0"/>
        <w:keepLines w:val="0"/>
        <w:pageBreakBefore w:val="0"/>
        <w:widowControl w:val="0"/>
        <w:kinsoku/>
        <w:wordWrap/>
        <w:overflowPunct/>
        <w:topLinePunct w:val="0"/>
        <w:autoSpaceDE/>
        <w:autoSpaceDN/>
        <w:bidi w:val="0"/>
        <w:adjustRightInd/>
        <w:snapToGrid/>
        <w:spacing w:line="520" w:lineRule="exact"/>
        <w:ind w:left="105" w:leftChars="50" w:firstLine="560" w:firstLineChars="200"/>
        <w:textAlignment w:val="auto"/>
        <w:rPr>
          <w:rFonts w:hint="eastAsia" w:ascii="仿宋_GB2312" w:hAnsi="宋体" w:eastAsia="仿宋_GB2312" w:cs="宋体"/>
          <w:color w:val="000000"/>
          <w:kern w:val="0"/>
          <w:sz w:val="28"/>
          <w:szCs w:val="28"/>
          <w:highlight w:val="none"/>
          <w:lang w:val="en-US" w:eastAsia="zh-CN"/>
        </w:rPr>
      </w:pPr>
      <w:r>
        <w:rPr>
          <w:rFonts w:hint="default" w:ascii="仿宋_GB2312" w:hAnsi="宋体" w:eastAsia="仿宋_GB2312" w:cs="宋体"/>
          <w:color w:val="000000"/>
          <w:kern w:val="0"/>
          <w:sz w:val="28"/>
          <w:szCs w:val="28"/>
          <w:highlight w:val="none"/>
          <w:lang w:val="en-US" w:eastAsia="zh-CN"/>
        </w:rPr>
        <w:t>在预算执行方面，我们遵循部门预算批复的用途使用资金，并建立了预算执行监督机制。通过定期检查和分析预算执行情况，我们确保资金不被违规截留、挤占或挪用，从而保障了预算的合理性与科学性。</w:t>
      </w:r>
    </w:p>
    <w:p w14:paraId="0018963A">
      <w:pPr>
        <w:keepNext w:val="0"/>
        <w:keepLines w:val="0"/>
        <w:pageBreakBefore w:val="0"/>
        <w:widowControl w:val="0"/>
        <w:kinsoku/>
        <w:wordWrap/>
        <w:overflowPunct/>
        <w:topLinePunct w:val="0"/>
        <w:autoSpaceDE/>
        <w:autoSpaceDN/>
        <w:bidi w:val="0"/>
        <w:adjustRightInd/>
        <w:snapToGrid/>
        <w:spacing w:line="520" w:lineRule="exact"/>
        <w:ind w:left="105" w:leftChars="50" w:firstLine="560" w:firstLineChars="200"/>
        <w:textAlignment w:val="auto"/>
        <w:rPr>
          <w:rFonts w:hint="eastAsia" w:ascii="仿宋_GB2312" w:hAnsi="宋体" w:eastAsia="仿宋_GB2312" w:cs="宋体"/>
          <w:color w:val="000000"/>
          <w:kern w:val="0"/>
          <w:sz w:val="28"/>
          <w:szCs w:val="28"/>
          <w:highlight w:val="none"/>
          <w:lang w:val="en-US" w:eastAsia="zh-CN"/>
        </w:rPr>
      </w:pPr>
      <w:r>
        <w:rPr>
          <w:rFonts w:hint="default" w:ascii="仿宋_GB2312" w:hAnsi="宋体" w:eastAsia="仿宋_GB2312" w:cs="宋体"/>
          <w:color w:val="000000"/>
          <w:kern w:val="0"/>
          <w:sz w:val="28"/>
          <w:szCs w:val="28"/>
          <w:highlight w:val="none"/>
          <w:lang w:val="en-US" w:eastAsia="zh-CN"/>
        </w:rPr>
        <w:t>对于政府采购活动，我们严格遵循相关程序和流程，设立专门采购部门负责计划和实施。同时，我们建立了供应商管理制度和采购合同管理制度，以确保采购过程的公开、公平、公正。</w:t>
      </w:r>
    </w:p>
    <w:p w14:paraId="3E8174F8">
      <w:pPr>
        <w:keepNext w:val="0"/>
        <w:keepLines w:val="0"/>
        <w:pageBreakBefore w:val="0"/>
        <w:widowControl w:val="0"/>
        <w:kinsoku/>
        <w:wordWrap/>
        <w:overflowPunct/>
        <w:topLinePunct w:val="0"/>
        <w:autoSpaceDE/>
        <w:autoSpaceDN/>
        <w:bidi w:val="0"/>
        <w:adjustRightInd/>
        <w:snapToGrid/>
        <w:spacing w:line="520" w:lineRule="exact"/>
        <w:ind w:left="105" w:leftChars="50" w:firstLine="560" w:firstLineChars="200"/>
        <w:textAlignment w:val="auto"/>
        <w:rPr>
          <w:rFonts w:hint="eastAsia" w:ascii="仿宋_GB2312" w:hAnsi="宋体" w:eastAsia="仿宋_GB2312" w:cs="宋体"/>
          <w:color w:val="000000"/>
          <w:kern w:val="0"/>
          <w:sz w:val="28"/>
          <w:szCs w:val="28"/>
          <w:highlight w:val="none"/>
          <w:lang w:val="en-US" w:eastAsia="zh-CN"/>
        </w:rPr>
      </w:pPr>
      <w:r>
        <w:rPr>
          <w:rFonts w:hint="default" w:ascii="仿宋_GB2312" w:hAnsi="宋体" w:eastAsia="仿宋_GB2312" w:cs="宋体"/>
          <w:color w:val="000000"/>
          <w:kern w:val="0"/>
          <w:sz w:val="28"/>
          <w:szCs w:val="28"/>
          <w:highlight w:val="none"/>
          <w:lang w:val="en-US" w:eastAsia="zh-CN"/>
        </w:rPr>
        <w:t>在公务卡结算方面，我们制定了公务卡使用管理制度，并对公务卡消费进行实时监控和评估。通过这些措施，我们确保了公务卡使用的合规性与安全性。</w:t>
      </w:r>
    </w:p>
    <w:p w14:paraId="4929A7A4">
      <w:pPr>
        <w:keepNext w:val="0"/>
        <w:keepLines w:val="0"/>
        <w:pageBreakBefore w:val="0"/>
        <w:widowControl w:val="0"/>
        <w:kinsoku/>
        <w:wordWrap/>
        <w:overflowPunct/>
        <w:topLinePunct w:val="0"/>
        <w:autoSpaceDE/>
        <w:autoSpaceDN/>
        <w:bidi w:val="0"/>
        <w:adjustRightInd/>
        <w:snapToGrid/>
        <w:spacing w:line="520" w:lineRule="exact"/>
        <w:ind w:left="105" w:leftChars="50" w:firstLine="560" w:firstLineChars="200"/>
        <w:textAlignment w:val="auto"/>
        <w:rPr>
          <w:rFonts w:hint="eastAsia"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lang w:val="en-US" w:eastAsia="zh-CN"/>
        </w:rPr>
        <w:t>（2）.</w:t>
      </w:r>
      <w:r>
        <w:rPr>
          <w:rFonts w:hint="eastAsia" w:ascii="仿宋_GB2312" w:hAnsi="宋体" w:eastAsia="仿宋_GB2312" w:cs="宋体"/>
          <w:color w:val="000000"/>
          <w:kern w:val="0"/>
          <w:sz w:val="28"/>
          <w:szCs w:val="28"/>
          <w:highlight w:val="none"/>
        </w:rPr>
        <w:t>资金使用合规性和安全性</w:t>
      </w:r>
    </w:p>
    <w:p w14:paraId="79ECD724">
      <w:pPr>
        <w:keepNext w:val="0"/>
        <w:keepLines w:val="0"/>
        <w:pageBreakBefore w:val="0"/>
        <w:widowControl w:val="0"/>
        <w:kinsoku/>
        <w:wordWrap/>
        <w:overflowPunct/>
        <w:topLinePunct w:val="0"/>
        <w:autoSpaceDE/>
        <w:autoSpaceDN/>
        <w:bidi w:val="0"/>
        <w:adjustRightInd/>
        <w:snapToGrid/>
        <w:spacing w:line="520" w:lineRule="exact"/>
        <w:ind w:left="105" w:leftChars="50" w:firstLine="560" w:firstLineChars="200"/>
        <w:textAlignment w:val="auto"/>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2024年部门预算执行过程中，预算管理决策主要依据《单位内控制度》执行，年度资金决策过程依据充分，资金执行流程规范、资金管理过程留痕清晰，资金的整体使用按照内控管理制度的相关要求落实到位。确保了全年各预算项目在决策、管理、执行过程中的资金安全性与使用严谨性，进一步科学合理地规避了财政资金使用的风险。</w:t>
      </w:r>
    </w:p>
    <w:p w14:paraId="243783FA">
      <w:pPr>
        <w:keepNext w:val="0"/>
        <w:keepLines w:val="0"/>
        <w:pageBreakBefore w:val="0"/>
        <w:widowControl w:val="0"/>
        <w:kinsoku/>
        <w:wordWrap/>
        <w:overflowPunct/>
        <w:topLinePunct w:val="0"/>
        <w:autoSpaceDE/>
        <w:autoSpaceDN/>
        <w:bidi w:val="0"/>
        <w:adjustRightInd/>
        <w:snapToGrid/>
        <w:spacing w:line="520" w:lineRule="exact"/>
        <w:ind w:left="105" w:leftChars="50" w:firstLine="560" w:firstLineChars="200"/>
        <w:textAlignment w:val="auto"/>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（3）.会计基础信息完善性</w:t>
      </w:r>
    </w:p>
    <w:p w14:paraId="50D975A6">
      <w:pPr>
        <w:keepNext w:val="0"/>
        <w:keepLines w:val="0"/>
        <w:pageBreakBefore w:val="0"/>
        <w:widowControl w:val="0"/>
        <w:kinsoku/>
        <w:wordWrap/>
        <w:overflowPunct/>
        <w:topLinePunct w:val="0"/>
        <w:autoSpaceDE/>
        <w:autoSpaceDN/>
        <w:bidi w:val="0"/>
        <w:adjustRightInd/>
        <w:snapToGrid/>
        <w:spacing w:line="520" w:lineRule="exact"/>
        <w:ind w:left="105" w:leftChars="50" w:firstLine="560" w:firstLineChars="200"/>
        <w:textAlignment w:val="auto"/>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区退役军人局内部控制机制健全，形成了较为明确的工作管理目标及管理模式。在实际管理过程中能够做到严格执行，保证了财政资金的高效、规范管理和使用。项目经费支出按照制度进行严格的审核与审批，做到了专款专用、独立核算。全年会计资料的保管与记录完整，财务基础工作的规范性与会计信息的准确性执行情况良好。</w:t>
      </w:r>
    </w:p>
    <w:p w14:paraId="382DE5EE">
      <w:pPr>
        <w:pStyle w:val="10"/>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firstLine="560" w:firstLineChars="200"/>
        <w:textAlignment w:val="auto"/>
        <w:rPr>
          <w:rFonts w:hint="eastAsia" w:ascii="楷体_GB2312" w:eastAsia="楷体_GB2312"/>
          <w:b w:val="0"/>
          <w:bCs w:val="0"/>
          <w:sz w:val="28"/>
          <w:szCs w:val="28"/>
          <w:highlight w:val="none"/>
        </w:rPr>
      </w:pPr>
      <w:r>
        <w:rPr>
          <w:rFonts w:hint="eastAsia" w:ascii="楷体_GB2312" w:eastAsia="楷体_GB2312"/>
          <w:b w:val="0"/>
          <w:bCs w:val="0"/>
          <w:sz w:val="28"/>
          <w:szCs w:val="28"/>
          <w:highlight w:val="none"/>
          <w:lang w:val="en-US" w:eastAsia="zh-CN"/>
        </w:rPr>
        <w:t>2.</w:t>
      </w:r>
      <w:r>
        <w:rPr>
          <w:rFonts w:hint="eastAsia" w:ascii="楷体_GB2312" w:eastAsia="楷体_GB2312"/>
          <w:b w:val="0"/>
          <w:bCs w:val="0"/>
          <w:sz w:val="28"/>
          <w:szCs w:val="28"/>
          <w:highlight w:val="none"/>
        </w:rPr>
        <w:t>资产管理</w:t>
      </w:r>
    </w:p>
    <w:p w14:paraId="1424466F">
      <w:pPr>
        <w:pStyle w:val="10"/>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firstLine="560" w:firstLineChars="200"/>
        <w:textAlignment w:val="auto"/>
        <w:rPr>
          <w:rFonts w:hint="eastAsia" w:ascii="仿宋_GB2312" w:hAnsi="宋体" w:eastAsia="仿宋_GB2312" w:cs="宋体"/>
          <w:color w:val="000000"/>
          <w:kern w:val="0"/>
          <w:sz w:val="28"/>
          <w:szCs w:val="28"/>
          <w:highlight w:val="none"/>
          <w:lang w:val="en-US" w:eastAsia="zh-CN" w:bidi="ar-SA"/>
        </w:rPr>
      </w:pPr>
      <w:r>
        <w:rPr>
          <w:rFonts w:hint="eastAsia" w:ascii="仿宋_GB2312" w:hAnsi="宋体" w:eastAsia="仿宋_GB2312" w:cs="宋体"/>
          <w:color w:val="000000"/>
          <w:kern w:val="0"/>
          <w:sz w:val="28"/>
          <w:szCs w:val="28"/>
          <w:highlight w:val="none"/>
          <w:lang w:val="en-US" w:eastAsia="zh-CN" w:bidi="ar-SA"/>
        </w:rPr>
        <w:t>为了加强单位固定资产的管理，提高固定资产管理水平，区退役军人局依据《政府会计制度》、《行政事业单位国有资产管理办法》、《行政事业单位国有资产处置管理办法》等相关文件，制定并完善了本部门资产管理的相关制度。</w:t>
      </w:r>
      <w:r>
        <w:rPr>
          <w:rFonts w:hint="eastAsia" w:ascii="仿宋_GB2312" w:hAnsi="宋体" w:eastAsia="仿宋_GB2312" w:cs="宋体"/>
          <w:color w:val="000000"/>
          <w:kern w:val="0"/>
          <w:sz w:val="28"/>
          <w:szCs w:val="28"/>
          <w:highlight w:val="none"/>
          <w:lang w:val="en-US" w:eastAsia="zh-CN" w:bidi="ar-SA"/>
        </w:rPr>
        <w:br w:type="textWrapping"/>
      </w:r>
      <w:r>
        <w:rPr>
          <w:rFonts w:hint="eastAsia" w:ascii="仿宋_GB2312" w:hAnsi="宋体" w:eastAsia="仿宋_GB2312" w:cs="宋体"/>
          <w:color w:val="000000"/>
          <w:kern w:val="0"/>
          <w:sz w:val="28"/>
          <w:szCs w:val="28"/>
          <w:highlight w:val="none"/>
          <w:lang w:val="en-US" w:eastAsia="zh-CN" w:bidi="ar-SA"/>
        </w:rPr>
        <w:t>　　截至202</w:t>
      </w:r>
      <w:r>
        <w:rPr>
          <w:rFonts w:hint="eastAsia" w:hAnsi="宋体" w:cs="宋体"/>
          <w:color w:val="000000"/>
          <w:kern w:val="0"/>
          <w:sz w:val="28"/>
          <w:szCs w:val="28"/>
          <w:highlight w:val="none"/>
          <w:lang w:val="en-US" w:eastAsia="zh-CN" w:bidi="ar-SA"/>
        </w:rPr>
        <w:t>4</w:t>
      </w:r>
      <w:r>
        <w:rPr>
          <w:rFonts w:hint="eastAsia" w:ascii="仿宋_GB2312" w:hAnsi="宋体" w:eastAsia="仿宋_GB2312" w:cs="宋体"/>
          <w:color w:val="000000"/>
          <w:kern w:val="0"/>
          <w:sz w:val="28"/>
          <w:szCs w:val="28"/>
          <w:highlight w:val="none"/>
          <w:lang w:val="en-US" w:eastAsia="zh-CN" w:bidi="ar-SA"/>
        </w:rPr>
        <w:t>年12月31日，区退役军人局固定资产账面原值为</w:t>
      </w:r>
      <w:r>
        <w:rPr>
          <w:rFonts w:hint="eastAsia" w:hAnsi="宋体" w:cs="宋体"/>
          <w:color w:val="000000"/>
          <w:kern w:val="0"/>
          <w:sz w:val="28"/>
          <w:szCs w:val="28"/>
          <w:highlight w:val="none"/>
          <w:lang w:val="en-US" w:eastAsia="zh-CN" w:bidi="ar-SA"/>
        </w:rPr>
        <w:t>490.98</w:t>
      </w:r>
      <w:r>
        <w:rPr>
          <w:rFonts w:hint="eastAsia" w:ascii="仿宋_GB2312" w:hAnsi="宋体" w:eastAsia="仿宋_GB2312" w:cs="宋体"/>
          <w:color w:val="000000"/>
          <w:kern w:val="0"/>
          <w:sz w:val="28"/>
          <w:szCs w:val="28"/>
          <w:highlight w:val="none"/>
          <w:lang w:val="en-US" w:eastAsia="zh-CN" w:bidi="ar-SA"/>
        </w:rPr>
        <w:t>万元，累计折旧</w:t>
      </w:r>
      <w:r>
        <w:rPr>
          <w:rFonts w:hint="eastAsia" w:hAnsi="宋体" w:cs="宋体"/>
          <w:color w:val="000000"/>
          <w:kern w:val="0"/>
          <w:sz w:val="28"/>
          <w:szCs w:val="28"/>
          <w:highlight w:val="none"/>
          <w:lang w:val="en-US" w:eastAsia="zh-CN" w:bidi="ar-SA"/>
        </w:rPr>
        <w:t>370.20</w:t>
      </w:r>
      <w:r>
        <w:rPr>
          <w:rFonts w:hint="eastAsia" w:ascii="仿宋_GB2312" w:hAnsi="宋体" w:eastAsia="仿宋_GB2312" w:cs="宋体"/>
          <w:color w:val="000000"/>
          <w:kern w:val="0"/>
          <w:sz w:val="28"/>
          <w:szCs w:val="28"/>
          <w:highlight w:val="none"/>
          <w:lang w:val="en-US" w:eastAsia="zh-CN" w:bidi="ar-SA"/>
        </w:rPr>
        <w:t>万元，净值</w:t>
      </w:r>
      <w:r>
        <w:rPr>
          <w:rFonts w:hint="eastAsia" w:hAnsi="宋体" w:cs="宋体"/>
          <w:color w:val="000000"/>
          <w:kern w:val="0"/>
          <w:sz w:val="28"/>
          <w:szCs w:val="28"/>
          <w:highlight w:val="none"/>
          <w:lang w:val="en-US" w:eastAsia="zh-CN" w:bidi="ar-SA"/>
        </w:rPr>
        <w:t>120.78</w:t>
      </w:r>
      <w:r>
        <w:rPr>
          <w:rFonts w:hint="eastAsia" w:ascii="仿宋_GB2312" w:hAnsi="宋体" w:eastAsia="仿宋_GB2312" w:cs="宋体"/>
          <w:color w:val="000000"/>
          <w:kern w:val="0"/>
          <w:sz w:val="28"/>
          <w:szCs w:val="28"/>
          <w:highlight w:val="none"/>
          <w:lang w:val="en-US" w:eastAsia="zh-CN" w:bidi="ar-SA"/>
        </w:rPr>
        <w:t>万元。在资产的管理使用过程中，本部门设置了固定资产总账、财政动态库并设专人负责固定资产实物管理。明确固定资产购置程序，建立验收、入库、登记制度。明确固定资产调拨程序，完善调拨手续。建立固定资产报废制度，明确统一由固定资产归口部门负责，根据固定资产使用年限、固定资产使用状态及各处室报废申请等，依法依规办理核销手续。资产信息化动态管理过程中，进一步规范了固定资产增加、减少、使用和处置工作流程；进一步加强了资产动态与预算管理相结合，为预算编制提供了真实、完整、准确的基础数据；进一步加强了日常资产管理和资产清查工作相结合，确保资产管理做到“账证、账实、账账”相符的要求。</w:t>
      </w:r>
    </w:p>
    <w:p w14:paraId="4845E94F">
      <w:pPr>
        <w:pStyle w:val="10"/>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firstLine="560" w:firstLineChars="200"/>
        <w:textAlignment w:val="auto"/>
        <w:rPr>
          <w:rFonts w:ascii="楷体_GB2312" w:eastAsia="楷体_GB2312"/>
          <w:b w:val="0"/>
          <w:bCs w:val="0"/>
          <w:sz w:val="28"/>
          <w:szCs w:val="28"/>
          <w:highlight w:val="none"/>
        </w:rPr>
      </w:pPr>
      <w:r>
        <w:rPr>
          <w:rFonts w:hint="eastAsia" w:ascii="楷体_GB2312" w:eastAsia="楷体_GB2312"/>
          <w:b w:val="0"/>
          <w:bCs w:val="0"/>
          <w:sz w:val="28"/>
          <w:szCs w:val="28"/>
          <w:highlight w:val="none"/>
          <w:lang w:val="en-US" w:eastAsia="zh-CN"/>
        </w:rPr>
        <w:t>3.</w:t>
      </w:r>
      <w:r>
        <w:rPr>
          <w:rFonts w:hint="eastAsia" w:ascii="楷体_GB2312" w:eastAsia="楷体_GB2312"/>
          <w:b w:val="0"/>
          <w:bCs w:val="0"/>
          <w:sz w:val="28"/>
          <w:szCs w:val="28"/>
          <w:highlight w:val="none"/>
        </w:rPr>
        <w:t>绩效</w:t>
      </w:r>
      <w:r>
        <w:rPr>
          <w:rFonts w:ascii="楷体_GB2312" w:eastAsia="楷体_GB2312"/>
          <w:b w:val="0"/>
          <w:bCs w:val="0"/>
          <w:sz w:val="28"/>
          <w:szCs w:val="28"/>
          <w:highlight w:val="none"/>
        </w:rPr>
        <w:t>管理</w:t>
      </w:r>
    </w:p>
    <w:p w14:paraId="01703646">
      <w:pPr>
        <w:pStyle w:val="10"/>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firstLine="560" w:firstLineChars="200"/>
        <w:textAlignment w:val="auto"/>
        <w:rPr>
          <w:rFonts w:hint="eastAsia" w:ascii="仿宋_GB2312" w:hAnsi="宋体" w:eastAsia="仿宋_GB2312" w:cs="宋体"/>
          <w:color w:val="000000"/>
          <w:kern w:val="0"/>
          <w:sz w:val="28"/>
          <w:szCs w:val="28"/>
          <w:highlight w:val="none"/>
          <w:lang w:val="en-US" w:eastAsia="zh-CN" w:bidi="ar-SA"/>
        </w:rPr>
      </w:pPr>
      <w:r>
        <w:rPr>
          <w:rFonts w:hint="eastAsia" w:ascii="仿宋_GB2312" w:hAnsi="宋体" w:eastAsia="仿宋_GB2312" w:cs="宋体"/>
          <w:color w:val="000000"/>
          <w:kern w:val="0"/>
          <w:sz w:val="28"/>
          <w:szCs w:val="28"/>
          <w:highlight w:val="none"/>
          <w:lang w:val="en-US" w:eastAsia="zh-CN" w:bidi="ar-SA"/>
        </w:rPr>
        <w:t>区退役军人局为了实现2024年度部门整体工作目标，填报了部门整体支出绩效目标申报表，设置了明确的年度总体绩效目标，并结合总体部门对各项具体指标进行了分解。各项产出指标依据年度重点工作任务、重大事项、及大额资金的使用进行设置，在机关内部进行充分研究后，按照集体决策程序进行研究审批，部门整体支出绩效目标的决策过程规范、有效。通过多年来财政预算绩效管理相关工作的开展，对区退役军人局各方面工作均起到了明显的提高与促进作用。2024年度高度重视绩效管理工作，明确了全年绩效管理的主要工作内容和总体工作计划，不定期对重点项目的进展、绩效实现和资金支付等情况进行了解，对绩效目标不明确或有偏差的及时给予指导完善调整。并加强了重点环节的检查，按照各项目预期的时间节点，对照预算申报时确定的项目内容、绩效目标和实施计划进行重点跟踪检查，认真查找项目组织管理实施中与年度目标计划存在的差异，以及当前已实现的实际绩效与年度目标绩效间的差异，分析差异形成的原因，提出改进的要求。</w:t>
      </w:r>
    </w:p>
    <w:p w14:paraId="2AFEF37C">
      <w:pPr>
        <w:pStyle w:val="10"/>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firstLine="560" w:firstLineChars="200"/>
        <w:textAlignment w:val="auto"/>
        <w:rPr>
          <w:rFonts w:ascii="楷体_GB2312" w:eastAsia="楷体_GB2312"/>
          <w:sz w:val="28"/>
          <w:szCs w:val="28"/>
          <w:highlight w:val="none"/>
        </w:rPr>
      </w:pPr>
      <w:r>
        <w:rPr>
          <w:rFonts w:hint="eastAsia" w:ascii="楷体_GB2312" w:eastAsia="楷体_GB2312"/>
          <w:sz w:val="28"/>
          <w:szCs w:val="28"/>
          <w:highlight w:val="none"/>
          <w:lang w:val="en-US" w:eastAsia="zh-CN"/>
        </w:rPr>
        <w:t>4.</w:t>
      </w:r>
      <w:r>
        <w:rPr>
          <w:rFonts w:hint="eastAsia" w:ascii="楷体_GB2312" w:eastAsia="楷体_GB2312"/>
          <w:sz w:val="28"/>
          <w:szCs w:val="28"/>
          <w:highlight w:val="none"/>
        </w:rPr>
        <w:t>部门</w:t>
      </w:r>
      <w:r>
        <w:rPr>
          <w:rFonts w:ascii="楷体_GB2312" w:eastAsia="楷体_GB2312"/>
          <w:sz w:val="28"/>
          <w:szCs w:val="28"/>
          <w:highlight w:val="none"/>
        </w:rPr>
        <w:t>预决算差异率</w:t>
      </w:r>
    </w:p>
    <w:p w14:paraId="23193BD2">
      <w:pPr>
        <w:pStyle w:val="10"/>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firstLine="560" w:firstLineChars="200"/>
        <w:textAlignment w:val="auto"/>
        <w:rPr>
          <w:rFonts w:hint="eastAsia" w:ascii="仿宋_GB2312" w:hAnsi="宋体" w:eastAsia="仿宋_GB2312" w:cs="宋体"/>
          <w:color w:val="000000"/>
          <w:kern w:val="0"/>
          <w:sz w:val="28"/>
          <w:szCs w:val="28"/>
          <w:highlight w:val="none"/>
          <w:lang w:val="en-US" w:eastAsia="zh-CN" w:bidi="ar-SA"/>
        </w:rPr>
      </w:pPr>
      <w:r>
        <w:rPr>
          <w:rFonts w:hint="eastAsia" w:ascii="仿宋_GB2312" w:hAnsi="宋体" w:eastAsia="仿宋_GB2312" w:cs="宋体"/>
          <w:color w:val="auto"/>
          <w:kern w:val="0"/>
          <w:sz w:val="28"/>
          <w:szCs w:val="28"/>
          <w:highlight w:val="none"/>
        </w:rPr>
        <w:t>202</w:t>
      </w:r>
      <w:r>
        <w:rPr>
          <w:rFonts w:hint="eastAsia" w:ascii="仿宋_GB2312" w:hAnsi="宋体" w:eastAsia="仿宋_GB2312" w:cs="宋体"/>
          <w:color w:val="auto"/>
          <w:kern w:val="0"/>
          <w:sz w:val="28"/>
          <w:szCs w:val="28"/>
          <w:highlight w:val="none"/>
          <w:lang w:val="en-US" w:eastAsia="zh-CN"/>
        </w:rPr>
        <w:t>4</w:t>
      </w:r>
      <w:r>
        <w:rPr>
          <w:rFonts w:hint="eastAsia" w:ascii="仿宋_GB2312" w:hAnsi="宋体" w:eastAsia="仿宋_GB2312" w:cs="宋体"/>
          <w:color w:val="auto"/>
          <w:kern w:val="0"/>
          <w:sz w:val="28"/>
          <w:szCs w:val="28"/>
          <w:highlight w:val="none"/>
        </w:rPr>
        <w:t>年</w:t>
      </w:r>
      <w:r>
        <w:rPr>
          <w:rFonts w:ascii="仿宋_GB2312" w:hAnsi="宋体" w:eastAsia="仿宋_GB2312" w:cs="宋体"/>
          <w:color w:val="auto"/>
          <w:kern w:val="0"/>
          <w:sz w:val="28"/>
          <w:szCs w:val="28"/>
          <w:highlight w:val="none"/>
        </w:rPr>
        <w:t>全年</w:t>
      </w:r>
      <w:r>
        <w:rPr>
          <w:rFonts w:hint="eastAsia" w:ascii="仿宋_GB2312" w:hAnsi="宋体" w:eastAsia="仿宋_GB2312" w:cs="宋体"/>
          <w:color w:val="auto"/>
          <w:kern w:val="0"/>
          <w:sz w:val="28"/>
          <w:szCs w:val="28"/>
          <w:highlight w:val="none"/>
        </w:rPr>
        <w:t>预算数19229.23万元</w:t>
      </w:r>
      <w:r>
        <w:rPr>
          <w:rFonts w:ascii="仿宋_GB2312" w:hAnsi="宋体" w:eastAsia="仿宋_GB2312" w:cs="宋体"/>
          <w:color w:val="auto"/>
          <w:kern w:val="0"/>
          <w:sz w:val="28"/>
          <w:szCs w:val="28"/>
          <w:highlight w:val="none"/>
        </w:rPr>
        <w:t>，</w:t>
      </w:r>
      <w:r>
        <w:rPr>
          <w:rFonts w:hint="eastAsia" w:ascii="仿宋_GB2312" w:hAnsi="宋体" w:eastAsia="仿宋_GB2312" w:cs="宋体"/>
          <w:color w:val="auto"/>
          <w:kern w:val="0"/>
          <w:sz w:val="28"/>
          <w:szCs w:val="28"/>
          <w:highlight w:val="none"/>
        </w:rPr>
        <w:t>其中</w:t>
      </w:r>
      <w:r>
        <w:rPr>
          <w:rFonts w:ascii="仿宋_GB2312" w:hAnsi="宋体" w:eastAsia="仿宋_GB2312" w:cs="宋体"/>
          <w:color w:val="auto"/>
          <w:kern w:val="0"/>
          <w:sz w:val="28"/>
          <w:szCs w:val="28"/>
          <w:highlight w:val="none"/>
        </w:rPr>
        <w:t>，基本</w:t>
      </w:r>
      <w:r>
        <w:rPr>
          <w:rFonts w:hint="eastAsia" w:ascii="仿宋_GB2312" w:hAnsi="宋体" w:eastAsia="仿宋_GB2312" w:cs="宋体"/>
          <w:color w:val="auto"/>
          <w:kern w:val="0"/>
          <w:sz w:val="28"/>
          <w:szCs w:val="28"/>
          <w:highlight w:val="none"/>
        </w:rPr>
        <w:t>支出</w:t>
      </w:r>
      <w:r>
        <w:rPr>
          <w:rFonts w:ascii="仿宋_GB2312" w:hAnsi="宋体" w:eastAsia="仿宋_GB2312" w:cs="宋体"/>
          <w:color w:val="auto"/>
          <w:kern w:val="0"/>
          <w:sz w:val="28"/>
          <w:szCs w:val="28"/>
          <w:highlight w:val="none"/>
        </w:rPr>
        <w:t>预算</w:t>
      </w:r>
      <w:r>
        <w:rPr>
          <w:rFonts w:hint="eastAsia" w:ascii="仿宋_GB2312" w:hAnsi="宋体" w:eastAsia="仿宋_GB2312" w:cs="宋体"/>
          <w:color w:val="auto"/>
          <w:kern w:val="0"/>
          <w:sz w:val="28"/>
          <w:szCs w:val="28"/>
          <w:highlight w:val="none"/>
        </w:rPr>
        <w:t>数</w:t>
      </w:r>
      <w:r>
        <w:rPr>
          <w:rFonts w:hint="eastAsia" w:ascii="仿宋_GB2312" w:hAnsi="宋体" w:eastAsia="仿宋_GB2312" w:cs="宋体"/>
          <w:color w:val="auto"/>
          <w:kern w:val="0"/>
          <w:sz w:val="28"/>
          <w:szCs w:val="28"/>
          <w:highlight w:val="none"/>
          <w:lang w:val="en-US" w:eastAsia="zh-CN"/>
        </w:rPr>
        <w:t>1675.15</w:t>
      </w:r>
      <w:r>
        <w:rPr>
          <w:rFonts w:hint="eastAsia" w:ascii="仿宋_GB2312" w:hAnsi="宋体" w:eastAsia="仿宋_GB2312" w:cs="宋体"/>
          <w:color w:val="auto"/>
          <w:kern w:val="0"/>
          <w:sz w:val="28"/>
          <w:szCs w:val="28"/>
          <w:highlight w:val="none"/>
        </w:rPr>
        <w:t>万元</w:t>
      </w:r>
      <w:r>
        <w:rPr>
          <w:rFonts w:ascii="仿宋_GB2312" w:hAnsi="宋体" w:eastAsia="仿宋_GB2312" w:cs="宋体"/>
          <w:color w:val="auto"/>
          <w:kern w:val="0"/>
          <w:sz w:val="28"/>
          <w:szCs w:val="28"/>
          <w:highlight w:val="none"/>
        </w:rPr>
        <w:t>，</w:t>
      </w:r>
      <w:r>
        <w:rPr>
          <w:rFonts w:hint="eastAsia" w:ascii="仿宋_GB2312" w:hAnsi="宋体" w:eastAsia="仿宋_GB2312" w:cs="宋体"/>
          <w:color w:val="auto"/>
          <w:kern w:val="0"/>
          <w:sz w:val="28"/>
          <w:szCs w:val="28"/>
          <w:highlight w:val="none"/>
        </w:rPr>
        <w:t>项目支出预算数17554.08</w:t>
      </w:r>
      <w:r>
        <w:rPr>
          <w:rFonts w:ascii="仿宋_GB2312" w:hAnsi="宋体" w:eastAsia="仿宋_GB2312" w:cs="宋体"/>
          <w:color w:val="auto"/>
          <w:kern w:val="0"/>
          <w:sz w:val="28"/>
          <w:szCs w:val="28"/>
          <w:highlight w:val="none"/>
        </w:rPr>
        <w:t>万元，其</w:t>
      </w:r>
      <w:r>
        <w:rPr>
          <w:rFonts w:ascii="仿宋_GB2312" w:hAnsi="宋体" w:eastAsia="仿宋_GB2312" w:cs="宋体"/>
          <w:color w:val="000000"/>
          <w:kern w:val="0"/>
          <w:sz w:val="28"/>
          <w:szCs w:val="28"/>
          <w:highlight w:val="none"/>
        </w:rPr>
        <w:t>他支出</w:t>
      </w:r>
      <w:r>
        <w:rPr>
          <w:rFonts w:hint="eastAsia" w:ascii="仿宋_GB2312" w:hAnsi="宋体" w:eastAsia="仿宋_GB2312" w:cs="宋体"/>
          <w:color w:val="000000"/>
          <w:kern w:val="0"/>
          <w:sz w:val="28"/>
          <w:szCs w:val="28"/>
          <w:highlight w:val="none"/>
        </w:rPr>
        <w:t>预算数</w:t>
      </w:r>
      <w:r>
        <w:rPr>
          <w:rFonts w:hint="eastAsia" w:ascii="仿宋_GB2312" w:hAnsi="宋体" w:eastAsia="仿宋_GB2312" w:cs="宋体"/>
          <w:color w:val="000000"/>
          <w:kern w:val="0"/>
          <w:sz w:val="28"/>
          <w:szCs w:val="28"/>
          <w:highlight w:val="none"/>
          <w:lang w:val="en-US" w:eastAsia="zh-CN"/>
        </w:rPr>
        <w:t>0</w:t>
      </w:r>
      <w:r>
        <w:rPr>
          <w:rFonts w:ascii="仿宋_GB2312" w:hAnsi="宋体" w:eastAsia="仿宋_GB2312" w:cs="宋体"/>
          <w:color w:val="000000"/>
          <w:kern w:val="0"/>
          <w:sz w:val="28"/>
          <w:szCs w:val="28"/>
          <w:highlight w:val="none"/>
        </w:rPr>
        <w:t>万元</w:t>
      </w:r>
      <w:r>
        <w:rPr>
          <w:rFonts w:hint="eastAsia" w:ascii="仿宋_GB2312" w:hAnsi="宋体" w:eastAsia="仿宋_GB2312" w:cs="宋体"/>
          <w:color w:val="000000"/>
          <w:kern w:val="0"/>
          <w:sz w:val="28"/>
          <w:szCs w:val="28"/>
          <w:highlight w:val="none"/>
        </w:rPr>
        <w:t>。</w:t>
      </w:r>
      <w:r>
        <w:rPr>
          <w:rFonts w:ascii="仿宋_GB2312" w:hAnsi="宋体" w:eastAsia="仿宋_GB2312" w:cs="宋体"/>
          <w:color w:val="000000"/>
          <w:kern w:val="0"/>
          <w:sz w:val="28"/>
          <w:szCs w:val="28"/>
          <w:highlight w:val="none"/>
        </w:rPr>
        <w:t>资金总体</w:t>
      </w:r>
      <w:r>
        <w:rPr>
          <w:rFonts w:hint="eastAsia" w:ascii="仿宋_GB2312" w:hAnsi="宋体" w:eastAsia="仿宋_GB2312" w:cs="宋体"/>
          <w:color w:val="000000"/>
          <w:kern w:val="0"/>
          <w:sz w:val="28"/>
          <w:szCs w:val="28"/>
          <w:highlight w:val="none"/>
        </w:rPr>
        <w:t>支出18819.31</w:t>
      </w:r>
      <w:r>
        <w:rPr>
          <w:rFonts w:ascii="仿宋_GB2312" w:hAnsi="宋体" w:eastAsia="仿宋_GB2312" w:cs="宋体"/>
          <w:color w:val="000000"/>
          <w:kern w:val="0"/>
          <w:sz w:val="28"/>
          <w:szCs w:val="28"/>
          <w:highlight w:val="none"/>
        </w:rPr>
        <w:t>万元，其中，基本支出</w:t>
      </w:r>
      <w:r>
        <w:rPr>
          <w:rFonts w:hint="eastAsia" w:ascii="仿宋_GB2312" w:hAnsi="宋体" w:eastAsia="仿宋_GB2312" w:cs="宋体"/>
          <w:color w:val="000000"/>
          <w:kern w:val="0"/>
          <w:sz w:val="28"/>
          <w:szCs w:val="28"/>
          <w:highlight w:val="none"/>
        </w:rPr>
        <w:t>1657.33</w:t>
      </w:r>
      <w:r>
        <w:rPr>
          <w:rFonts w:ascii="仿宋_GB2312" w:hAnsi="宋体" w:eastAsia="仿宋_GB2312" w:cs="宋体"/>
          <w:color w:val="000000"/>
          <w:kern w:val="0"/>
          <w:sz w:val="28"/>
          <w:szCs w:val="28"/>
          <w:highlight w:val="none"/>
        </w:rPr>
        <w:t>万元，项目</w:t>
      </w:r>
      <w:r>
        <w:rPr>
          <w:rFonts w:hint="eastAsia" w:ascii="仿宋_GB2312" w:hAnsi="宋体" w:eastAsia="仿宋_GB2312" w:cs="宋体"/>
          <w:color w:val="000000"/>
          <w:kern w:val="0"/>
          <w:sz w:val="28"/>
          <w:szCs w:val="28"/>
          <w:highlight w:val="none"/>
        </w:rPr>
        <w:t>支出17161.9</w:t>
      </w:r>
      <w:r>
        <w:rPr>
          <w:rFonts w:hint="eastAsia" w:ascii="仿宋_GB2312" w:hAnsi="宋体" w:eastAsia="仿宋_GB2312" w:cs="宋体"/>
          <w:color w:val="000000"/>
          <w:kern w:val="0"/>
          <w:sz w:val="28"/>
          <w:szCs w:val="28"/>
          <w:highlight w:val="none"/>
          <w:lang w:val="en-US" w:eastAsia="zh-CN"/>
        </w:rPr>
        <w:t>8</w:t>
      </w:r>
      <w:r>
        <w:rPr>
          <w:rFonts w:ascii="仿宋_GB2312" w:hAnsi="宋体" w:eastAsia="仿宋_GB2312" w:cs="宋体"/>
          <w:color w:val="000000"/>
          <w:kern w:val="0"/>
          <w:sz w:val="28"/>
          <w:szCs w:val="28"/>
          <w:highlight w:val="none"/>
        </w:rPr>
        <w:t>万元，其他支出</w:t>
      </w:r>
      <w:r>
        <w:rPr>
          <w:rFonts w:hint="eastAsia" w:ascii="仿宋_GB2312" w:hAnsi="宋体" w:eastAsia="仿宋_GB2312" w:cs="宋体"/>
          <w:color w:val="000000"/>
          <w:kern w:val="0"/>
          <w:sz w:val="28"/>
          <w:szCs w:val="28"/>
          <w:highlight w:val="none"/>
          <w:lang w:val="en-US" w:eastAsia="zh-CN"/>
        </w:rPr>
        <w:t>0</w:t>
      </w:r>
      <w:r>
        <w:rPr>
          <w:rFonts w:ascii="仿宋_GB2312" w:hAnsi="宋体" w:eastAsia="仿宋_GB2312" w:cs="宋体"/>
          <w:color w:val="000000"/>
          <w:kern w:val="0"/>
          <w:sz w:val="28"/>
          <w:szCs w:val="28"/>
          <w:highlight w:val="none"/>
        </w:rPr>
        <w:t>万元。</w:t>
      </w:r>
      <w:r>
        <w:rPr>
          <w:rFonts w:hint="eastAsia" w:ascii="仿宋_GB2312" w:hAnsi="宋体" w:eastAsia="仿宋_GB2312" w:cs="宋体"/>
          <w:color w:val="000000"/>
          <w:kern w:val="0"/>
          <w:sz w:val="28"/>
          <w:szCs w:val="28"/>
          <w:highlight w:val="none"/>
        </w:rPr>
        <w:t>预算</w:t>
      </w:r>
      <w:r>
        <w:rPr>
          <w:rFonts w:ascii="仿宋_GB2312" w:hAnsi="宋体" w:eastAsia="仿宋_GB2312" w:cs="宋体"/>
          <w:color w:val="000000"/>
          <w:kern w:val="0"/>
          <w:sz w:val="28"/>
          <w:szCs w:val="28"/>
          <w:highlight w:val="none"/>
        </w:rPr>
        <w:t>执行率为</w:t>
      </w:r>
      <w:r>
        <w:rPr>
          <w:rFonts w:hint="eastAsia" w:ascii="仿宋_GB2312" w:hAnsi="宋体" w:eastAsia="仿宋_GB2312" w:cs="宋体"/>
          <w:color w:val="000000"/>
          <w:kern w:val="0"/>
          <w:sz w:val="28"/>
          <w:szCs w:val="28"/>
          <w:highlight w:val="none"/>
          <w:lang w:val="en-US" w:eastAsia="zh-CN"/>
        </w:rPr>
        <w:t>97.87%</w:t>
      </w:r>
      <w:r>
        <w:rPr>
          <w:rFonts w:hint="eastAsia" w:ascii="仿宋_GB2312" w:hAnsi="宋体" w:eastAsia="仿宋_GB2312" w:cs="宋体"/>
          <w:color w:val="000000"/>
          <w:kern w:val="0"/>
          <w:sz w:val="28"/>
          <w:szCs w:val="28"/>
          <w:highlight w:val="none"/>
        </w:rPr>
        <w:t>。</w:t>
      </w:r>
      <w:r>
        <w:rPr>
          <w:rFonts w:hint="eastAsia" w:ascii="仿宋_GB2312" w:hAnsi="宋体" w:eastAsia="仿宋_GB2312" w:cs="宋体"/>
          <w:color w:val="000000"/>
          <w:kern w:val="0"/>
          <w:sz w:val="28"/>
          <w:szCs w:val="28"/>
          <w:highlight w:val="none"/>
          <w:lang w:eastAsia="zh-CN"/>
        </w:rPr>
        <w:t>预算差</w:t>
      </w:r>
      <w:r>
        <w:rPr>
          <w:rFonts w:hint="eastAsia" w:ascii="仿宋_GB2312" w:hAnsi="宋体" w:eastAsia="仿宋_GB2312" w:cs="宋体"/>
          <w:color w:val="auto"/>
          <w:kern w:val="0"/>
          <w:sz w:val="28"/>
          <w:szCs w:val="28"/>
          <w:highlight w:val="none"/>
          <w:lang w:val="en-US" w:eastAsia="zh-CN" w:bidi="ar-SA"/>
        </w:rPr>
        <w:t>异率2.13%，2023年</w:t>
      </w:r>
      <w:r>
        <w:rPr>
          <w:rFonts w:hint="eastAsia" w:ascii="仿宋_GB2312" w:hAnsi="宋体" w:eastAsia="仿宋_GB2312" w:cs="宋体"/>
          <w:color w:val="000000"/>
          <w:kern w:val="0"/>
          <w:sz w:val="28"/>
          <w:szCs w:val="28"/>
          <w:highlight w:val="none"/>
          <w:lang w:eastAsia="zh-CN"/>
        </w:rPr>
        <w:t>预算差</w:t>
      </w:r>
      <w:r>
        <w:rPr>
          <w:rFonts w:hint="eastAsia" w:ascii="仿宋_GB2312" w:hAnsi="宋体" w:eastAsia="仿宋_GB2312" w:cs="宋体"/>
          <w:color w:val="auto"/>
          <w:kern w:val="0"/>
          <w:sz w:val="28"/>
          <w:szCs w:val="28"/>
          <w:highlight w:val="none"/>
          <w:lang w:val="en-US" w:eastAsia="zh-CN" w:bidi="ar-SA"/>
        </w:rPr>
        <w:t>异率2.52%。</w:t>
      </w:r>
      <w:r>
        <w:rPr>
          <w:rFonts w:hint="eastAsia" w:ascii="仿宋_GB2312" w:eastAsia="仿宋_GB2312"/>
          <w:sz w:val="28"/>
          <w:szCs w:val="28"/>
          <w:highlight w:val="none"/>
        </w:rPr>
        <w:t>与</w:t>
      </w:r>
      <w:r>
        <w:rPr>
          <w:rFonts w:hint="eastAsia" w:ascii="仿宋_GB2312" w:eastAsia="仿宋_GB2312"/>
          <w:sz w:val="28"/>
          <w:szCs w:val="28"/>
          <w:highlight w:val="none"/>
          <w:lang w:val="en-US" w:eastAsia="zh-CN"/>
        </w:rPr>
        <w:t>上</w:t>
      </w:r>
      <w:r>
        <w:rPr>
          <w:rFonts w:hint="eastAsia" w:ascii="仿宋_GB2312" w:eastAsia="仿宋_GB2312"/>
          <w:sz w:val="28"/>
          <w:szCs w:val="28"/>
          <w:highlight w:val="none"/>
        </w:rPr>
        <w:t>年度预决算差异率</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0.39%（2023</w:t>
      </w:r>
      <w:r>
        <w:rPr>
          <w:rFonts w:hint="eastAsia" w:ascii="仿宋_GB2312" w:hAnsi="宋体" w:eastAsia="仿宋_GB2312" w:cs="宋体"/>
          <w:color w:val="000000"/>
          <w:kern w:val="0"/>
          <w:sz w:val="28"/>
          <w:szCs w:val="28"/>
          <w:highlight w:val="none"/>
          <w:lang w:val="en-US" w:eastAsia="zh-CN"/>
        </w:rPr>
        <w:t>全年预算数18599.31万元，资金总体支出18130.74万元，预算执行率为97.48%。</w:t>
      </w:r>
      <w:r>
        <w:rPr>
          <w:rFonts w:hint="eastAsia" w:ascii="仿宋_GB2312" w:eastAsia="仿宋_GB2312"/>
          <w:sz w:val="28"/>
          <w:szCs w:val="28"/>
          <w:highlight w:val="none"/>
          <w:lang w:val="en-US" w:eastAsia="zh-CN"/>
        </w:rPr>
        <w:t>）</w:t>
      </w:r>
      <w:r>
        <w:rPr>
          <w:rFonts w:hint="eastAsia" w:ascii="仿宋_GB2312" w:hAnsi="宋体" w:eastAsia="仿宋_GB2312" w:cs="宋体"/>
          <w:color w:val="auto"/>
          <w:kern w:val="0"/>
          <w:sz w:val="28"/>
          <w:szCs w:val="28"/>
          <w:highlight w:val="none"/>
          <w:lang w:val="en-US" w:eastAsia="zh-CN" w:bidi="ar-SA"/>
        </w:rPr>
        <w:t>差异原因分析：</w:t>
      </w:r>
      <w:r>
        <w:rPr>
          <w:rFonts w:hint="eastAsia" w:ascii="仿宋_GB2312" w:hAnsi="宋体" w:eastAsia="仿宋_GB2312" w:cs="宋体"/>
          <w:color w:val="000000"/>
          <w:kern w:val="0"/>
          <w:sz w:val="28"/>
          <w:szCs w:val="28"/>
          <w:highlight w:val="none"/>
          <w:lang w:val="en-US" w:eastAsia="zh-CN" w:bidi="ar-SA"/>
        </w:rPr>
        <w:t>中央、市级下达的预算指标年底未支付完成，结转到区财政，2025年使用完成。</w:t>
      </w:r>
    </w:p>
    <w:p w14:paraId="47880F97">
      <w:pPr>
        <w:keepNext w:val="0"/>
        <w:keepLines w:val="0"/>
        <w:pageBreakBefore w:val="0"/>
        <w:widowControl w:val="0"/>
        <w:kinsoku/>
        <w:wordWrap/>
        <w:overflowPunct/>
        <w:topLinePunct w:val="0"/>
        <w:autoSpaceDE/>
        <w:autoSpaceDN/>
        <w:bidi w:val="0"/>
        <w:adjustRightInd/>
        <w:snapToGrid/>
        <w:spacing w:line="480" w:lineRule="exact"/>
        <w:ind w:firstLine="840" w:firstLineChars="300"/>
        <w:textAlignment w:val="auto"/>
        <w:rPr>
          <w:rFonts w:ascii="黑体" w:hAnsi="黑体" w:eastAsia="黑体"/>
          <w:sz w:val="28"/>
          <w:szCs w:val="28"/>
          <w:highlight w:val="none"/>
        </w:rPr>
      </w:pPr>
      <w:r>
        <w:rPr>
          <w:rFonts w:hint="eastAsia" w:ascii="黑体" w:hAnsi="黑体" w:eastAsia="黑体"/>
          <w:sz w:val="28"/>
          <w:szCs w:val="28"/>
          <w:highlight w:val="none"/>
          <w:lang w:eastAsia="zh-CN"/>
        </w:rPr>
        <w:t>（</w:t>
      </w:r>
      <w:r>
        <w:rPr>
          <w:rFonts w:hint="eastAsia" w:ascii="黑体" w:hAnsi="黑体" w:eastAsia="黑体"/>
          <w:sz w:val="28"/>
          <w:szCs w:val="28"/>
          <w:highlight w:val="none"/>
        </w:rPr>
        <w:t>五</w:t>
      </w:r>
      <w:r>
        <w:rPr>
          <w:rFonts w:hint="eastAsia" w:ascii="黑体" w:hAnsi="黑体" w:eastAsia="黑体"/>
          <w:sz w:val="28"/>
          <w:szCs w:val="28"/>
          <w:highlight w:val="none"/>
          <w:lang w:eastAsia="zh-CN"/>
        </w:rPr>
        <w:t>）</w:t>
      </w:r>
      <w:r>
        <w:rPr>
          <w:rFonts w:hint="eastAsia" w:ascii="黑体" w:hAnsi="黑体" w:eastAsia="黑体"/>
          <w:sz w:val="28"/>
          <w:szCs w:val="28"/>
          <w:highlight w:val="none"/>
        </w:rPr>
        <w:t>、总体</w:t>
      </w:r>
      <w:r>
        <w:rPr>
          <w:rFonts w:ascii="黑体" w:hAnsi="黑体" w:eastAsia="黑体"/>
          <w:sz w:val="28"/>
          <w:szCs w:val="28"/>
          <w:highlight w:val="none"/>
        </w:rPr>
        <w:t>评价结论</w:t>
      </w:r>
    </w:p>
    <w:p w14:paraId="565CD213">
      <w:pPr>
        <w:pStyle w:val="10"/>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firstLine="560" w:firstLineChars="200"/>
        <w:textAlignment w:val="auto"/>
        <w:rPr>
          <w:rFonts w:hint="eastAsia" w:ascii="楷体_GB2312" w:eastAsia="楷体_GB2312"/>
          <w:sz w:val="28"/>
          <w:szCs w:val="28"/>
          <w:highlight w:val="none"/>
        </w:rPr>
      </w:pPr>
      <w:r>
        <w:rPr>
          <w:rFonts w:hint="eastAsia" w:ascii="楷体_GB2312" w:eastAsia="楷体_GB2312"/>
          <w:sz w:val="28"/>
          <w:szCs w:val="28"/>
          <w:highlight w:val="none"/>
          <w:lang w:val="en-US" w:eastAsia="zh-CN"/>
        </w:rPr>
        <w:t>1.</w:t>
      </w:r>
      <w:r>
        <w:rPr>
          <w:rFonts w:hint="eastAsia" w:ascii="楷体_GB2312" w:eastAsia="楷体_GB2312"/>
          <w:sz w:val="28"/>
          <w:szCs w:val="28"/>
          <w:highlight w:val="none"/>
        </w:rPr>
        <w:t>评价</w:t>
      </w:r>
      <w:r>
        <w:rPr>
          <w:rFonts w:ascii="楷体_GB2312" w:eastAsia="楷体_GB2312"/>
          <w:sz w:val="28"/>
          <w:szCs w:val="28"/>
          <w:highlight w:val="none"/>
        </w:rPr>
        <w:t>得分</w:t>
      </w:r>
      <w:r>
        <w:rPr>
          <w:rFonts w:hint="eastAsia" w:ascii="楷体_GB2312" w:eastAsia="楷体_GB2312"/>
          <w:sz w:val="28"/>
          <w:szCs w:val="28"/>
          <w:highlight w:val="none"/>
        </w:rPr>
        <w:t>情况</w:t>
      </w:r>
    </w:p>
    <w:p w14:paraId="1893FC38">
      <w:pPr>
        <w:pStyle w:val="10"/>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firstLine="560" w:firstLineChars="200"/>
        <w:textAlignment w:val="auto"/>
        <w:rPr>
          <w:rFonts w:hint="eastAsia" w:ascii="仿宋_GB2312" w:hAnsi="宋体" w:eastAsia="仿宋_GB2312" w:cs="宋体"/>
          <w:color w:val="000000"/>
          <w:kern w:val="0"/>
          <w:sz w:val="28"/>
          <w:szCs w:val="28"/>
          <w:highlight w:val="none"/>
          <w:lang w:val="en-US" w:eastAsia="zh-CN" w:bidi="ar-SA"/>
        </w:rPr>
      </w:pPr>
      <w:r>
        <w:rPr>
          <w:rFonts w:hint="eastAsia" w:ascii="仿宋_GB2312" w:hAnsi="宋体" w:eastAsia="仿宋_GB2312" w:cs="宋体"/>
          <w:color w:val="000000"/>
          <w:kern w:val="0"/>
          <w:sz w:val="28"/>
          <w:szCs w:val="28"/>
          <w:highlight w:val="none"/>
          <w:lang w:val="en-US" w:eastAsia="zh-CN" w:bidi="ar-SA"/>
        </w:rPr>
        <w:t>根据202</w:t>
      </w:r>
      <w:r>
        <w:rPr>
          <w:rFonts w:hint="eastAsia" w:hAnsi="宋体" w:cs="宋体"/>
          <w:color w:val="000000"/>
          <w:kern w:val="0"/>
          <w:sz w:val="28"/>
          <w:szCs w:val="28"/>
          <w:highlight w:val="none"/>
          <w:lang w:val="en-US" w:eastAsia="zh-CN" w:bidi="ar-SA"/>
        </w:rPr>
        <w:t>4</w:t>
      </w:r>
      <w:r>
        <w:rPr>
          <w:rFonts w:hint="eastAsia" w:ascii="仿宋_GB2312" w:hAnsi="宋体" w:eastAsia="仿宋_GB2312" w:cs="宋体"/>
          <w:color w:val="000000"/>
          <w:kern w:val="0"/>
          <w:sz w:val="28"/>
          <w:szCs w:val="28"/>
          <w:highlight w:val="none"/>
          <w:lang w:val="en-US" w:eastAsia="zh-CN" w:bidi="ar-SA"/>
        </w:rPr>
        <w:t>年度部门整体支出绩效评价指标体系，经评价，区退役军人局202</w:t>
      </w:r>
      <w:r>
        <w:rPr>
          <w:rFonts w:hint="eastAsia" w:hAnsi="宋体" w:cs="宋体"/>
          <w:color w:val="000000"/>
          <w:kern w:val="0"/>
          <w:sz w:val="28"/>
          <w:szCs w:val="28"/>
          <w:highlight w:val="none"/>
          <w:lang w:val="en-US" w:eastAsia="zh-CN" w:bidi="ar-SA"/>
        </w:rPr>
        <w:t>4</w:t>
      </w:r>
      <w:r>
        <w:rPr>
          <w:rFonts w:hint="eastAsia" w:ascii="仿宋_GB2312" w:hAnsi="宋体" w:eastAsia="仿宋_GB2312" w:cs="宋体"/>
          <w:color w:val="000000"/>
          <w:kern w:val="0"/>
          <w:sz w:val="28"/>
          <w:szCs w:val="28"/>
          <w:highlight w:val="none"/>
          <w:lang w:val="en-US" w:eastAsia="zh-CN" w:bidi="ar-SA"/>
        </w:rPr>
        <w:t>年度部门整体绩效评价得分为</w:t>
      </w:r>
      <w:r>
        <w:rPr>
          <w:rFonts w:hint="eastAsia" w:hAnsi="宋体" w:cs="宋体"/>
          <w:color w:val="000000"/>
          <w:kern w:val="0"/>
          <w:sz w:val="28"/>
          <w:szCs w:val="28"/>
          <w:highlight w:val="none"/>
          <w:lang w:val="en-US" w:eastAsia="zh-CN" w:bidi="ar-SA"/>
        </w:rPr>
        <w:t>97.92</w:t>
      </w:r>
      <w:r>
        <w:rPr>
          <w:rFonts w:hint="eastAsia" w:ascii="仿宋_GB2312" w:hAnsi="宋体" w:eastAsia="仿宋_GB2312" w:cs="宋体"/>
          <w:color w:val="000000"/>
          <w:kern w:val="0"/>
          <w:sz w:val="28"/>
          <w:szCs w:val="28"/>
          <w:highlight w:val="none"/>
          <w:lang w:val="en-US" w:eastAsia="zh-CN" w:bidi="ar-SA"/>
        </w:rPr>
        <w:t>分，评分等级为“优秀”。其中当年预算执行情况总分为20分，评价得分为19</w:t>
      </w:r>
      <w:r>
        <w:rPr>
          <w:rFonts w:hint="eastAsia" w:hAnsi="宋体" w:cs="宋体"/>
          <w:color w:val="000000"/>
          <w:kern w:val="0"/>
          <w:sz w:val="28"/>
          <w:szCs w:val="28"/>
          <w:highlight w:val="none"/>
          <w:lang w:val="en-US" w:eastAsia="zh-CN" w:bidi="ar-SA"/>
        </w:rPr>
        <w:t>.56</w:t>
      </w:r>
      <w:r>
        <w:rPr>
          <w:rFonts w:hint="eastAsia" w:ascii="仿宋_GB2312" w:hAnsi="宋体" w:eastAsia="仿宋_GB2312" w:cs="宋体"/>
          <w:color w:val="000000"/>
          <w:kern w:val="0"/>
          <w:sz w:val="28"/>
          <w:szCs w:val="28"/>
          <w:highlight w:val="none"/>
          <w:lang w:val="en-US" w:eastAsia="zh-CN" w:bidi="ar-SA"/>
        </w:rPr>
        <w:t>分；整体绩效目标实现情况总分为60分，评价得分为5</w:t>
      </w:r>
      <w:r>
        <w:rPr>
          <w:rFonts w:hint="eastAsia" w:hAnsi="宋体" w:cs="宋体"/>
          <w:color w:val="000000"/>
          <w:kern w:val="0"/>
          <w:sz w:val="28"/>
          <w:szCs w:val="28"/>
          <w:highlight w:val="none"/>
          <w:lang w:val="en-US" w:eastAsia="zh-CN" w:bidi="ar-SA"/>
        </w:rPr>
        <w:t>8.36</w:t>
      </w:r>
      <w:r>
        <w:rPr>
          <w:rFonts w:hint="eastAsia" w:ascii="仿宋_GB2312" w:hAnsi="宋体" w:eastAsia="仿宋_GB2312" w:cs="宋体"/>
          <w:color w:val="000000"/>
          <w:kern w:val="0"/>
          <w:sz w:val="28"/>
          <w:szCs w:val="28"/>
          <w:highlight w:val="none"/>
          <w:lang w:val="en-US" w:eastAsia="zh-CN" w:bidi="ar-SA"/>
        </w:rPr>
        <w:t>分；预算管理情况总分为20分，评价得分为20分。</w:t>
      </w:r>
    </w:p>
    <w:p w14:paraId="0706E9FA">
      <w:pPr>
        <w:pStyle w:val="10"/>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firstLine="560" w:firstLineChars="200"/>
        <w:textAlignment w:val="auto"/>
        <w:rPr>
          <w:rFonts w:hint="eastAsia" w:ascii="楷体_GB2312" w:hAnsi="Times New Roman" w:eastAsia="楷体_GB2312"/>
          <w:sz w:val="28"/>
          <w:szCs w:val="28"/>
          <w:highlight w:val="none"/>
        </w:rPr>
      </w:pPr>
      <w:r>
        <w:rPr>
          <w:rFonts w:hint="eastAsia" w:ascii="楷体_GB2312" w:hAnsi="Times New Roman" w:eastAsia="楷体_GB2312"/>
          <w:sz w:val="28"/>
          <w:szCs w:val="28"/>
          <w:highlight w:val="none"/>
          <w:lang w:val="en-US" w:eastAsia="zh-CN"/>
        </w:rPr>
        <w:t>2.</w:t>
      </w:r>
      <w:r>
        <w:rPr>
          <w:rFonts w:hint="eastAsia" w:ascii="楷体_GB2312" w:hAnsi="Times New Roman" w:eastAsia="楷体_GB2312"/>
          <w:sz w:val="28"/>
          <w:szCs w:val="28"/>
          <w:highlight w:val="none"/>
        </w:rPr>
        <w:t>存在的问题及原因分析</w:t>
      </w:r>
    </w:p>
    <w:p w14:paraId="4202B37E">
      <w:pPr>
        <w:pStyle w:val="10"/>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firstLine="560" w:firstLineChars="200"/>
        <w:textAlignment w:val="auto"/>
        <w:rPr>
          <w:rFonts w:hint="eastAsia"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lang w:val="en-US" w:eastAsia="zh-CN" w:bidi="ar-SA"/>
        </w:rPr>
        <w:t>（1）2024年度，各预算申报项目绩效目标填报的规范性及合理性较上年有所规范，指标内容具备了较为清晰的细化与量化程度。但个别项目的绩效目标填报上仍存在不足的情况，项目总体目标中关于项目实施的依据、实施的内容以及预期达到的效果归纳与阐述有所不足，具体产出指标中三级指标及指标值的设定还不够清晰明确。</w:t>
      </w:r>
      <w:r>
        <w:rPr>
          <w:rFonts w:hint="eastAsia" w:ascii="仿宋_GB2312" w:hAnsi="宋体" w:eastAsia="仿宋_GB2312" w:cs="宋体"/>
          <w:color w:val="000000"/>
          <w:kern w:val="0"/>
          <w:sz w:val="28"/>
          <w:szCs w:val="28"/>
          <w:highlight w:val="none"/>
          <w:lang w:val="en-US" w:eastAsia="zh-CN" w:bidi="ar-SA"/>
        </w:rPr>
        <w:br w:type="textWrapping"/>
      </w:r>
      <w:r>
        <w:rPr>
          <w:rFonts w:hint="eastAsia" w:ascii="仿宋_GB2312" w:hAnsi="宋体" w:eastAsia="仿宋_GB2312" w:cs="宋体"/>
          <w:color w:val="000000"/>
          <w:kern w:val="0"/>
          <w:sz w:val="28"/>
          <w:szCs w:val="28"/>
          <w:highlight w:val="none"/>
          <w:lang w:val="en-US" w:eastAsia="zh-CN" w:bidi="ar-SA"/>
        </w:rPr>
        <w:t>　</w:t>
      </w:r>
      <w:r>
        <w:rPr>
          <w:rFonts w:hint="eastAsia" w:hAnsi="宋体" w:cs="宋体"/>
          <w:color w:val="000000"/>
          <w:kern w:val="0"/>
          <w:sz w:val="28"/>
          <w:szCs w:val="28"/>
          <w:highlight w:val="none"/>
          <w:lang w:val="en-US" w:eastAsia="zh-CN" w:bidi="ar-SA"/>
        </w:rPr>
        <w:t xml:space="preserve">  </w:t>
      </w:r>
      <w:r>
        <w:rPr>
          <w:rFonts w:hint="eastAsia" w:ascii="仿宋_GB2312" w:hAnsi="宋体" w:eastAsia="仿宋_GB2312" w:cs="宋体"/>
          <w:color w:val="000000"/>
          <w:kern w:val="0"/>
          <w:sz w:val="28"/>
          <w:szCs w:val="28"/>
          <w:highlight w:val="none"/>
          <w:lang w:val="en-US" w:eastAsia="zh-CN" w:bidi="ar-SA"/>
        </w:rPr>
        <w:t>（2）部分项目在组织实施和过程管理的精细化水平有待进一步提升。部分项目实施方案的完整性与指导性仍有待加强，项目实施过程的管理资料以及服务对象满意度调查资料的归集与整理情</w:t>
      </w:r>
      <w:bookmarkStart w:id="0" w:name="_GoBack"/>
      <w:bookmarkEnd w:id="0"/>
      <w:r>
        <w:rPr>
          <w:rFonts w:hint="eastAsia" w:ascii="仿宋_GB2312" w:hAnsi="宋体" w:eastAsia="仿宋_GB2312" w:cs="宋体"/>
          <w:color w:val="000000"/>
          <w:kern w:val="0"/>
          <w:sz w:val="28"/>
          <w:szCs w:val="28"/>
          <w:highlight w:val="none"/>
          <w:lang w:val="en-US" w:eastAsia="zh-CN" w:bidi="ar-SA"/>
        </w:rPr>
        <w:t>况依然存在不足。</w:t>
      </w:r>
      <w:r>
        <w:rPr>
          <w:rFonts w:hint="eastAsia" w:ascii="仿宋_GB2312" w:hAnsi="宋体" w:eastAsia="仿宋_GB2312" w:cs="宋体"/>
          <w:color w:val="000000"/>
          <w:kern w:val="0"/>
          <w:sz w:val="28"/>
          <w:szCs w:val="28"/>
          <w:highlight w:val="none"/>
          <w:lang w:val="en-US" w:eastAsia="zh-CN" w:bidi="ar-SA"/>
        </w:rPr>
        <w:br w:type="textWrapping"/>
      </w:r>
      <w:r>
        <w:rPr>
          <w:rFonts w:hint="eastAsia" w:ascii="仿宋_GB2312" w:hAnsi="宋体" w:eastAsia="仿宋_GB2312" w:cs="宋体"/>
          <w:color w:val="000000"/>
          <w:kern w:val="0"/>
          <w:sz w:val="28"/>
          <w:szCs w:val="28"/>
          <w:highlight w:val="none"/>
          <w:lang w:val="en-US" w:eastAsia="zh-CN" w:bidi="ar-SA"/>
        </w:rPr>
        <w:t xml:space="preserve">    </w:t>
      </w:r>
      <w:r>
        <w:rPr>
          <w:rFonts w:hint="eastAsia" w:hAnsi="宋体" w:cs="宋体"/>
          <w:color w:val="000000"/>
          <w:kern w:val="0"/>
          <w:sz w:val="28"/>
          <w:szCs w:val="28"/>
          <w:highlight w:val="none"/>
          <w:lang w:val="en-US" w:eastAsia="zh-CN" w:bidi="ar-SA"/>
        </w:rPr>
        <w:t>（</w:t>
      </w:r>
      <w:r>
        <w:rPr>
          <w:rFonts w:hint="eastAsia" w:ascii="黑体" w:hAnsi="黑体" w:eastAsia="黑体" w:cs="宋体"/>
          <w:color w:val="000000"/>
          <w:kern w:val="0"/>
          <w:sz w:val="28"/>
          <w:szCs w:val="28"/>
          <w:highlight w:val="none"/>
        </w:rPr>
        <w:t>六</w:t>
      </w:r>
      <w:r>
        <w:rPr>
          <w:rFonts w:hint="eastAsia" w:ascii="黑体" w:hAnsi="黑体" w:eastAsia="黑体" w:cs="宋体"/>
          <w:color w:val="000000"/>
          <w:kern w:val="0"/>
          <w:sz w:val="28"/>
          <w:szCs w:val="28"/>
          <w:highlight w:val="none"/>
          <w:lang w:eastAsia="zh-CN"/>
        </w:rPr>
        <w:t>）</w:t>
      </w:r>
      <w:r>
        <w:rPr>
          <w:rFonts w:hint="eastAsia" w:ascii="黑体" w:hAnsi="黑体" w:eastAsia="黑体" w:cs="宋体"/>
          <w:color w:val="000000"/>
          <w:kern w:val="0"/>
          <w:sz w:val="28"/>
          <w:szCs w:val="28"/>
          <w:highlight w:val="none"/>
        </w:rPr>
        <w:t>、措施建议</w:t>
      </w:r>
    </w:p>
    <w:p w14:paraId="222F45E6">
      <w:pPr>
        <w:pStyle w:val="10"/>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firstLine="560" w:firstLineChars="200"/>
        <w:textAlignment w:val="auto"/>
        <w:rPr>
          <w:rFonts w:hint="eastAsia" w:ascii="仿宋_GB2312" w:hAnsi="宋体" w:eastAsia="仿宋_GB2312" w:cs="宋体"/>
          <w:color w:val="000000"/>
          <w:kern w:val="0"/>
          <w:sz w:val="28"/>
          <w:szCs w:val="28"/>
          <w:highlight w:val="none"/>
          <w:lang w:val="en-US" w:eastAsia="zh-CN" w:bidi="ar-SA"/>
        </w:rPr>
      </w:pPr>
      <w:r>
        <w:rPr>
          <w:rFonts w:hint="eastAsia" w:ascii="仿宋_GB2312" w:hAnsi="宋体" w:eastAsia="仿宋_GB2312" w:cs="宋体"/>
          <w:color w:val="000000"/>
          <w:kern w:val="0"/>
          <w:sz w:val="28"/>
          <w:szCs w:val="28"/>
          <w:highlight w:val="none"/>
          <w:lang w:val="en-US" w:eastAsia="zh-CN" w:bidi="ar-SA"/>
        </w:rPr>
        <w:t>通过对202</w:t>
      </w:r>
      <w:r>
        <w:rPr>
          <w:rFonts w:hint="eastAsia" w:hAnsi="宋体" w:cs="宋体"/>
          <w:color w:val="000000"/>
          <w:kern w:val="0"/>
          <w:sz w:val="28"/>
          <w:szCs w:val="28"/>
          <w:highlight w:val="none"/>
          <w:lang w:val="en-US" w:eastAsia="zh-CN" w:bidi="ar-SA"/>
        </w:rPr>
        <w:t>4</w:t>
      </w:r>
      <w:r>
        <w:rPr>
          <w:rFonts w:hint="eastAsia" w:ascii="仿宋_GB2312" w:hAnsi="宋体" w:eastAsia="仿宋_GB2312" w:cs="宋体"/>
          <w:color w:val="000000"/>
          <w:kern w:val="0"/>
          <w:sz w:val="28"/>
          <w:szCs w:val="28"/>
          <w:highlight w:val="none"/>
          <w:lang w:val="en-US" w:eastAsia="zh-CN" w:bidi="ar-SA"/>
        </w:rPr>
        <w:t>年度部门开展的绩效自评工作，本局机关各科室、部门的预算管理意识均有所增强，各财政预算项目在执行绩效管理工作的过程中均能够严格按照财政批复的范围和用途落实资金的使用，专款专用。但在本次自评工作中也发现个别项目在绩效管理工作中存在的不足，将作为下一步重点关注与改进的方面。</w:t>
      </w:r>
      <w:r>
        <w:rPr>
          <w:rFonts w:hint="eastAsia" w:ascii="仿宋_GB2312" w:hAnsi="宋体" w:eastAsia="仿宋_GB2312" w:cs="宋体"/>
          <w:color w:val="000000"/>
          <w:kern w:val="0"/>
          <w:sz w:val="28"/>
          <w:szCs w:val="28"/>
          <w:highlight w:val="none"/>
          <w:lang w:val="en-US" w:eastAsia="zh-CN" w:bidi="ar-SA"/>
        </w:rPr>
        <w:br w:type="textWrapping"/>
      </w:r>
      <w:r>
        <w:rPr>
          <w:rFonts w:hint="eastAsia" w:ascii="仿宋_GB2312" w:hAnsi="宋体" w:eastAsia="仿宋_GB2312" w:cs="宋体"/>
          <w:color w:val="000000"/>
          <w:kern w:val="0"/>
          <w:sz w:val="28"/>
          <w:szCs w:val="28"/>
          <w:highlight w:val="none"/>
          <w:lang w:val="en-US" w:eastAsia="zh-CN" w:bidi="ar-SA"/>
        </w:rPr>
        <w:t>　　1.进一步提高项目的绩效管理水平，规范科学编制绩效目标表，提高项目绩效目标和指标编制的合理性。进一步强化项目绩效意识，科学、合理、规范设定项目绩效目标申报表，根据市财政局有关绩效目标管理的要求，结合项目内容，规范填报预期绩效目标申报表。填报的总体绩效目标申报表中应包含项目的立项背景和需求、实施的主要内容、年度计划实现的绩效成果等关键要素。填报的具体指标应细化、量化，通过填报科学规范的绩效目标申报表，进一步提高项目绩效目标的可考量性。</w:t>
      </w:r>
      <w:r>
        <w:rPr>
          <w:rFonts w:hint="eastAsia" w:ascii="仿宋_GB2312" w:hAnsi="宋体" w:eastAsia="仿宋_GB2312" w:cs="宋体"/>
          <w:color w:val="000000"/>
          <w:kern w:val="0"/>
          <w:sz w:val="28"/>
          <w:szCs w:val="28"/>
          <w:highlight w:val="none"/>
          <w:lang w:val="en-US" w:eastAsia="zh-CN" w:bidi="ar-SA"/>
        </w:rPr>
        <w:br w:type="textWrapping"/>
      </w:r>
      <w:r>
        <w:rPr>
          <w:rFonts w:hint="eastAsia" w:ascii="仿宋_GB2312" w:hAnsi="宋体" w:eastAsia="仿宋_GB2312" w:cs="宋体"/>
          <w:color w:val="000000"/>
          <w:kern w:val="0"/>
          <w:sz w:val="28"/>
          <w:szCs w:val="28"/>
          <w:highlight w:val="none"/>
          <w:lang w:val="en-US" w:eastAsia="zh-CN" w:bidi="ar-SA"/>
        </w:rPr>
        <w:t>　　2.严格落实项目的管理流程，提高项目精细化管理水平。加强项目实施方案的研究工作，规范编制项目实施方案，结合项目的特点，从项目的组织机构、人员分工、项目具体组织实施、相关执行标准、项目的过程控制、资金支付监管及项目总结验收等方面制定相关的措施，确保项目实施的闭环管理。同时，还应加强项目资金的支出进度计划的编制，合理安排支出进度，避免因支出进度滞后导致项目的调整或延期，提高部门整体支出的效率。</w:t>
      </w:r>
      <w:r>
        <w:rPr>
          <w:rFonts w:hint="eastAsia" w:ascii="仿宋_GB2312" w:hAnsi="宋体" w:eastAsia="仿宋_GB2312" w:cs="宋体"/>
          <w:color w:val="000000"/>
          <w:kern w:val="0"/>
          <w:sz w:val="28"/>
          <w:szCs w:val="28"/>
          <w:highlight w:val="none"/>
          <w:lang w:val="en-US" w:eastAsia="zh-CN" w:bidi="ar-SA"/>
        </w:rPr>
        <w:br w:type="textWrapping"/>
      </w:r>
      <w:r>
        <w:rPr>
          <w:rFonts w:hint="eastAsia" w:ascii="仿宋_GB2312" w:hAnsi="宋体" w:eastAsia="仿宋_GB2312" w:cs="宋体"/>
          <w:color w:val="000000"/>
          <w:kern w:val="0"/>
          <w:sz w:val="28"/>
          <w:szCs w:val="28"/>
          <w:highlight w:val="none"/>
          <w:lang w:val="en-US" w:eastAsia="zh-CN" w:bidi="ar-SA"/>
        </w:rPr>
        <w:t>　　3.重视项目绩效资料的留存与收集。在项目执行环节应注重及时收集项目绩效资料，加强对相关数据的汇总分析和历史比对，从多方面反映项目绩效成果的实现程度，全面展示项目实施效果。在项目执行过程中督促项目负责人及时组织开展满意度调查，分层分级科学设计调查问卷，深入分析项目实施的效果和不足，通过对调查问卷的统计分析和结果应用，持续推进项目绩效的跟进和提升。</w:t>
      </w:r>
      <w:r>
        <w:rPr>
          <w:rFonts w:hint="eastAsia" w:ascii="仿宋_GB2312" w:hAnsi="宋体" w:eastAsia="仿宋_GB2312" w:cs="宋体"/>
          <w:color w:val="000000"/>
          <w:kern w:val="0"/>
          <w:sz w:val="28"/>
          <w:szCs w:val="28"/>
          <w:highlight w:val="none"/>
          <w:lang w:val="en-US" w:eastAsia="zh-CN" w:bidi="ar-SA"/>
        </w:rPr>
        <w:br w:type="textWrapping"/>
      </w:r>
      <w:r>
        <w:rPr>
          <w:rFonts w:hint="eastAsia" w:ascii="仿宋_GB2312" w:hAnsi="宋体" w:eastAsia="仿宋_GB2312" w:cs="宋体"/>
          <w:color w:val="000000"/>
          <w:kern w:val="0"/>
          <w:sz w:val="28"/>
          <w:szCs w:val="28"/>
          <w:highlight w:val="none"/>
          <w:lang w:val="en-US" w:eastAsia="zh-CN" w:bidi="ar-SA"/>
        </w:rPr>
        <w:t>　　4.结合自评工作，总结分析预算绩效管理有益做法和经验。针对发现的过程管理中规范性不足的问题，提出改进意见。对项目预算目标执行情况进行统计分析，分析预算支出进度及绩效目标的实现，及时提醒项目相关人员加强项目管理，控制项目风险，保证项目质量，将细节管理落实到项目实施的各个环节。</w:t>
      </w:r>
    </w:p>
    <w:p w14:paraId="78824509">
      <w:pPr>
        <w:pStyle w:val="10"/>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firstLine="560" w:firstLineChars="200"/>
        <w:textAlignment w:val="auto"/>
        <w:rPr>
          <w:rFonts w:hint="eastAsia" w:ascii="仿宋_GB2312" w:hAnsi="宋体" w:eastAsia="仿宋_GB2312" w:cs="宋体"/>
          <w:color w:val="000000"/>
          <w:kern w:val="0"/>
          <w:sz w:val="28"/>
          <w:szCs w:val="28"/>
          <w:highlight w:val="none"/>
          <w:lang w:val="en-US" w:eastAsia="zh-CN" w:bidi="ar-SA"/>
        </w:rPr>
      </w:pPr>
    </w:p>
    <w:tbl>
      <w:tblPr>
        <w:tblStyle w:val="11"/>
        <w:tblW w:w="1521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1100"/>
        <w:gridCol w:w="1100"/>
        <w:gridCol w:w="920"/>
        <w:gridCol w:w="300"/>
        <w:gridCol w:w="885"/>
        <w:gridCol w:w="261"/>
        <w:gridCol w:w="129"/>
        <w:gridCol w:w="1276"/>
        <w:gridCol w:w="149"/>
        <w:gridCol w:w="1222"/>
        <w:gridCol w:w="2573"/>
        <w:gridCol w:w="172"/>
        <w:gridCol w:w="1178"/>
        <w:gridCol w:w="216"/>
        <w:gridCol w:w="1105"/>
        <w:gridCol w:w="15"/>
        <w:gridCol w:w="254"/>
        <w:gridCol w:w="21"/>
        <w:gridCol w:w="99"/>
        <w:gridCol w:w="21"/>
        <w:gridCol w:w="136"/>
        <w:gridCol w:w="218"/>
        <w:gridCol w:w="150"/>
        <w:gridCol w:w="75"/>
        <w:gridCol w:w="181"/>
        <w:gridCol w:w="704"/>
        <w:gridCol w:w="180"/>
        <w:gridCol w:w="570"/>
      </w:tblGrid>
      <w:tr w14:paraId="4F1BC3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5210" w:type="dxa"/>
            <w:gridSpan w:val="28"/>
            <w:tcBorders>
              <w:tl2br w:val="nil"/>
              <w:tr2bl w:val="nil"/>
            </w:tcBorders>
            <w:shd w:val="clear" w:color="auto" w:fill="auto"/>
            <w:vAlign w:val="center"/>
          </w:tcPr>
          <w:p w14:paraId="2C5A02C3">
            <w:pPr>
              <w:keepNext w:val="0"/>
              <w:keepLines w:val="0"/>
              <w:widowControl/>
              <w:suppressLineNumbers w:val="0"/>
              <w:ind w:left="-620" w:leftChars="-400" w:hanging="220" w:hangingChars="92"/>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br w:type="page"/>
            </w:r>
            <w:r>
              <w:rPr>
                <w:rFonts w:hint="eastAsia" w:ascii="宋体" w:hAnsi="宋体" w:eastAsia="宋体" w:cs="宋体"/>
                <w:b/>
                <w:bCs/>
                <w:i w:val="0"/>
                <w:iCs w:val="0"/>
                <w:color w:val="000000"/>
                <w:kern w:val="0"/>
                <w:sz w:val="24"/>
                <w:szCs w:val="24"/>
                <w:highlight w:val="none"/>
                <w:u w:val="none"/>
                <w:lang w:val="en-US" w:eastAsia="zh-CN" w:bidi="ar"/>
              </w:rPr>
              <w:t>2024年度部门整体绩效评价表</w:t>
            </w:r>
          </w:p>
        </w:tc>
      </w:tr>
      <w:tr w14:paraId="4141AE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 w:hRule="atLeast"/>
        </w:trPr>
        <w:tc>
          <w:tcPr>
            <w:tcW w:w="15210" w:type="dxa"/>
            <w:gridSpan w:val="28"/>
            <w:tcBorders>
              <w:tl2br w:val="nil"/>
              <w:tr2bl w:val="nil"/>
            </w:tcBorders>
            <w:shd w:val="clear" w:color="auto" w:fill="auto"/>
            <w:vAlign w:val="center"/>
          </w:tcPr>
          <w:p w14:paraId="2927DECB">
            <w:pPr>
              <w:keepNext w:val="0"/>
              <w:keepLines w:val="0"/>
              <w:widowControl/>
              <w:suppressLineNumbers w:val="0"/>
              <w:jc w:val="lef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一、当年预算执行情况（20分）</w:t>
            </w:r>
          </w:p>
        </w:tc>
      </w:tr>
      <w:tr w14:paraId="6E494E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1100" w:type="dxa"/>
            <w:tcBorders>
              <w:tl2br w:val="nil"/>
              <w:tr2bl w:val="nil"/>
            </w:tcBorders>
            <w:shd w:val="clear" w:color="auto" w:fill="auto"/>
            <w:vAlign w:val="center"/>
          </w:tcPr>
          <w:p w14:paraId="2645EAA9">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一级指标</w:t>
            </w:r>
          </w:p>
        </w:tc>
        <w:tc>
          <w:tcPr>
            <w:tcW w:w="1100" w:type="dxa"/>
            <w:tcBorders>
              <w:tl2br w:val="nil"/>
              <w:tr2bl w:val="nil"/>
            </w:tcBorders>
            <w:shd w:val="clear" w:color="auto" w:fill="auto"/>
            <w:vAlign w:val="center"/>
          </w:tcPr>
          <w:p w14:paraId="48789B2B">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二级指标</w:t>
            </w:r>
          </w:p>
        </w:tc>
        <w:tc>
          <w:tcPr>
            <w:tcW w:w="1220" w:type="dxa"/>
            <w:gridSpan w:val="2"/>
            <w:tcBorders>
              <w:tl2br w:val="nil"/>
              <w:tr2bl w:val="nil"/>
            </w:tcBorders>
            <w:shd w:val="clear" w:color="auto" w:fill="auto"/>
            <w:vAlign w:val="center"/>
          </w:tcPr>
          <w:p w14:paraId="13911E38">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三级指标</w:t>
            </w:r>
          </w:p>
        </w:tc>
        <w:tc>
          <w:tcPr>
            <w:tcW w:w="2700" w:type="dxa"/>
            <w:gridSpan w:val="5"/>
            <w:tcBorders>
              <w:tl2br w:val="nil"/>
              <w:tr2bl w:val="nil"/>
            </w:tcBorders>
            <w:shd w:val="clear" w:color="auto" w:fill="auto"/>
            <w:vAlign w:val="center"/>
          </w:tcPr>
          <w:p w14:paraId="6195C634">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指标解释</w:t>
            </w:r>
          </w:p>
        </w:tc>
        <w:tc>
          <w:tcPr>
            <w:tcW w:w="3795" w:type="dxa"/>
            <w:gridSpan w:val="2"/>
            <w:tcBorders>
              <w:tl2br w:val="nil"/>
              <w:tr2bl w:val="nil"/>
            </w:tcBorders>
            <w:shd w:val="clear" w:color="auto" w:fill="auto"/>
            <w:vAlign w:val="center"/>
          </w:tcPr>
          <w:p w14:paraId="53418206">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评分标准</w:t>
            </w:r>
          </w:p>
        </w:tc>
        <w:tc>
          <w:tcPr>
            <w:tcW w:w="1350" w:type="dxa"/>
            <w:gridSpan w:val="2"/>
            <w:tcBorders>
              <w:tl2br w:val="nil"/>
              <w:tr2bl w:val="nil"/>
            </w:tcBorders>
            <w:shd w:val="clear" w:color="auto" w:fill="auto"/>
            <w:vAlign w:val="center"/>
          </w:tcPr>
          <w:p w14:paraId="50049F75">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预算数（万元）</w:t>
            </w:r>
          </w:p>
        </w:tc>
        <w:tc>
          <w:tcPr>
            <w:tcW w:w="1336" w:type="dxa"/>
            <w:gridSpan w:val="3"/>
            <w:tcBorders>
              <w:tl2br w:val="nil"/>
              <w:tr2bl w:val="nil"/>
            </w:tcBorders>
            <w:shd w:val="clear" w:color="auto" w:fill="auto"/>
            <w:vAlign w:val="center"/>
          </w:tcPr>
          <w:p w14:paraId="31AC4465">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执行数（万元）</w:t>
            </w:r>
          </w:p>
        </w:tc>
        <w:tc>
          <w:tcPr>
            <w:tcW w:w="749" w:type="dxa"/>
            <w:gridSpan w:val="6"/>
            <w:tcBorders>
              <w:tl2br w:val="nil"/>
              <w:tr2bl w:val="nil"/>
            </w:tcBorders>
            <w:shd w:val="clear" w:color="auto" w:fill="auto"/>
            <w:vAlign w:val="center"/>
          </w:tcPr>
          <w:p w14:paraId="638CA424">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1110" w:type="dxa"/>
            <w:gridSpan w:val="4"/>
            <w:tcBorders>
              <w:tl2br w:val="nil"/>
              <w:tr2bl w:val="nil"/>
            </w:tcBorders>
            <w:shd w:val="clear" w:color="auto" w:fill="auto"/>
            <w:vAlign w:val="center"/>
          </w:tcPr>
          <w:p w14:paraId="5EDF01D6">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得分率</w:t>
            </w:r>
          </w:p>
        </w:tc>
        <w:tc>
          <w:tcPr>
            <w:tcW w:w="750" w:type="dxa"/>
            <w:gridSpan w:val="2"/>
            <w:tcBorders>
              <w:tl2br w:val="nil"/>
              <w:tr2bl w:val="nil"/>
            </w:tcBorders>
            <w:shd w:val="clear" w:color="auto" w:fill="auto"/>
            <w:vAlign w:val="center"/>
          </w:tcPr>
          <w:p w14:paraId="03DE9780">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r>
      <w:tr w14:paraId="62D48A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081" w:hRule="atLeast"/>
        </w:trPr>
        <w:tc>
          <w:tcPr>
            <w:tcW w:w="1100" w:type="dxa"/>
            <w:vMerge w:val="restart"/>
            <w:tcBorders>
              <w:tl2br w:val="nil"/>
              <w:tr2bl w:val="nil"/>
            </w:tcBorders>
            <w:shd w:val="clear" w:color="auto" w:fill="auto"/>
            <w:vAlign w:val="center"/>
          </w:tcPr>
          <w:p w14:paraId="375C3CA0">
            <w:pPr>
              <w:keepNext w:val="0"/>
              <w:keepLines w:val="0"/>
              <w:widowControl/>
              <w:suppressLineNumbers w:val="0"/>
              <w:jc w:val="both"/>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当年预算执行情况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（20分）</w:t>
            </w:r>
          </w:p>
        </w:tc>
        <w:tc>
          <w:tcPr>
            <w:tcW w:w="1100" w:type="dxa"/>
            <w:vMerge w:val="restart"/>
            <w:tcBorders>
              <w:tl2br w:val="nil"/>
              <w:tr2bl w:val="nil"/>
            </w:tcBorders>
            <w:shd w:val="clear" w:color="auto" w:fill="auto"/>
            <w:vAlign w:val="center"/>
          </w:tcPr>
          <w:p w14:paraId="40BA24E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当年预算执行情况（20）</w:t>
            </w:r>
          </w:p>
        </w:tc>
        <w:tc>
          <w:tcPr>
            <w:tcW w:w="1220" w:type="dxa"/>
            <w:gridSpan w:val="2"/>
            <w:tcBorders>
              <w:tl2br w:val="nil"/>
              <w:tr2bl w:val="nil"/>
            </w:tcBorders>
            <w:shd w:val="clear" w:color="auto" w:fill="auto"/>
            <w:vAlign w:val="center"/>
          </w:tcPr>
          <w:p w14:paraId="7498866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资金总体</w:t>
            </w:r>
          </w:p>
        </w:tc>
        <w:tc>
          <w:tcPr>
            <w:tcW w:w="2700" w:type="dxa"/>
            <w:gridSpan w:val="5"/>
            <w:vMerge w:val="restart"/>
            <w:tcBorders>
              <w:tl2br w:val="nil"/>
              <w:tr2bl w:val="nil"/>
            </w:tcBorders>
            <w:shd w:val="clear" w:color="auto" w:fill="auto"/>
            <w:vAlign w:val="center"/>
          </w:tcPr>
          <w:p w14:paraId="0DEE80E0">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部门全年执行数与全年预算数的比率。资金总体=基本支出+项目支出+其他</w:t>
            </w:r>
          </w:p>
        </w:tc>
        <w:tc>
          <w:tcPr>
            <w:tcW w:w="3795" w:type="dxa"/>
            <w:gridSpan w:val="2"/>
            <w:vMerge w:val="restart"/>
            <w:tcBorders>
              <w:tl2br w:val="nil"/>
              <w:tr2bl w:val="nil"/>
            </w:tcBorders>
            <w:shd w:val="clear" w:color="auto" w:fill="auto"/>
            <w:vAlign w:val="center"/>
          </w:tcPr>
          <w:p w14:paraId="14B9E9BC">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①得分一档最高不能超过该指标分值上限（20分）。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②该指标若为正向指标，得分计算方法为：执行数/预算数*20；</w:t>
            </w:r>
          </w:p>
          <w:p w14:paraId="41961B26">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③该指标得分计算资金总体即可，分类支出填写预算数及执行数，无需计算分项执行率；</w:t>
            </w:r>
          </w:p>
          <w:p w14:paraId="7EFFE280">
            <w:pPr>
              <w:keepNext w:val="0"/>
              <w:keepLines w:val="0"/>
              <w:widowControl/>
              <w:suppressLineNumbers w:val="0"/>
              <w:jc w:val="left"/>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④若由于年初预算数编制不准确导致执行率过高，在200%-300%（含200%）区间，则按照该指标分值的10%扣分，计算得分率在300%-500%（含300%）区间，则按照该指标分值的20%扣分，计算得分率高于500%（含500%），则按照该指标分值的30%扣分。</w:t>
            </w:r>
          </w:p>
        </w:tc>
        <w:tc>
          <w:tcPr>
            <w:tcW w:w="1350" w:type="dxa"/>
            <w:gridSpan w:val="2"/>
            <w:tcBorders>
              <w:tl2br w:val="nil"/>
              <w:tr2bl w:val="nil"/>
            </w:tcBorders>
            <w:shd w:val="clear" w:color="auto" w:fill="auto"/>
            <w:vAlign w:val="center"/>
          </w:tcPr>
          <w:p w14:paraId="3016BD8C">
            <w:pPr>
              <w:ind w:left="0" w:leftChars="0"/>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19229.23</w:t>
            </w:r>
          </w:p>
        </w:tc>
        <w:tc>
          <w:tcPr>
            <w:tcW w:w="1336" w:type="dxa"/>
            <w:gridSpan w:val="3"/>
            <w:tcBorders>
              <w:tl2br w:val="nil"/>
              <w:tr2bl w:val="nil"/>
            </w:tcBorders>
            <w:shd w:val="clear" w:color="auto" w:fill="auto"/>
            <w:vAlign w:val="center"/>
          </w:tcPr>
          <w:p w14:paraId="5CDEEAAF">
            <w:pPr>
              <w:ind w:left="0" w:leftChars="0"/>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18819.31</w:t>
            </w:r>
          </w:p>
        </w:tc>
        <w:tc>
          <w:tcPr>
            <w:tcW w:w="749" w:type="dxa"/>
            <w:gridSpan w:val="6"/>
            <w:vMerge w:val="restart"/>
            <w:tcBorders>
              <w:tl2br w:val="nil"/>
              <w:tr2bl w:val="nil"/>
            </w:tcBorders>
            <w:shd w:val="clear" w:color="auto" w:fill="auto"/>
            <w:vAlign w:val="center"/>
          </w:tcPr>
          <w:p w14:paraId="2DC04C7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110" w:type="dxa"/>
            <w:gridSpan w:val="4"/>
            <w:tcBorders>
              <w:tl2br w:val="nil"/>
              <w:tr2bl w:val="nil"/>
            </w:tcBorders>
            <w:shd w:val="clear" w:color="auto" w:fill="auto"/>
            <w:vAlign w:val="center"/>
          </w:tcPr>
          <w:p w14:paraId="09C00CD7">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97.87%</w:t>
            </w:r>
          </w:p>
        </w:tc>
        <w:tc>
          <w:tcPr>
            <w:tcW w:w="750" w:type="dxa"/>
            <w:gridSpan w:val="2"/>
            <w:vMerge w:val="restart"/>
            <w:tcBorders>
              <w:tl2br w:val="nil"/>
              <w:tr2bl w:val="nil"/>
            </w:tcBorders>
            <w:shd w:val="clear" w:color="auto" w:fill="auto"/>
            <w:vAlign w:val="center"/>
          </w:tcPr>
          <w:p w14:paraId="45E6D9E0">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19.56</w:t>
            </w:r>
          </w:p>
        </w:tc>
      </w:tr>
      <w:tr w14:paraId="3911A3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232" w:hRule="atLeast"/>
        </w:trPr>
        <w:tc>
          <w:tcPr>
            <w:tcW w:w="1100" w:type="dxa"/>
            <w:vMerge w:val="continue"/>
            <w:tcBorders>
              <w:tl2br w:val="nil"/>
              <w:tr2bl w:val="nil"/>
            </w:tcBorders>
            <w:shd w:val="clear" w:color="auto" w:fill="auto"/>
            <w:vAlign w:val="center"/>
          </w:tcPr>
          <w:p w14:paraId="0EF1B94E">
            <w:pPr>
              <w:jc w:val="center"/>
              <w:rPr>
                <w:rFonts w:hint="eastAsia" w:ascii="宋体" w:hAnsi="宋体" w:eastAsia="宋体" w:cs="宋体"/>
                <w:i w:val="0"/>
                <w:iCs w:val="0"/>
                <w:color w:val="000000"/>
                <w:sz w:val="21"/>
                <w:szCs w:val="21"/>
                <w:highlight w:val="none"/>
                <w:u w:val="none"/>
              </w:rPr>
            </w:pPr>
          </w:p>
        </w:tc>
        <w:tc>
          <w:tcPr>
            <w:tcW w:w="1100" w:type="dxa"/>
            <w:vMerge w:val="continue"/>
            <w:tcBorders>
              <w:tl2br w:val="nil"/>
              <w:tr2bl w:val="nil"/>
            </w:tcBorders>
            <w:shd w:val="clear" w:color="auto" w:fill="auto"/>
            <w:vAlign w:val="center"/>
          </w:tcPr>
          <w:p w14:paraId="042337B0">
            <w:pPr>
              <w:jc w:val="center"/>
              <w:rPr>
                <w:rFonts w:hint="eastAsia" w:ascii="宋体" w:hAnsi="宋体" w:eastAsia="宋体" w:cs="宋体"/>
                <w:i w:val="0"/>
                <w:iCs w:val="0"/>
                <w:color w:val="000000"/>
                <w:sz w:val="21"/>
                <w:szCs w:val="21"/>
                <w:highlight w:val="none"/>
                <w:u w:val="none"/>
              </w:rPr>
            </w:pPr>
          </w:p>
        </w:tc>
        <w:tc>
          <w:tcPr>
            <w:tcW w:w="1220" w:type="dxa"/>
            <w:gridSpan w:val="2"/>
            <w:tcBorders>
              <w:tl2br w:val="nil"/>
              <w:tr2bl w:val="nil"/>
            </w:tcBorders>
            <w:shd w:val="clear" w:color="auto" w:fill="auto"/>
            <w:vAlign w:val="center"/>
          </w:tcPr>
          <w:p w14:paraId="1160F87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基本支出</w:t>
            </w:r>
          </w:p>
        </w:tc>
        <w:tc>
          <w:tcPr>
            <w:tcW w:w="2700" w:type="dxa"/>
            <w:gridSpan w:val="5"/>
            <w:vMerge w:val="continue"/>
            <w:tcBorders>
              <w:tl2br w:val="nil"/>
              <w:tr2bl w:val="nil"/>
            </w:tcBorders>
            <w:shd w:val="clear" w:color="auto" w:fill="auto"/>
            <w:vAlign w:val="center"/>
          </w:tcPr>
          <w:p w14:paraId="5D60671D">
            <w:pPr>
              <w:jc w:val="left"/>
              <w:rPr>
                <w:rFonts w:hint="eastAsia" w:ascii="宋体" w:hAnsi="宋体" w:eastAsia="宋体" w:cs="宋体"/>
                <w:i w:val="0"/>
                <w:iCs w:val="0"/>
                <w:color w:val="000000"/>
                <w:sz w:val="21"/>
                <w:szCs w:val="21"/>
                <w:highlight w:val="none"/>
                <w:u w:val="none"/>
              </w:rPr>
            </w:pPr>
          </w:p>
        </w:tc>
        <w:tc>
          <w:tcPr>
            <w:tcW w:w="3795" w:type="dxa"/>
            <w:gridSpan w:val="2"/>
            <w:vMerge w:val="continue"/>
            <w:tcBorders>
              <w:tl2br w:val="nil"/>
              <w:tr2bl w:val="nil"/>
            </w:tcBorders>
            <w:shd w:val="clear" w:color="auto" w:fill="auto"/>
            <w:vAlign w:val="center"/>
          </w:tcPr>
          <w:p w14:paraId="030E8589">
            <w:pPr>
              <w:jc w:val="left"/>
              <w:rPr>
                <w:rFonts w:hint="eastAsia" w:ascii="宋体" w:hAnsi="宋体" w:eastAsia="宋体" w:cs="宋体"/>
                <w:i w:val="0"/>
                <w:iCs w:val="0"/>
                <w:color w:val="000000"/>
                <w:sz w:val="21"/>
                <w:szCs w:val="21"/>
                <w:highlight w:val="none"/>
                <w:u w:val="none"/>
              </w:rPr>
            </w:pPr>
          </w:p>
        </w:tc>
        <w:tc>
          <w:tcPr>
            <w:tcW w:w="1350" w:type="dxa"/>
            <w:gridSpan w:val="2"/>
            <w:tcBorders>
              <w:tl2br w:val="nil"/>
              <w:tr2bl w:val="nil"/>
            </w:tcBorders>
            <w:shd w:val="clear" w:color="auto" w:fill="auto"/>
            <w:vAlign w:val="center"/>
          </w:tcPr>
          <w:p w14:paraId="266D4FE0">
            <w:pPr>
              <w:ind w:left="0" w:leftChars="0"/>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1675.15</w:t>
            </w:r>
          </w:p>
        </w:tc>
        <w:tc>
          <w:tcPr>
            <w:tcW w:w="1336" w:type="dxa"/>
            <w:gridSpan w:val="3"/>
            <w:tcBorders>
              <w:tl2br w:val="nil"/>
              <w:tr2bl w:val="nil"/>
            </w:tcBorders>
            <w:shd w:val="clear" w:color="auto" w:fill="auto"/>
            <w:vAlign w:val="center"/>
          </w:tcPr>
          <w:p w14:paraId="5B541F9A">
            <w:pPr>
              <w:ind w:left="0" w:leftChars="0"/>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1657.33</w:t>
            </w:r>
          </w:p>
        </w:tc>
        <w:tc>
          <w:tcPr>
            <w:tcW w:w="749" w:type="dxa"/>
            <w:gridSpan w:val="6"/>
            <w:vMerge w:val="continue"/>
            <w:tcBorders>
              <w:tl2br w:val="nil"/>
              <w:tr2bl w:val="nil"/>
            </w:tcBorders>
            <w:shd w:val="clear" w:color="auto" w:fill="auto"/>
            <w:vAlign w:val="center"/>
          </w:tcPr>
          <w:p w14:paraId="55B0FAC5">
            <w:pPr>
              <w:jc w:val="center"/>
              <w:rPr>
                <w:rFonts w:hint="eastAsia" w:ascii="宋体" w:hAnsi="宋体" w:eastAsia="宋体" w:cs="宋体"/>
                <w:i w:val="0"/>
                <w:iCs w:val="0"/>
                <w:color w:val="000000"/>
                <w:sz w:val="21"/>
                <w:szCs w:val="21"/>
                <w:highlight w:val="none"/>
                <w:u w:val="none"/>
              </w:rPr>
            </w:pPr>
          </w:p>
        </w:tc>
        <w:tc>
          <w:tcPr>
            <w:tcW w:w="1110" w:type="dxa"/>
            <w:gridSpan w:val="4"/>
            <w:vMerge w:val="restart"/>
            <w:tcBorders>
              <w:tl2br w:val="nil"/>
              <w:tr2bl w:val="nil"/>
            </w:tcBorders>
            <w:shd w:val="clear" w:color="auto" w:fill="auto"/>
            <w:vAlign w:val="center"/>
          </w:tcPr>
          <w:p w14:paraId="4BB70065">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kern w:val="0"/>
                <w:sz w:val="21"/>
                <w:szCs w:val="21"/>
                <w:highlight w:val="none"/>
                <w:u w:val="none"/>
                <w:lang w:val="en-US" w:eastAsia="zh-CN" w:bidi="ar"/>
              </w:rPr>
              <w:t>——</w:t>
            </w:r>
          </w:p>
        </w:tc>
        <w:tc>
          <w:tcPr>
            <w:tcW w:w="750" w:type="dxa"/>
            <w:gridSpan w:val="2"/>
            <w:vMerge w:val="continue"/>
            <w:tcBorders>
              <w:tl2br w:val="nil"/>
              <w:tr2bl w:val="nil"/>
            </w:tcBorders>
            <w:shd w:val="clear" w:color="auto" w:fill="auto"/>
            <w:vAlign w:val="center"/>
          </w:tcPr>
          <w:p w14:paraId="328AEBC2">
            <w:pPr>
              <w:jc w:val="center"/>
              <w:rPr>
                <w:rFonts w:hint="eastAsia" w:ascii="宋体" w:hAnsi="宋体" w:eastAsia="宋体" w:cs="宋体"/>
                <w:i w:val="0"/>
                <w:iCs w:val="0"/>
                <w:color w:val="000000"/>
                <w:sz w:val="21"/>
                <w:szCs w:val="21"/>
                <w:highlight w:val="none"/>
                <w:u w:val="none"/>
              </w:rPr>
            </w:pPr>
          </w:p>
        </w:tc>
      </w:tr>
      <w:tr w14:paraId="2FD5AB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316" w:hRule="atLeast"/>
        </w:trPr>
        <w:tc>
          <w:tcPr>
            <w:tcW w:w="1100" w:type="dxa"/>
            <w:vMerge w:val="continue"/>
            <w:tcBorders>
              <w:tl2br w:val="nil"/>
              <w:tr2bl w:val="nil"/>
            </w:tcBorders>
            <w:shd w:val="clear" w:color="auto" w:fill="auto"/>
            <w:vAlign w:val="center"/>
          </w:tcPr>
          <w:p w14:paraId="07D7B9E3">
            <w:pPr>
              <w:jc w:val="center"/>
              <w:rPr>
                <w:rFonts w:hint="eastAsia" w:ascii="宋体" w:hAnsi="宋体" w:eastAsia="宋体" w:cs="宋体"/>
                <w:i w:val="0"/>
                <w:iCs w:val="0"/>
                <w:color w:val="000000"/>
                <w:sz w:val="21"/>
                <w:szCs w:val="21"/>
                <w:highlight w:val="none"/>
                <w:u w:val="none"/>
              </w:rPr>
            </w:pPr>
          </w:p>
        </w:tc>
        <w:tc>
          <w:tcPr>
            <w:tcW w:w="1100" w:type="dxa"/>
            <w:vMerge w:val="continue"/>
            <w:tcBorders>
              <w:tl2br w:val="nil"/>
              <w:tr2bl w:val="nil"/>
            </w:tcBorders>
            <w:shd w:val="clear" w:color="auto" w:fill="auto"/>
            <w:vAlign w:val="center"/>
          </w:tcPr>
          <w:p w14:paraId="1D249714">
            <w:pPr>
              <w:jc w:val="center"/>
              <w:rPr>
                <w:rFonts w:hint="eastAsia" w:ascii="宋体" w:hAnsi="宋体" w:eastAsia="宋体" w:cs="宋体"/>
                <w:i w:val="0"/>
                <w:iCs w:val="0"/>
                <w:color w:val="000000"/>
                <w:sz w:val="21"/>
                <w:szCs w:val="21"/>
                <w:highlight w:val="none"/>
                <w:u w:val="none"/>
              </w:rPr>
            </w:pPr>
          </w:p>
        </w:tc>
        <w:tc>
          <w:tcPr>
            <w:tcW w:w="1220" w:type="dxa"/>
            <w:gridSpan w:val="2"/>
            <w:tcBorders>
              <w:tl2br w:val="nil"/>
              <w:tr2bl w:val="nil"/>
            </w:tcBorders>
            <w:shd w:val="clear" w:color="auto" w:fill="auto"/>
            <w:vAlign w:val="center"/>
          </w:tcPr>
          <w:p w14:paraId="09A25B5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项目支出</w:t>
            </w:r>
          </w:p>
        </w:tc>
        <w:tc>
          <w:tcPr>
            <w:tcW w:w="2700" w:type="dxa"/>
            <w:gridSpan w:val="5"/>
            <w:vMerge w:val="continue"/>
            <w:tcBorders>
              <w:tl2br w:val="nil"/>
              <w:tr2bl w:val="nil"/>
            </w:tcBorders>
            <w:shd w:val="clear" w:color="auto" w:fill="auto"/>
            <w:vAlign w:val="center"/>
          </w:tcPr>
          <w:p w14:paraId="15A762B6">
            <w:pPr>
              <w:jc w:val="left"/>
              <w:rPr>
                <w:rFonts w:hint="eastAsia" w:ascii="宋体" w:hAnsi="宋体" w:eastAsia="宋体" w:cs="宋体"/>
                <w:i w:val="0"/>
                <w:iCs w:val="0"/>
                <w:color w:val="000000"/>
                <w:sz w:val="21"/>
                <w:szCs w:val="21"/>
                <w:highlight w:val="none"/>
                <w:u w:val="none"/>
              </w:rPr>
            </w:pPr>
          </w:p>
        </w:tc>
        <w:tc>
          <w:tcPr>
            <w:tcW w:w="3795" w:type="dxa"/>
            <w:gridSpan w:val="2"/>
            <w:vMerge w:val="continue"/>
            <w:tcBorders>
              <w:tl2br w:val="nil"/>
              <w:tr2bl w:val="nil"/>
            </w:tcBorders>
            <w:shd w:val="clear" w:color="auto" w:fill="auto"/>
            <w:vAlign w:val="center"/>
          </w:tcPr>
          <w:p w14:paraId="439B79C7">
            <w:pPr>
              <w:jc w:val="left"/>
              <w:rPr>
                <w:rFonts w:hint="eastAsia" w:ascii="宋体" w:hAnsi="宋体" w:eastAsia="宋体" w:cs="宋体"/>
                <w:i w:val="0"/>
                <w:iCs w:val="0"/>
                <w:color w:val="000000"/>
                <w:sz w:val="21"/>
                <w:szCs w:val="21"/>
                <w:highlight w:val="none"/>
                <w:u w:val="none"/>
              </w:rPr>
            </w:pPr>
          </w:p>
        </w:tc>
        <w:tc>
          <w:tcPr>
            <w:tcW w:w="1350" w:type="dxa"/>
            <w:gridSpan w:val="2"/>
            <w:tcBorders>
              <w:tl2br w:val="nil"/>
              <w:tr2bl w:val="nil"/>
            </w:tcBorders>
            <w:shd w:val="clear" w:color="auto" w:fill="auto"/>
            <w:vAlign w:val="center"/>
          </w:tcPr>
          <w:p w14:paraId="4BA91896">
            <w:pPr>
              <w:ind w:left="0" w:leftChars="0"/>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17554.08</w:t>
            </w:r>
          </w:p>
        </w:tc>
        <w:tc>
          <w:tcPr>
            <w:tcW w:w="1336" w:type="dxa"/>
            <w:gridSpan w:val="3"/>
            <w:tcBorders>
              <w:tl2br w:val="nil"/>
              <w:tr2bl w:val="nil"/>
            </w:tcBorders>
            <w:shd w:val="clear" w:color="auto" w:fill="auto"/>
            <w:vAlign w:val="center"/>
          </w:tcPr>
          <w:p w14:paraId="617B040C">
            <w:pPr>
              <w:ind w:left="0" w:leftChars="0"/>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rPr>
              <w:t>17161.9</w:t>
            </w:r>
            <w:r>
              <w:rPr>
                <w:rFonts w:hint="eastAsia" w:ascii="宋体" w:hAnsi="宋体" w:eastAsia="宋体" w:cs="宋体"/>
                <w:i w:val="0"/>
                <w:iCs w:val="0"/>
                <w:color w:val="000000"/>
                <w:sz w:val="21"/>
                <w:szCs w:val="21"/>
                <w:highlight w:val="none"/>
                <w:u w:val="none"/>
                <w:lang w:val="en-US" w:eastAsia="zh-CN"/>
              </w:rPr>
              <w:t>8</w:t>
            </w:r>
          </w:p>
        </w:tc>
        <w:tc>
          <w:tcPr>
            <w:tcW w:w="749" w:type="dxa"/>
            <w:gridSpan w:val="6"/>
            <w:vMerge w:val="continue"/>
            <w:tcBorders>
              <w:tl2br w:val="nil"/>
              <w:tr2bl w:val="nil"/>
            </w:tcBorders>
            <w:shd w:val="clear" w:color="auto" w:fill="auto"/>
            <w:vAlign w:val="center"/>
          </w:tcPr>
          <w:p w14:paraId="73DECC63">
            <w:pPr>
              <w:jc w:val="center"/>
              <w:rPr>
                <w:rFonts w:hint="eastAsia" w:ascii="宋体" w:hAnsi="宋体" w:eastAsia="宋体" w:cs="宋体"/>
                <w:i w:val="0"/>
                <w:iCs w:val="0"/>
                <w:color w:val="000000"/>
                <w:sz w:val="21"/>
                <w:szCs w:val="21"/>
                <w:highlight w:val="none"/>
                <w:u w:val="none"/>
              </w:rPr>
            </w:pPr>
          </w:p>
        </w:tc>
        <w:tc>
          <w:tcPr>
            <w:tcW w:w="1110" w:type="dxa"/>
            <w:gridSpan w:val="4"/>
            <w:vMerge w:val="continue"/>
            <w:tcBorders>
              <w:tl2br w:val="nil"/>
              <w:tr2bl w:val="nil"/>
            </w:tcBorders>
            <w:shd w:val="clear" w:color="auto" w:fill="auto"/>
            <w:vAlign w:val="center"/>
          </w:tcPr>
          <w:p w14:paraId="5848219A">
            <w:pPr>
              <w:jc w:val="center"/>
              <w:rPr>
                <w:rFonts w:hint="eastAsia" w:ascii="宋体" w:hAnsi="宋体" w:eastAsia="宋体" w:cs="宋体"/>
                <w:i w:val="0"/>
                <w:iCs w:val="0"/>
                <w:color w:val="000000"/>
                <w:sz w:val="21"/>
                <w:szCs w:val="21"/>
                <w:highlight w:val="none"/>
                <w:u w:val="none"/>
              </w:rPr>
            </w:pPr>
          </w:p>
        </w:tc>
        <w:tc>
          <w:tcPr>
            <w:tcW w:w="750" w:type="dxa"/>
            <w:gridSpan w:val="2"/>
            <w:vMerge w:val="continue"/>
            <w:tcBorders>
              <w:tl2br w:val="nil"/>
              <w:tr2bl w:val="nil"/>
            </w:tcBorders>
            <w:shd w:val="clear" w:color="auto" w:fill="auto"/>
            <w:vAlign w:val="center"/>
          </w:tcPr>
          <w:p w14:paraId="07A36AAB">
            <w:pPr>
              <w:jc w:val="center"/>
              <w:rPr>
                <w:rFonts w:hint="eastAsia" w:ascii="宋体" w:hAnsi="宋体" w:eastAsia="宋体" w:cs="宋体"/>
                <w:i w:val="0"/>
                <w:iCs w:val="0"/>
                <w:color w:val="000000"/>
                <w:sz w:val="21"/>
                <w:szCs w:val="21"/>
                <w:highlight w:val="none"/>
                <w:u w:val="none"/>
              </w:rPr>
            </w:pPr>
          </w:p>
        </w:tc>
      </w:tr>
      <w:tr w14:paraId="2AD461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284" w:hRule="atLeast"/>
        </w:trPr>
        <w:tc>
          <w:tcPr>
            <w:tcW w:w="1100" w:type="dxa"/>
            <w:vMerge w:val="continue"/>
            <w:tcBorders>
              <w:tl2br w:val="nil"/>
              <w:tr2bl w:val="nil"/>
            </w:tcBorders>
            <w:shd w:val="clear" w:color="auto" w:fill="auto"/>
            <w:vAlign w:val="center"/>
          </w:tcPr>
          <w:p w14:paraId="177240A6">
            <w:pPr>
              <w:jc w:val="center"/>
              <w:rPr>
                <w:rFonts w:hint="eastAsia" w:ascii="宋体" w:hAnsi="宋体" w:eastAsia="宋体" w:cs="宋体"/>
                <w:i w:val="0"/>
                <w:iCs w:val="0"/>
                <w:color w:val="000000"/>
                <w:sz w:val="21"/>
                <w:szCs w:val="21"/>
                <w:highlight w:val="none"/>
                <w:u w:val="none"/>
              </w:rPr>
            </w:pPr>
          </w:p>
        </w:tc>
        <w:tc>
          <w:tcPr>
            <w:tcW w:w="1100" w:type="dxa"/>
            <w:vMerge w:val="continue"/>
            <w:tcBorders>
              <w:tl2br w:val="nil"/>
              <w:tr2bl w:val="nil"/>
            </w:tcBorders>
            <w:shd w:val="clear" w:color="auto" w:fill="auto"/>
            <w:vAlign w:val="center"/>
          </w:tcPr>
          <w:p w14:paraId="7CC572A2">
            <w:pPr>
              <w:jc w:val="center"/>
              <w:rPr>
                <w:rFonts w:hint="eastAsia" w:ascii="宋体" w:hAnsi="宋体" w:eastAsia="宋体" w:cs="宋体"/>
                <w:i w:val="0"/>
                <w:iCs w:val="0"/>
                <w:color w:val="000000"/>
                <w:sz w:val="21"/>
                <w:szCs w:val="21"/>
                <w:highlight w:val="none"/>
                <w:u w:val="none"/>
              </w:rPr>
            </w:pPr>
          </w:p>
        </w:tc>
        <w:tc>
          <w:tcPr>
            <w:tcW w:w="1220" w:type="dxa"/>
            <w:gridSpan w:val="2"/>
            <w:tcBorders>
              <w:tl2br w:val="nil"/>
              <w:tr2bl w:val="nil"/>
            </w:tcBorders>
            <w:shd w:val="clear" w:color="auto" w:fill="auto"/>
            <w:vAlign w:val="center"/>
          </w:tcPr>
          <w:p w14:paraId="54A4AFD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其他</w:t>
            </w:r>
          </w:p>
        </w:tc>
        <w:tc>
          <w:tcPr>
            <w:tcW w:w="2700" w:type="dxa"/>
            <w:gridSpan w:val="5"/>
            <w:vMerge w:val="continue"/>
            <w:tcBorders>
              <w:tl2br w:val="nil"/>
              <w:tr2bl w:val="nil"/>
            </w:tcBorders>
            <w:shd w:val="clear" w:color="auto" w:fill="auto"/>
            <w:vAlign w:val="center"/>
          </w:tcPr>
          <w:p w14:paraId="3AA42938">
            <w:pPr>
              <w:jc w:val="left"/>
              <w:rPr>
                <w:rFonts w:hint="eastAsia" w:ascii="宋体" w:hAnsi="宋体" w:eastAsia="宋体" w:cs="宋体"/>
                <w:i w:val="0"/>
                <w:iCs w:val="0"/>
                <w:color w:val="000000"/>
                <w:sz w:val="21"/>
                <w:szCs w:val="21"/>
                <w:highlight w:val="none"/>
                <w:u w:val="none"/>
              </w:rPr>
            </w:pPr>
          </w:p>
        </w:tc>
        <w:tc>
          <w:tcPr>
            <w:tcW w:w="3795" w:type="dxa"/>
            <w:gridSpan w:val="2"/>
            <w:vMerge w:val="continue"/>
            <w:tcBorders>
              <w:tl2br w:val="nil"/>
              <w:tr2bl w:val="nil"/>
            </w:tcBorders>
            <w:shd w:val="clear" w:color="auto" w:fill="auto"/>
            <w:vAlign w:val="center"/>
          </w:tcPr>
          <w:p w14:paraId="1EC5CBC4">
            <w:pPr>
              <w:jc w:val="left"/>
              <w:rPr>
                <w:rFonts w:hint="eastAsia" w:ascii="宋体" w:hAnsi="宋体" w:eastAsia="宋体" w:cs="宋体"/>
                <w:i w:val="0"/>
                <w:iCs w:val="0"/>
                <w:color w:val="000000"/>
                <w:sz w:val="21"/>
                <w:szCs w:val="21"/>
                <w:highlight w:val="none"/>
                <w:u w:val="none"/>
              </w:rPr>
            </w:pPr>
          </w:p>
        </w:tc>
        <w:tc>
          <w:tcPr>
            <w:tcW w:w="1350" w:type="dxa"/>
            <w:gridSpan w:val="2"/>
            <w:tcBorders>
              <w:tl2br w:val="nil"/>
              <w:tr2bl w:val="nil"/>
            </w:tcBorders>
            <w:shd w:val="clear" w:color="auto" w:fill="auto"/>
            <w:vAlign w:val="center"/>
          </w:tcPr>
          <w:p w14:paraId="1E82F54E">
            <w:pPr>
              <w:jc w:val="center"/>
              <w:rPr>
                <w:rFonts w:hint="eastAsia"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val="en-US" w:eastAsia="zh-CN"/>
              </w:rPr>
              <w:t>0</w:t>
            </w:r>
          </w:p>
        </w:tc>
        <w:tc>
          <w:tcPr>
            <w:tcW w:w="1336" w:type="dxa"/>
            <w:gridSpan w:val="3"/>
            <w:tcBorders>
              <w:tl2br w:val="nil"/>
              <w:tr2bl w:val="nil"/>
            </w:tcBorders>
            <w:shd w:val="clear" w:color="auto" w:fill="auto"/>
            <w:vAlign w:val="center"/>
          </w:tcPr>
          <w:p w14:paraId="5D3B27CA">
            <w:pPr>
              <w:jc w:val="center"/>
              <w:rPr>
                <w:rFonts w:hint="eastAsia"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val="en-US" w:eastAsia="zh-CN"/>
              </w:rPr>
              <w:t>0</w:t>
            </w:r>
          </w:p>
        </w:tc>
        <w:tc>
          <w:tcPr>
            <w:tcW w:w="749" w:type="dxa"/>
            <w:gridSpan w:val="6"/>
            <w:vMerge w:val="continue"/>
            <w:tcBorders>
              <w:tl2br w:val="nil"/>
              <w:tr2bl w:val="nil"/>
            </w:tcBorders>
            <w:shd w:val="clear" w:color="auto" w:fill="auto"/>
            <w:vAlign w:val="center"/>
          </w:tcPr>
          <w:p w14:paraId="3067457F">
            <w:pPr>
              <w:jc w:val="center"/>
              <w:rPr>
                <w:rFonts w:hint="eastAsia" w:ascii="宋体" w:hAnsi="宋体" w:eastAsia="宋体" w:cs="宋体"/>
                <w:i w:val="0"/>
                <w:iCs w:val="0"/>
                <w:color w:val="000000"/>
                <w:sz w:val="21"/>
                <w:szCs w:val="21"/>
                <w:highlight w:val="none"/>
                <w:u w:val="none"/>
              </w:rPr>
            </w:pPr>
          </w:p>
        </w:tc>
        <w:tc>
          <w:tcPr>
            <w:tcW w:w="1110" w:type="dxa"/>
            <w:gridSpan w:val="4"/>
            <w:vMerge w:val="continue"/>
            <w:tcBorders>
              <w:tl2br w:val="nil"/>
              <w:tr2bl w:val="nil"/>
            </w:tcBorders>
            <w:shd w:val="clear" w:color="auto" w:fill="auto"/>
            <w:vAlign w:val="center"/>
          </w:tcPr>
          <w:p w14:paraId="246F0293">
            <w:pPr>
              <w:jc w:val="center"/>
              <w:rPr>
                <w:rFonts w:hint="eastAsia" w:ascii="宋体" w:hAnsi="宋体" w:eastAsia="宋体" w:cs="宋体"/>
                <w:i w:val="0"/>
                <w:iCs w:val="0"/>
                <w:color w:val="000000"/>
                <w:sz w:val="21"/>
                <w:szCs w:val="21"/>
                <w:highlight w:val="none"/>
                <w:u w:val="none"/>
              </w:rPr>
            </w:pPr>
          </w:p>
        </w:tc>
        <w:tc>
          <w:tcPr>
            <w:tcW w:w="750" w:type="dxa"/>
            <w:gridSpan w:val="2"/>
            <w:vMerge w:val="continue"/>
            <w:tcBorders>
              <w:tl2br w:val="nil"/>
              <w:tr2bl w:val="nil"/>
            </w:tcBorders>
            <w:shd w:val="clear" w:color="auto" w:fill="auto"/>
            <w:vAlign w:val="center"/>
          </w:tcPr>
          <w:p w14:paraId="33D3C681">
            <w:pPr>
              <w:jc w:val="center"/>
              <w:rPr>
                <w:rFonts w:hint="eastAsia" w:ascii="宋体" w:hAnsi="宋体" w:eastAsia="宋体" w:cs="宋体"/>
                <w:i w:val="0"/>
                <w:iCs w:val="0"/>
                <w:color w:val="000000"/>
                <w:sz w:val="21"/>
                <w:szCs w:val="21"/>
                <w:highlight w:val="none"/>
                <w:u w:val="none"/>
              </w:rPr>
            </w:pPr>
          </w:p>
        </w:tc>
      </w:tr>
      <w:tr w14:paraId="0B4A23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1100" w:type="dxa"/>
            <w:vMerge w:val="continue"/>
            <w:tcBorders>
              <w:tl2br w:val="nil"/>
              <w:tr2bl w:val="nil"/>
            </w:tcBorders>
            <w:shd w:val="clear" w:color="auto" w:fill="auto"/>
            <w:vAlign w:val="center"/>
          </w:tcPr>
          <w:p w14:paraId="7BDAC5D2">
            <w:pPr>
              <w:jc w:val="center"/>
              <w:rPr>
                <w:rFonts w:hint="eastAsia" w:ascii="宋体" w:hAnsi="宋体" w:eastAsia="宋体" w:cs="宋体"/>
                <w:i w:val="0"/>
                <w:iCs w:val="0"/>
                <w:color w:val="000000"/>
                <w:sz w:val="21"/>
                <w:szCs w:val="21"/>
                <w:highlight w:val="none"/>
                <w:u w:val="none"/>
              </w:rPr>
            </w:pPr>
          </w:p>
        </w:tc>
        <w:tc>
          <w:tcPr>
            <w:tcW w:w="11501" w:type="dxa"/>
            <w:gridSpan w:val="15"/>
            <w:tcBorders>
              <w:tl2br w:val="nil"/>
              <w:tr2bl w:val="nil"/>
            </w:tcBorders>
            <w:shd w:val="clear" w:color="auto" w:fill="auto"/>
            <w:vAlign w:val="center"/>
          </w:tcPr>
          <w:p w14:paraId="4C164D3C">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小计</w:t>
            </w:r>
          </w:p>
        </w:tc>
        <w:tc>
          <w:tcPr>
            <w:tcW w:w="749" w:type="dxa"/>
            <w:gridSpan w:val="6"/>
            <w:tcBorders>
              <w:tl2br w:val="nil"/>
              <w:tr2bl w:val="nil"/>
            </w:tcBorders>
            <w:shd w:val="clear" w:color="auto" w:fill="auto"/>
            <w:vAlign w:val="center"/>
          </w:tcPr>
          <w:p w14:paraId="2052CB41">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w:t>
            </w:r>
          </w:p>
        </w:tc>
        <w:tc>
          <w:tcPr>
            <w:tcW w:w="1110" w:type="dxa"/>
            <w:gridSpan w:val="4"/>
            <w:tcBorders>
              <w:tl2br w:val="nil"/>
              <w:tr2bl w:val="nil"/>
            </w:tcBorders>
            <w:shd w:val="clear" w:color="auto" w:fill="auto"/>
            <w:vAlign w:val="center"/>
          </w:tcPr>
          <w:p w14:paraId="7F721939">
            <w:pPr>
              <w:jc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750" w:type="dxa"/>
            <w:gridSpan w:val="2"/>
            <w:tcBorders>
              <w:tl2br w:val="nil"/>
              <w:tr2bl w:val="nil"/>
            </w:tcBorders>
            <w:shd w:val="clear" w:color="auto" w:fill="auto"/>
            <w:vAlign w:val="center"/>
          </w:tcPr>
          <w:p w14:paraId="4039B2A2">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sz w:val="21"/>
                <w:szCs w:val="21"/>
                <w:highlight w:val="none"/>
                <w:u w:val="none"/>
                <w:lang w:val="en-US" w:eastAsia="zh-CN"/>
              </w:rPr>
              <w:t>19.56</w:t>
            </w:r>
          </w:p>
        </w:tc>
      </w:tr>
      <w:tr w14:paraId="6D66ED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15210" w:type="dxa"/>
            <w:gridSpan w:val="28"/>
            <w:tcBorders>
              <w:tl2br w:val="nil"/>
              <w:tr2bl w:val="nil"/>
            </w:tcBorders>
            <w:shd w:val="clear" w:color="auto" w:fill="auto"/>
            <w:vAlign w:val="center"/>
          </w:tcPr>
          <w:p w14:paraId="6117D14D">
            <w:pPr>
              <w:keepNext w:val="0"/>
              <w:keepLines w:val="0"/>
              <w:widowControl/>
              <w:suppressLineNumbers w:val="0"/>
              <w:tabs>
                <w:tab w:val="left" w:pos="15120"/>
              </w:tabs>
              <w:jc w:val="lef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二、整体绩效目标实现情况（60分）</w:t>
            </w:r>
          </w:p>
        </w:tc>
      </w:tr>
      <w:tr w14:paraId="25A829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52" w:hRule="atLeast"/>
        </w:trPr>
        <w:tc>
          <w:tcPr>
            <w:tcW w:w="1100" w:type="dxa"/>
            <w:tcBorders>
              <w:tl2br w:val="nil"/>
              <w:tr2bl w:val="nil"/>
            </w:tcBorders>
            <w:shd w:val="clear" w:color="auto" w:fill="auto"/>
            <w:vAlign w:val="center"/>
          </w:tcPr>
          <w:p w14:paraId="3EDD33EE">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一级指标</w:t>
            </w:r>
          </w:p>
        </w:tc>
        <w:tc>
          <w:tcPr>
            <w:tcW w:w="1100" w:type="dxa"/>
            <w:tcBorders>
              <w:tl2br w:val="nil"/>
              <w:tr2bl w:val="nil"/>
            </w:tcBorders>
            <w:shd w:val="clear" w:color="auto" w:fill="auto"/>
            <w:vAlign w:val="center"/>
          </w:tcPr>
          <w:p w14:paraId="61A3F692">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任务名称</w:t>
            </w:r>
          </w:p>
        </w:tc>
        <w:tc>
          <w:tcPr>
            <w:tcW w:w="1220" w:type="dxa"/>
            <w:gridSpan w:val="2"/>
            <w:tcBorders>
              <w:tl2br w:val="nil"/>
              <w:tr2bl w:val="nil"/>
            </w:tcBorders>
            <w:shd w:val="clear" w:color="auto" w:fill="auto"/>
            <w:vAlign w:val="center"/>
          </w:tcPr>
          <w:p w14:paraId="08E351CE">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指标名称</w:t>
            </w:r>
          </w:p>
        </w:tc>
        <w:tc>
          <w:tcPr>
            <w:tcW w:w="2700" w:type="dxa"/>
            <w:gridSpan w:val="5"/>
            <w:tcBorders>
              <w:tl2br w:val="nil"/>
              <w:tr2bl w:val="nil"/>
            </w:tcBorders>
            <w:shd w:val="clear" w:color="auto" w:fill="auto"/>
            <w:vAlign w:val="center"/>
          </w:tcPr>
          <w:p w14:paraId="7138E622">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指标内容和指标值</w:t>
            </w:r>
          </w:p>
        </w:tc>
        <w:tc>
          <w:tcPr>
            <w:tcW w:w="3967" w:type="dxa"/>
            <w:gridSpan w:val="3"/>
            <w:tcBorders>
              <w:tl2br w:val="nil"/>
              <w:tr2bl w:val="nil"/>
            </w:tcBorders>
            <w:shd w:val="clear" w:color="auto" w:fill="auto"/>
            <w:vAlign w:val="center"/>
          </w:tcPr>
          <w:p w14:paraId="77E2F687">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年度完成情况</w:t>
            </w:r>
          </w:p>
        </w:tc>
        <w:tc>
          <w:tcPr>
            <w:tcW w:w="3669" w:type="dxa"/>
            <w:gridSpan w:val="13"/>
            <w:tcBorders>
              <w:tl2br w:val="nil"/>
              <w:tr2bl w:val="nil"/>
            </w:tcBorders>
            <w:shd w:val="clear" w:color="auto" w:fill="auto"/>
            <w:vAlign w:val="center"/>
          </w:tcPr>
          <w:p w14:paraId="5287845D">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704" w:type="dxa"/>
            <w:tcBorders>
              <w:tl2br w:val="nil"/>
              <w:tr2bl w:val="nil"/>
            </w:tcBorders>
            <w:shd w:val="clear" w:color="auto" w:fill="auto"/>
            <w:vAlign w:val="center"/>
          </w:tcPr>
          <w:p w14:paraId="74AE8509">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得分率</w:t>
            </w:r>
          </w:p>
        </w:tc>
        <w:tc>
          <w:tcPr>
            <w:tcW w:w="750" w:type="dxa"/>
            <w:gridSpan w:val="2"/>
            <w:tcBorders>
              <w:tl2br w:val="nil"/>
              <w:tr2bl w:val="nil"/>
            </w:tcBorders>
            <w:shd w:val="clear" w:color="auto" w:fill="auto"/>
            <w:vAlign w:val="center"/>
          </w:tcPr>
          <w:p w14:paraId="30374FFF">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r>
      <w:tr w14:paraId="5913C6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916" w:hRule="atLeast"/>
        </w:trPr>
        <w:tc>
          <w:tcPr>
            <w:tcW w:w="1100" w:type="dxa"/>
            <w:vMerge w:val="restart"/>
            <w:tcBorders>
              <w:tl2br w:val="nil"/>
              <w:tr2bl w:val="nil"/>
            </w:tcBorders>
            <w:shd w:val="clear" w:color="auto" w:fill="auto"/>
            <w:vAlign w:val="center"/>
          </w:tcPr>
          <w:p w14:paraId="0E7E93F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整体绩效目标实现情况（60分）</w:t>
            </w:r>
          </w:p>
        </w:tc>
        <w:tc>
          <w:tcPr>
            <w:tcW w:w="1100" w:type="dxa"/>
            <w:tcBorders>
              <w:tl2br w:val="nil"/>
              <w:tr2bl w:val="nil"/>
            </w:tcBorders>
            <w:shd w:val="clear" w:color="auto" w:fill="auto"/>
            <w:vAlign w:val="center"/>
          </w:tcPr>
          <w:p w14:paraId="28875B84">
            <w:pPr>
              <w:jc w:val="center"/>
              <w:rPr>
                <w:rFonts w:hint="eastAsia" w:ascii="宋体" w:hAnsi="宋体" w:eastAsia="宋体" w:cs="宋体"/>
                <w:i w:val="0"/>
                <w:iCs w:val="0"/>
                <w:color w:val="000000"/>
                <w:sz w:val="21"/>
                <w:szCs w:val="21"/>
                <w:highlight w:val="none"/>
                <w:u w:val="none"/>
                <w:lang w:eastAsia="zh-CN"/>
              </w:rPr>
            </w:pPr>
            <w:r>
              <w:rPr>
                <w:rFonts w:hint="eastAsia" w:ascii="宋体" w:hAnsi="宋体" w:eastAsia="宋体" w:cs="宋体"/>
                <w:i w:val="0"/>
                <w:iCs w:val="0"/>
                <w:color w:val="000000"/>
                <w:sz w:val="21"/>
                <w:szCs w:val="21"/>
                <w:highlight w:val="none"/>
                <w:u w:val="none"/>
                <w:lang w:eastAsia="zh-CN"/>
              </w:rPr>
              <w:t>任务一</w:t>
            </w:r>
          </w:p>
        </w:tc>
        <w:tc>
          <w:tcPr>
            <w:tcW w:w="1220" w:type="dxa"/>
            <w:gridSpan w:val="2"/>
            <w:tcBorders>
              <w:tl2br w:val="nil"/>
              <w:tr2bl w:val="nil"/>
            </w:tcBorders>
            <w:shd w:val="clear" w:color="auto" w:fill="auto"/>
            <w:vAlign w:val="center"/>
          </w:tcPr>
          <w:p w14:paraId="20594399">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color w:val="000000"/>
                <w:kern w:val="0"/>
                <w:sz w:val="21"/>
                <w:szCs w:val="21"/>
              </w:rPr>
              <w:t>夯实基层基础工作，提高服务保障能力</w:t>
            </w:r>
          </w:p>
        </w:tc>
        <w:tc>
          <w:tcPr>
            <w:tcW w:w="3922" w:type="dxa"/>
            <w:gridSpan w:val="6"/>
            <w:tcBorders>
              <w:tl2br w:val="nil"/>
              <w:tr2bl w:val="nil"/>
            </w:tcBorders>
            <w:shd w:val="clear" w:color="auto" w:fill="auto"/>
            <w:vAlign w:val="center"/>
          </w:tcPr>
          <w:p w14:paraId="155276CB">
            <w:pPr>
              <w:widowControl/>
              <w:jc w:val="left"/>
              <w:textAlignment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突出政治引领。一是组织召开全区退役军人第三次全体会议，健全成员单位常态化联络机制，研究部署贯彻落实措施，合力推进退役军人重点工作。二是着力打造“首都老兵”志愿服务品牌。三是进一步加强全区建档立卡信息管理，研究制定《建档立卡信息保密规定（试行）》，针对特定对象，采取上门入户方式做好服务。</w:t>
            </w:r>
          </w:p>
          <w:p w14:paraId="7A1FDED2">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p>
          <w:p w14:paraId="38943FA2">
            <w:pPr>
              <w:rPr>
                <w:rFonts w:hint="eastAsia" w:ascii="宋体" w:hAnsi="宋体" w:eastAsia="宋体" w:cs="宋体"/>
                <w:i w:val="0"/>
                <w:iCs w:val="0"/>
                <w:color w:val="000000"/>
                <w:sz w:val="21"/>
                <w:szCs w:val="21"/>
                <w:highlight w:val="none"/>
                <w:u w:val="none"/>
                <w:lang w:eastAsia="zh-CN"/>
              </w:rPr>
            </w:pPr>
          </w:p>
        </w:tc>
        <w:tc>
          <w:tcPr>
            <w:tcW w:w="5513" w:type="dxa"/>
            <w:gridSpan w:val="7"/>
            <w:tcBorders>
              <w:tl2br w:val="nil"/>
              <w:tr2bl w:val="nil"/>
            </w:tcBorders>
            <w:shd w:val="clear" w:color="auto" w:fill="auto"/>
            <w:vAlign w:val="center"/>
          </w:tcPr>
          <w:p w14:paraId="3CA12047">
            <w:pPr>
              <w:widowControl/>
              <w:jc w:val="left"/>
              <w:textAlignment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1.（1）举办2024年全区退役军人服务保障体系建设工作培训班，组建基层退役军人服务站工作人员职业技能竞赛队伍，荣获首届决赛三等奖。（2）建立“首都老兵”志愿者服队671支，参与志愿服务工作退役军人6000余人，累计开展志愿活动3000余次。（3）进一步加强全区建档立卡信息管理，研究制定《建档立卡信息保密规定（试行）》，针对特定对象，采取上门入户方式做好服务，切实把制发优待证工作作为“我为群众办实事”的一项重要举措，截至目前，建档立卡系统在册退役军人及其他优抚对象共26021人，优待证方面共接受申请31318人次，发放证件26777张。</w:t>
            </w:r>
          </w:p>
          <w:p w14:paraId="68EF48A6">
            <w:pPr>
              <w:keepNext w:val="0"/>
              <w:keepLines w:val="0"/>
              <w:widowControl/>
              <w:suppressLineNumbers w:val="0"/>
              <w:jc w:val="left"/>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color w:val="000000"/>
                <w:kern w:val="0"/>
                <w:sz w:val="21"/>
                <w:szCs w:val="21"/>
              </w:rPr>
              <w:t>2.研究制定《关于常态化联系退役军人工作制度》，常态化联系25名退役军人，建立联系“结对子”。</w:t>
            </w:r>
          </w:p>
          <w:p w14:paraId="74B23A6F">
            <w:pPr>
              <w:rPr>
                <w:rFonts w:hint="eastAsia" w:ascii="宋体" w:hAnsi="宋体" w:eastAsia="宋体" w:cs="宋体"/>
                <w:i w:val="0"/>
                <w:iCs w:val="0"/>
                <w:color w:val="000000"/>
                <w:sz w:val="21"/>
                <w:szCs w:val="21"/>
                <w:highlight w:val="none"/>
                <w:u w:val="none"/>
              </w:rPr>
            </w:pPr>
          </w:p>
        </w:tc>
        <w:tc>
          <w:tcPr>
            <w:tcW w:w="720" w:type="dxa"/>
            <w:gridSpan w:val="7"/>
            <w:tcBorders>
              <w:tl2br w:val="nil"/>
              <w:tr2bl w:val="nil"/>
            </w:tcBorders>
            <w:shd w:val="clear" w:color="auto" w:fill="auto"/>
            <w:vAlign w:val="center"/>
          </w:tcPr>
          <w:p w14:paraId="20EBE05E">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c>
          <w:tcPr>
            <w:tcW w:w="885" w:type="dxa"/>
            <w:gridSpan w:val="2"/>
            <w:tcBorders>
              <w:tl2br w:val="nil"/>
              <w:tr2bl w:val="nil"/>
            </w:tcBorders>
            <w:shd w:val="clear" w:color="auto" w:fill="auto"/>
            <w:vAlign w:val="center"/>
          </w:tcPr>
          <w:p w14:paraId="6A2F75CA">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98.64%</w:t>
            </w:r>
          </w:p>
        </w:tc>
        <w:tc>
          <w:tcPr>
            <w:tcW w:w="750" w:type="dxa"/>
            <w:gridSpan w:val="2"/>
            <w:tcBorders>
              <w:tl2br w:val="nil"/>
              <w:tr2bl w:val="nil"/>
            </w:tcBorders>
            <w:shd w:val="clear" w:color="auto" w:fill="auto"/>
            <w:vAlign w:val="center"/>
          </w:tcPr>
          <w:p w14:paraId="1D0BC495">
            <w:pPr>
              <w:keepNext w:val="0"/>
              <w:keepLines w:val="0"/>
              <w:widowControl/>
              <w:suppressLineNumbers w:val="0"/>
              <w:jc w:val="center"/>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9.86</w:t>
            </w:r>
          </w:p>
        </w:tc>
      </w:tr>
      <w:tr w14:paraId="7160AA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818" w:hRule="atLeast"/>
        </w:trPr>
        <w:tc>
          <w:tcPr>
            <w:tcW w:w="1100" w:type="dxa"/>
            <w:vMerge w:val="continue"/>
            <w:tcBorders>
              <w:tl2br w:val="nil"/>
              <w:tr2bl w:val="nil"/>
            </w:tcBorders>
            <w:shd w:val="clear" w:color="auto" w:fill="auto"/>
            <w:vAlign w:val="center"/>
          </w:tcPr>
          <w:p w14:paraId="10FF4F18">
            <w:pPr>
              <w:jc w:val="center"/>
              <w:rPr>
                <w:rFonts w:hint="eastAsia" w:ascii="宋体" w:hAnsi="宋体" w:eastAsia="宋体" w:cs="宋体"/>
                <w:i w:val="0"/>
                <w:iCs w:val="0"/>
                <w:color w:val="000000"/>
                <w:sz w:val="21"/>
                <w:szCs w:val="21"/>
                <w:highlight w:val="none"/>
                <w:u w:val="none"/>
              </w:rPr>
            </w:pPr>
          </w:p>
        </w:tc>
        <w:tc>
          <w:tcPr>
            <w:tcW w:w="1100" w:type="dxa"/>
            <w:tcBorders>
              <w:tl2br w:val="nil"/>
              <w:tr2bl w:val="nil"/>
            </w:tcBorders>
            <w:shd w:val="clear" w:color="auto" w:fill="auto"/>
            <w:vAlign w:val="center"/>
          </w:tcPr>
          <w:p w14:paraId="168812EC">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任务二</w:t>
            </w:r>
          </w:p>
        </w:tc>
        <w:tc>
          <w:tcPr>
            <w:tcW w:w="920" w:type="dxa"/>
            <w:tcBorders>
              <w:tl2br w:val="nil"/>
              <w:tr2bl w:val="nil"/>
            </w:tcBorders>
            <w:shd w:val="clear" w:color="auto" w:fill="auto"/>
            <w:vAlign w:val="center"/>
          </w:tcPr>
          <w:p w14:paraId="5804CA73">
            <w:pPr>
              <w:jc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持续推进双拥共建实现军地融合发展</w:t>
            </w:r>
          </w:p>
        </w:tc>
        <w:tc>
          <w:tcPr>
            <w:tcW w:w="1185" w:type="dxa"/>
            <w:gridSpan w:val="2"/>
            <w:tcBorders>
              <w:tl2br w:val="nil"/>
              <w:tr2bl w:val="nil"/>
            </w:tcBorders>
            <w:shd w:val="clear" w:color="auto" w:fill="auto"/>
            <w:vAlign w:val="center"/>
          </w:tcPr>
          <w:p w14:paraId="066F765D">
            <w:pPr>
              <w:jc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1.双拥创建全国双拥模范城宣传和总结工作。2.推进随军家属就业服务工作。3.打造特色双拥品牌。4.营造尊崇军人的良好氛围。5.完善军地互办实事“双清单”。</w:t>
            </w:r>
          </w:p>
        </w:tc>
        <w:tc>
          <w:tcPr>
            <w:tcW w:w="8827" w:type="dxa"/>
            <w:gridSpan w:val="16"/>
            <w:tcBorders>
              <w:tl2br w:val="nil"/>
              <w:tr2bl w:val="nil"/>
            </w:tcBorders>
            <w:shd w:val="clear" w:color="auto" w:fill="auto"/>
            <w:vAlign w:val="center"/>
          </w:tcPr>
          <w:p w14:paraId="0A4E3020">
            <w:pPr>
              <w:jc w:val="left"/>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1.做好本届双拥模范城创建成果的宣传和总结工作，明确新的奋斗目标，筹划部署争创下一届全国双拥模范城工作。保障服务对象的满意度90%以上。</w:t>
            </w:r>
          </w:p>
          <w:p w14:paraId="75CD2452">
            <w:pPr>
              <w:jc w:val="left"/>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2.按照2024年市双拥办关于随军家属优待招聘和就业安置工作部署，积极协调区委社会工委，面向驻区部队随军家属开展社工定向招聘。推进随军家属就业“双选”和优待招聘工作，协调提供机关、事业、社工、国企岗位，6名随军家属安置到事业编、社工岗位。推进社会化拥军工作，新纳企业64家，社会化拥军企业名录已达163家。按时发放随军家属自谋职业补助金。</w:t>
            </w:r>
          </w:p>
          <w:p w14:paraId="5E08639D">
            <w:pPr>
              <w:jc w:val="left"/>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3.丰富军民共建方式，开展军地基层党（团）组织联建、军民文化联谊，开展军营开放日、国防教育等活动。组织“双拥杯”军地健身友谊赛、篮球赛；与成员单位共同开展军地植树活动，共育双拥树500余株；开展“粽叶飘香进军营 军民共建迎端午”活动；举办军民庆“八一”文艺晚会；举办2024年军地青年联谊活动。常态化慰问有力度，区四套班子领导在春节、“八一”等期间，走访慰问驻区部队。拥军活动有高度，开展“送政策、送法律进军营”“送健康进军营”活动；开展“反诈安全课堂”知识讲座；携手学雷锋志愿服务协会进军营，为官兵提供配钥匙、正骨等多项服务；组织驻区官兵参加“文旅拥军·乐游大兴”活动。动员和组织广大官兵积极参与平安创建、文明创建等活动，扎实做好扶危济困、助学兴教、医疗救助等工作，形成一批具备大兴特色的双拥工作品牌。</w:t>
            </w:r>
          </w:p>
          <w:p w14:paraId="09E636AA">
            <w:pPr>
              <w:jc w:val="left"/>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4.尊军崇军有温度，持续开展为立功受奖现役军人家庭送喜报工作，全年送出喜报63份；联合区教委开展“情系边海防”春节专项慰问活动，征集全区中小学师生慰问信、书画、贺年卡等作品530余幅，制作新春大礼包150份寄往边防部队；组织第二届“崇军荣属 京南行动”大兴区立功军人家属逛京城活动，邀请49名驻区部队二等功军人军属来京参观游览。保障服务对象的满意度90%以上。</w:t>
            </w:r>
          </w:p>
          <w:p w14:paraId="78767AAA">
            <w:pPr>
              <w:jc w:val="left"/>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5.采取发放调查问卷、走访调研、开座谈会等形式，了解掌握军地双方存在的需求和困难，切实加强协调配合、完善落实方案，通过清“淤点”、通“堵点”、解“难点”，全力推动军地互办实事解难题落到实处。保障服务对象的满意度90%以上。制定军地互办实事“双清单”，收到拥军优属类17个工作事项53件内容；全区首个双拥共建体育场已投入使用。落实军人军属优待政策，协调区教委完成本年度驻区部队军人子女优待入学85人。</w:t>
            </w:r>
          </w:p>
        </w:tc>
        <w:tc>
          <w:tcPr>
            <w:tcW w:w="624" w:type="dxa"/>
            <w:gridSpan w:val="4"/>
            <w:tcBorders>
              <w:tl2br w:val="nil"/>
              <w:tr2bl w:val="nil"/>
            </w:tcBorders>
            <w:shd w:val="clear" w:color="auto" w:fill="auto"/>
            <w:vAlign w:val="center"/>
          </w:tcPr>
          <w:p w14:paraId="4FBBB0CB">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10</w:t>
            </w:r>
          </w:p>
        </w:tc>
        <w:tc>
          <w:tcPr>
            <w:tcW w:w="884" w:type="dxa"/>
            <w:gridSpan w:val="2"/>
            <w:tcBorders>
              <w:tl2br w:val="nil"/>
              <w:tr2bl w:val="nil"/>
            </w:tcBorders>
            <w:shd w:val="clear" w:color="auto" w:fill="auto"/>
            <w:vAlign w:val="center"/>
          </w:tcPr>
          <w:p w14:paraId="61F3789D">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99.96%</w:t>
            </w:r>
          </w:p>
        </w:tc>
        <w:tc>
          <w:tcPr>
            <w:tcW w:w="570" w:type="dxa"/>
            <w:tcBorders>
              <w:tl2br w:val="nil"/>
              <w:tr2bl w:val="nil"/>
            </w:tcBorders>
            <w:shd w:val="clear" w:color="auto" w:fill="auto"/>
            <w:vAlign w:val="center"/>
          </w:tcPr>
          <w:p w14:paraId="2E3A0EC5">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10</w:t>
            </w:r>
          </w:p>
        </w:tc>
      </w:tr>
      <w:tr w14:paraId="4D912E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488" w:hRule="atLeast"/>
        </w:trPr>
        <w:tc>
          <w:tcPr>
            <w:tcW w:w="1100" w:type="dxa"/>
            <w:vMerge w:val="continue"/>
            <w:tcBorders>
              <w:tl2br w:val="nil"/>
              <w:tr2bl w:val="nil"/>
            </w:tcBorders>
            <w:shd w:val="clear" w:color="auto" w:fill="auto"/>
            <w:vAlign w:val="center"/>
          </w:tcPr>
          <w:p w14:paraId="43390BA1">
            <w:pPr>
              <w:jc w:val="center"/>
              <w:rPr>
                <w:rFonts w:hint="eastAsia" w:ascii="宋体" w:hAnsi="宋体" w:eastAsia="宋体" w:cs="宋体"/>
                <w:i w:val="0"/>
                <w:iCs w:val="0"/>
                <w:color w:val="000000"/>
                <w:sz w:val="21"/>
                <w:szCs w:val="21"/>
                <w:highlight w:val="none"/>
                <w:u w:val="none"/>
              </w:rPr>
            </w:pPr>
          </w:p>
        </w:tc>
        <w:tc>
          <w:tcPr>
            <w:tcW w:w="1100" w:type="dxa"/>
            <w:tcBorders>
              <w:tl2br w:val="nil"/>
              <w:tr2bl w:val="nil"/>
            </w:tcBorders>
            <w:shd w:val="clear" w:color="auto" w:fill="auto"/>
            <w:vAlign w:val="center"/>
          </w:tcPr>
          <w:p w14:paraId="15358D1F">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任务三</w:t>
            </w:r>
          </w:p>
        </w:tc>
        <w:tc>
          <w:tcPr>
            <w:tcW w:w="920" w:type="dxa"/>
            <w:tcBorders>
              <w:tl2br w:val="nil"/>
              <w:tr2bl w:val="nil"/>
            </w:tcBorders>
            <w:shd w:val="clear" w:color="auto" w:fill="auto"/>
            <w:vAlign w:val="center"/>
          </w:tcPr>
          <w:p w14:paraId="06BC433E">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default" w:ascii="宋体" w:hAnsi="宋体" w:eastAsia="宋体" w:cs="宋体"/>
                <w:i w:val="0"/>
                <w:iCs w:val="0"/>
                <w:color w:val="000000"/>
                <w:kern w:val="0"/>
                <w:sz w:val="21"/>
                <w:szCs w:val="21"/>
                <w:highlight w:val="none"/>
                <w:u w:val="none"/>
                <w:lang w:val="en-US" w:eastAsia="zh-CN" w:bidi="ar"/>
              </w:rPr>
              <w:t>高质量做好优待抚恤和褒扬纪念工作</w:t>
            </w:r>
          </w:p>
        </w:tc>
        <w:tc>
          <w:tcPr>
            <w:tcW w:w="1446" w:type="dxa"/>
            <w:gridSpan w:val="3"/>
            <w:tcBorders>
              <w:tl2br w:val="nil"/>
              <w:tr2bl w:val="nil"/>
            </w:tcBorders>
            <w:shd w:val="clear" w:color="auto" w:fill="auto"/>
            <w:vAlign w:val="center"/>
          </w:tcPr>
          <w:p w14:paraId="229046BC">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1.严格落实优抚对象政策待遇。</w:t>
            </w:r>
          </w:p>
          <w:p w14:paraId="78AF9F79">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2.用心做好褒扬纪念工作。</w:t>
            </w:r>
          </w:p>
          <w:p w14:paraId="0507FBA8">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3.加强烈士纪念设施管理保护工作。</w:t>
            </w:r>
          </w:p>
          <w:p w14:paraId="6707001F">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p>
          <w:p w14:paraId="550C9408">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p>
        </w:tc>
        <w:tc>
          <w:tcPr>
            <w:tcW w:w="8409" w:type="dxa"/>
            <w:gridSpan w:val="13"/>
            <w:tcBorders>
              <w:tl2br w:val="nil"/>
              <w:tr2bl w:val="nil"/>
            </w:tcBorders>
            <w:shd w:val="clear" w:color="auto" w:fill="auto"/>
            <w:vAlign w:val="center"/>
          </w:tcPr>
          <w:p w14:paraId="500FA9D0">
            <w:pPr>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全区重点管理的优抚对象共计3836人，全年为各类优抚对象发放抚恤补助资金、春节慰问金4100余万元，一次性抚恤金250余万元，消防士优待金310余万元。落实优抚对象医疗保障政策，优抚对象医疗二次报销874人次，发放210余万元；联合区医保局制定大兴区补充医疗保障政策，进一步扩大报销范围，2024年度享受城乡居民补充医疗保障人员1678人；组织开展2024年优抚对象短期疗养活动。</w:t>
            </w:r>
          </w:p>
          <w:p w14:paraId="31DC4540">
            <w:pPr>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2.构建区级烈士褒扬工作制度体系，推进巡查巡检制度，与11个涉及烈士纪念设施的相关镇签订《委托管理协议书》。划定烈士纪念设施保护范围，委托测绘公司对全区烈士纪念设施进行测绘，形成《北京市大兴区烈士纪念设施工作手册》。组织全区各单位积极开展“铸魂·2024·清明祭英烈”主题宣传教育活动，参加祭扫活动的各界群众共6000余人次；高质量完成“9.30”烈士公祭活动，区四套班子领导及各界代表1000余人参加。</w:t>
            </w:r>
          </w:p>
          <w:p w14:paraId="5F87F827">
            <w:pPr>
              <w:jc w:val="both"/>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3.加强烈士纪念设施管理保护及日常维护，保障服务对象的满意度9</w:t>
            </w:r>
            <w:r>
              <w:rPr>
                <w:rFonts w:hint="eastAsia" w:ascii="宋体" w:hAnsi="宋体" w:cs="宋体"/>
                <w:i w:val="0"/>
                <w:iCs w:val="0"/>
                <w:color w:val="000000"/>
                <w:kern w:val="0"/>
                <w:sz w:val="21"/>
                <w:szCs w:val="21"/>
                <w:highlight w:val="none"/>
                <w:u w:val="none"/>
                <w:lang w:val="en-US" w:eastAsia="zh-CN" w:bidi="ar"/>
              </w:rPr>
              <w:t>5</w:t>
            </w:r>
            <w:r>
              <w:rPr>
                <w:rFonts w:hint="eastAsia" w:ascii="宋体" w:hAnsi="宋体" w:eastAsia="宋体" w:cs="宋体"/>
                <w:i w:val="0"/>
                <w:iCs w:val="0"/>
                <w:color w:val="000000"/>
                <w:kern w:val="0"/>
                <w:sz w:val="21"/>
                <w:szCs w:val="21"/>
                <w:highlight w:val="none"/>
                <w:u w:val="none"/>
                <w:lang w:val="en-US" w:eastAsia="zh-CN" w:bidi="ar"/>
              </w:rPr>
              <w:t>%以上。</w:t>
            </w:r>
          </w:p>
        </w:tc>
        <w:tc>
          <w:tcPr>
            <w:tcW w:w="525" w:type="dxa"/>
            <w:gridSpan w:val="4"/>
            <w:tcBorders>
              <w:tl2br w:val="nil"/>
              <w:tr2bl w:val="nil"/>
            </w:tcBorders>
            <w:shd w:val="clear" w:color="auto" w:fill="auto"/>
            <w:vAlign w:val="center"/>
          </w:tcPr>
          <w:p w14:paraId="1462A099">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15</w:t>
            </w:r>
          </w:p>
        </w:tc>
        <w:tc>
          <w:tcPr>
            <w:tcW w:w="960" w:type="dxa"/>
            <w:gridSpan w:val="3"/>
            <w:tcBorders>
              <w:tl2br w:val="nil"/>
              <w:tr2bl w:val="nil"/>
            </w:tcBorders>
            <w:shd w:val="clear" w:color="auto" w:fill="auto"/>
            <w:vAlign w:val="center"/>
          </w:tcPr>
          <w:p w14:paraId="2896162A">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99.21%</w:t>
            </w:r>
          </w:p>
        </w:tc>
        <w:tc>
          <w:tcPr>
            <w:tcW w:w="750" w:type="dxa"/>
            <w:gridSpan w:val="2"/>
            <w:tcBorders>
              <w:tl2br w:val="nil"/>
              <w:tr2bl w:val="nil"/>
            </w:tcBorders>
            <w:shd w:val="clear" w:color="auto" w:fill="auto"/>
            <w:vAlign w:val="center"/>
          </w:tcPr>
          <w:p w14:paraId="62F771AF">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14.88</w:t>
            </w:r>
          </w:p>
        </w:tc>
      </w:tr>
      <w:tr w14:paraId="5879EC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961" w:hRule="atLeast"/>
        </w:trPr>
        <w:tc>
          <w:tcPr>
            <w:tcW w:w="1100" w:type="dxa"/>
            <w:vMerge w:val="continue"/>
            <w:tcBorders>
              <w:tl2br w:val="nil"/>
              <w:tr2bl w:val="nil"/>
            </w:tcBorders>
            <w:shd w:val="clear" w:color="auto" w:fill="auto"/>
            <w:vAlign w:val="center"/>
          </w:tcPr>
          <w:p w14:paraId="4F86AB56">
            <w:pPr>
              <w:jc w:val="center"/>
              <w:rPr>
                <w:rFonts w:hint="eastAsia" w:ascii="宋体" w:hAnsi="宋体" w:eastAsia="宋体" w:cs="宋体"/>
                <w:i w:val="0"/>
                <w:iCs w:val="0"/>
                <w:color w:val="000000"/>
                <w:sz w:val="21"/>
                <w:szCs w:val="21"/>
                <w:highlight w:val="none"/>
                <w:u w:val="none"/>
              </w:rPr>
            </w:pPr>
          </w:p>
        </w:tc>
        <w:tc>
          <w:tcPr>
            <w:tcW w:w="1100" w:type="dxa"/>
            <w:tcBorders>
              <w:tl2br w:val="nil"/>
              <w:tr2bl w:val="nil"/>
            </w:tcBorders>
            <w:shd w:val="clear" w:color="auto" w:fill="auto"/>
            <w:vAlign w:val="center"/>
          </w:tcPr>
          <w:p w14:paraId="3E613703">
            <w:pPr>
              <w:jc w:val="center"/>
              <w:rPr>
                <w:rFonts w:hint="eastAsia" w:ascii="宋体" w:hAnsi="宋体" w:eastAsia="宋体" w:cs="宋体"/>
                <w:i w:val="0"/>
                <w:iCs w:val="0"/>
                <w:color w:val="000000"/>
                <w:sz w:val="21"/>
                <w:szCs w:val="21"/>
                <w:highlight w:val="none"/>
                <w:u w:val="none"/>
                <w:lang w:eastAsia="zh-CN"/>
              </w:rPr>
            </w:pPr>
            <w:r>
              <w:rPr>
                <w:rFonts w:hint="eastAsia" w:ascii="宋体" w:hAnsi="宋体" w:eastAsia="宋体" w:cs="宋体"/>
                <w:i w:val="0"/>
                <w:iCs w:val="0"/>
                <w:color w:val="000000"/>
                <w:kern w:val="0"/>
                <w:sz w:val="21"/>
                <w:szCs w:val="21"/>
                <w:highlight w:val="none"/>
                <w:u w:val="none"/>
                <w:lang w:val="en-US" w:eastAsia="zh-CN" w:bidi="ar"/>
              </w:rPr>
              <w:t>任务四</w:t>
            </w:r>
          </w:p>
        </w:tc>
        <w:tc>
          <w:tcPr>
            <w:tcW w:w="920" w:type="dxa"/>
            <w:tcBorders>
              <w:tl2br w:val="nil"/>
              <w:tr2bl w:val="nil"/>
            </w:tcBorders>
            <w:shd w:val="clear" w:color="auto" w:fill="auto"/>
            <w:vAlign w:val="center"/>
          </w:tcPr>
          <w:p w14:paraId="2107D1BE">
            <w:pP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圆满完成退役军人接收安置、教育培训和就业创业工作</w:t>
            </w:r>
          </w:p>
          <w:p w14:paraId="133F41A5">
            <w:pPr>
              <w:jc w:val="center"/>
              <w:rPr>
                <w:rFonts w:hint="eastAsia" w:ascii="宋体" w:hAnsi="宋体" w:eastAsia="宋体" w:cs="宋体"/>
                <w:i w:val="0"/>
                <w:iCs w:val="0"/>
                <w:color w:val="000000"/>
                <w:kern w:val="0"/>
                <w:sz w:val="22"/>
                <w:szCs w:val="22"/>
                <w:u w:val="none"/>
                <w:lang w:val="en-US" w:eastAsia="zh-CN" w:bidi="ar"/>
              </w:rPr>
            </w:pPr>
          </w:p>
        </w:tc>
        <w:tc>
          <w:tcPr>
            <w:tcW w:w="1446" w:type="dxa"/>
            <w:gridSpan w:val="3"/>
            <w:tcBorders>
              <w:tl2br w:val="nil"/>
              <w:tr2bl w:val="nil"/>
            </w:tcBorders>
            <w:shd w:val="clear" w:color="auto" w:fill="auto"/>
            <w:vAlign w:val="center"/>
          </w:tcPr>
          <w:p w14:paraId="288BF400">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1.有序完成本年度移交安置工作。2.推进教育培训工作。3.加强就业创业工作</w:t>
            </w:r>
          </w:p>
          <w:p w14:paraId="4055D393">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p>
          <w:p w14:paraId="6075DD4E">
            <w:pPr>
              <w:jc w:val="left"/>
              <w:rPr>
                <w:rFonts w:hint="eastAsia" w:ascii="宋体" w:hAnsi="宋体" w:eastAsia="宋体" w:cs="宋体"/>
                <w:i w:val="0"/>
                <w:iCs w:val="0"/>
                <w:color w:val="000000"/>
                <w:kern w:val="0"/>
                <w:sz w:val="22"/>
                <w:szCs w:val="22"/>
                <w:u w:val="none"/>
                <w:lang w:val="en-US" w:eastAsia="zh-CN" w:bidi="ar"/>
              </w:rPr>
            </w:pPr>
          </w:p>
        </w:tc>
        <w:tc>
          <w:tcPr>
            <w:tcW w:w="8409" w:type="dxa"/>
            <w:gridSpan w:val="13"/>
            <w:tcBorders>
              <w:tl2br w:val="nil"/>
              <w:tr2bl w:val="nil"/>
            </w:tcBorders>
            <w:shd w:val="clear" w:color="auto" w:fill="auto"/>
            <w:vAlign w:val="center"/>
          </w:tcPr>
          <w:p w14:paraId="147C2AD9">
            <w:pPr>
              <w:keepNext w:val="0"/>
              <w:keepLines w:val="0"/>
              <w:widowControl/>
              <w:suppressLineNumbers w:val="0"/>
              <w:ind w:firstLine="420" w:firstLineChars="20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移交安置工作。完成2024年度自主就业退役士兵、安排工作退役士兵、转业军官、复员干部、逐月领取退役金退役军官等人员的接收和安置；完成自主就业退役士兵一次性经济补助金、自主择业军转干部住房补贴和医疗保险缴纳等工作；完成符合条件且自愿申请的退役士兵基本养老保险和医疗保险补缴工作；服务对象的满意度90%以上。</w:t>
            </w:r>
          </w:p>
          <w:p w14:paraId="2759387C">
            <w:pPr>
              <w:keepNext w:val="0"/>
              <w:keepLines w:val="0"/>
              <w:widowControl/>
              <w:suppressLineNumbers w:val="0"/>
              <w:ind w:firstLine="420" w:firstLineChars="20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2.教育培训工作。组织开展政府安排工作退役士兵、自主就业退役士兵、转业军官等人员的返乡欢迎暨适应性培训工作；深入驻区部队开展2场“送政策进军营”活动。认真做好自愿报名参加职业技能培训、北京市高职院校报考、成人教育学费补助等50余名退役士兵服务保障工作；确保服务对象的满意度90%以上。</w:t>
            </w:r>
          </w:p>
          <w:p w14:paraId="57DE0DC5">
            <w:pPr>
              <w:keepNext w:val="0"/>
              <w:keepLines w:val="0"/>
              <w:widowControl/>
              <w:suppressLineNumbers w:val="0"/>
              <w:ind w:firstLine="420" w:firstLineChars="20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3.就业创业工作。做好本区社区工作者部分岗位面向退役军人招录工作；联合相关部门共同举办退役军人及随军家属招聘会4场，91家企业提供招聘岗位600余个，参加招聘活动退役军人及随军家属120余名。持续推送北京市退役军人事务局网络招聘信息</w:t>
            </w:r>
            <w:r>
              <w:rPr>
                <w:rFonts w:hint="eastAsia" w:ascii="仿宋_GB2312" w:hAnsi="仿宋" w:cs="仿宋"/>
                <w:color w:val="auto"/>
                <w:sz w:val="21"/>
                <w:szCs w:val="21"/>
                <w:lang w:val="en-US" w:eastAsia="zh-CN"/>
              </w:rPr>
              <w:t>23次，</w:t>
            </w:r>
            <w:r>
              <w:rPr>
                <w:rFonts w:hint="eastAsia" w:ascii="宋体" w:hAnsi="宋体" w:eastAsia="宋体" w:cs="宋体"/>
                <w:i w:val="0"/>
                <w:iCs w:val="0"/>
                <w:color w:val="000000"/>
                <w:kern w:val="0"/>
                <w:sz w:val="21"/>
                <w:szCs w:val="21"/>
                <w:highlight w:val="none"/>
                <w:u w:val="none"/>
                <w:lang w:val="en-US" w:eastAsia="zh-CN" w:bidi="ar"/>
              </w:rPr>
              <w:t>共推送就业岗位37000余个。完成第三届北京市退役军人创业创新大赛推荐工作，大兴区2家参赛公司分别荣获生活服务业、乡村振兴常规赛道二等奖。</w:t>
            </w:r>
            <w:r>
              <w:rPr>
                <w:rFonts w:hint="eastAsia" w:ascii="仿宋_GB2312" w:hAnsi="仿宋" w:cs="仿宋"/>
                <w:color w:val="auto"/>
                <w:sz w:val="21"/>
                <w:szCs w:val="21"/>
                <w:lang w:val="en-US" w:eastAsia="zh-CN"/>
              </w:rPr>
              <w:t>完成退役军人就业合作单位推选，我局推送的就业合作企业-北京市燃气集团第四分公司被评选2023-2024全国退役军人就业合作企业光荣榜。</w:t>
            </w:r>
            <w:r>
              <w:rPr>
                <w:rFonts w:hint="eastAsia" w:ascii="宋体" w:hAnsi="宋体" w:eastAsia="宋体" w:cs="宋体"/>
                <w:i w:val="0"/>
                <w:iCs w:val="0"/>
                <w:color w:val="000000"/>
                <w:kern w:val="0"/>
                <w:sz w:val="21"/>
                <w:szCs w:val="21"/>
                <w:highlight w:val="none"/>
                <w:u w:val="none"/>
                <w:lang w:val="en-US" w:eastAsia="zh-CN" w:bidi="ar"/>
              </w:rPr>
              <w:t>圆满完成优秀退役大学生士兵推选工作，区城管执法局福征同志荣获“北京市第七届优秀退役大学生士兵”。</w:t>
            </w:r>
          </w:p>
          <w:p w14:paraId="3328D39B">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p>
          <w:p w14:paraId="58FF24A9">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p>
          <w:p w14:paraId="3B3C87BE">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525" w:type="dxa"/>
            <w:gridSpan w:val="4"/>
            <w:tcBorders>
              <w:tl2br w:val="nil"/>
              <w:tr2bl w:val="nil"/>
            </w:tcBorders>
            <w:shd w:val="clear" w:color="auto" w:fill="auto"/>
            <w:vAlign w:val="center"/>
          </w:tcPr>
          <w:p w14:paraId="7C8B5B62">
            <w:pPr>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15</w:t>
            </w:r>
          </w:p>
        </w:tc>
        <w:tc>
          <w:tcPr>
            <w:tcW w:w="960" w:type="dxa"/>
            <w:gridSpan w:val="3"/>
            <w:tcBorders>
              <w:tl2br w:val="nil"/>
              <w:tr2bl w:val="nil"/>
            </w:tcBorders>
            <w:shd w:val="clear" w:color="auto" w:fill="auto"/>
            <w:vAlign w:val="center"/>
          </w:tcPr>
          <w:p w14:paraId="6172E0A2">
            <w:pPr>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98.27%</w:t>
            </w:r>
          </w:p>
        </w:tc>
        <w:tc>
          <w:tcPr>
            <w:tcW w:w="750" w:type="dxa"/>
            <w:gridSpan w:val="2"/>
            <w:tcBorders>
              <w:tl2br w:val="nil"/>
              <w:tr2bl w:val="nil"/>
            </w:tcBorders>
            <w:shd w:val="clear" w:color="auto" w:fill="auto"/>
            <w:vAlign w:val="center"/>
          </w:tcPr>
          <w:p w14:paraId="7226EC00">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14.74</w:t>
            </w:r>
          </w:p>
        </w:tc>
      </w:tr>
      <w:tr w14:paraId="13217C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 w:hRule="atLeast"/>
        </w:trPr>
        <w:tc>
          <w:tcPr>
            <w:tcW w:w="1100" w:type="dxa"/>
            <w:vMerge w:val="continue"/>
            <w:tcBorders>
              <w:tl2br w:val="nil"/>
              <w:tr2bl w:val="nil"/>
            </w:tcBorders>
            <w:shd w:val="clear" w:color="auto" w:fill="auto"/>
            <w:vAlign w:val="center"/>
          </w:tcPr>
          <w:p w14:paraId="5B354A96">
            <w:pPr>
              <w:jc w:val="center"/>
              <w:rPr>
                <w:rFonts w:hint="eastAsia" w:ascii="宋体" w:hAnsi="宋体" w:eastAsia="宋体" w:cs="宋体"/>
                <w:i w:val="0"/>
                <w:iCs w:val="0"/>
                <w:color w:val="000000"/>
                <w:sz w:val="21"/>
                <w:szCs w:val="21"/>
                <w:highlight w:val="none"/>
                <w:u w:val="none"/>
              </w:rPr>
            </w:pPr>
          </w:p>
        </w:tc>
        <w:tc>
          <w:tcPr>
            <w:tcW w:w="1100" w:type="dxa"/>
            <w:tcBorders>
              <w:tl2br w:val="nil"/>
              <w:tr2bl w:val="nil"/>
            </w:tcBorders>
            <w:shd w:val="clear" w:color="auto" w:fill="auto"/>
            <w:vAlign w:val="center"/>
          </w:tcPr>
          <w:p w14:paraId="252C8A5E">
            <w:pPr>
              <w:jc w:val="center"/>
              <w:rPr>
                <w:rFonts w:hint="eastAsia" w:ascii="宋体" w:hAnsi="宋体" w:eastAsia="宋体" w:cs="宋体"/>
                <w:i w:val="0"/>
                <w:iCs w:val="0"/>
                <w:color w:val="000000"/>
                <w:sz w:val="21"/>
                <w:szCs w:val="21"/>
                <w:highlight w:val="none"/>
                <w:u w:val="none"/>
                <w:lang w:eastAsia="zh-CN"/>
              </w:rPr>
            </w:pPr>
            <w:r>
              <w:rPr>
                <w:rFonts w:hint="eastAsia" w:ascii="宋体" w:hAnsi="宋体" w:eastAsia="宋体" w:cs="宋体"/>
                <w:i w:val="0"/>
                <w:iCs w:val="0"/>
                <w:color w:val="000000"/>
                <w:sz w:val="21"/>
                <w:szCs w:val="21"/>
                <w:highlight w:val="none"/>
                <w:u w:val="none"/>
                <w:lang w:eastAsia="zh-CN"/>
              </w:rPr>
              <w:t>任务五</w:t>
            </w:r>
          </w:p>
        </w:tc>
        <w:tc>
          <w:tcPr>
            <w:tcW w:w="1220" w:type="dxa"/>
            <w:gridSpan w:val="2"/>
            <w:tcBorders>
              <w:tl2br w:val="nil"/>
              <w:tr2bl w:val="nil"/>
            </w:tcBorders>
            <w:shd w:val="clear" w:color="auto" w:fill="auto"/>
            <w:vAlign w:val="center"/>
          </w:tcPr>
          <w:p w14:paraId="688BF40B">
            <w:pPr>
              <w:jc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u w:val="none"/>
                <w:lang w:val="en-US" w:eastAsia="zh-CN" w:bidi="ar"/>
              </w:rPr>
              <w:t>认真落实好军休干部</w:t>
            </w:r>
            <w:r>
              <w:rPr>
                <w:rFonts w:hint="eastAsia" w:ascii="宋体" w:hAnsi="宋体" w:cs="宋体"/>
                <w:i w:val="0"/>
                <w:iCs w:val="0"/>
                <w:color w:val="auto"/>
                <w:kern w:val="0"/>
                <w:sz w:val="21"/>
                <w:szCs w:val="21"/>
                <w:u w:val="none"/>
                <w:lang w:val="en-US" w:eastAsia="zh-CN" w:bidi="ar"/>
              </w:rPr>
              <w:t>和无军籍职工</w:t>
            </w:r>
            <w:r>
              <w:rPr>
                <w:rFonts w:hint="eastAsia" w:ascii="宋体" w:hAnsi="宋体" w:eastAsia="宋体" w:cs="宋体"/>
                <w:i w:val="0"/>
                <w:iCs w:val="0"/>
                <w:color w:val="auto"/>
                <w:kern w:val="0"/>
                <w:sz w:val="21"/>
                <w:szCs w:val="21"/>
                <w:u w:val="none"/>
                <w:lang w:val="en-US" w:eastAsia="zh-CN" w:bidi="ar"/>
              </w:rPr>
              <w:t>“两个待遇”，做好军休</w:t>
            </w:r>
            <w:r>
              <w:rPr>
                <w:rFonts w:hint="eastAsia" w:ascii="宋体" w:hAnsi="宋体" w:cs="宋体"/>
                <w:i w:val="0"/>
                <w:iCs w:val="0"/>
                <w:color w:val="auto"/>
                <w:kern w:val="0"/>
                <w:sz w:val="21"/>
                <w:szCs w:val="21"/>
                <w:u w:val="none"/>
                <w:lang w:val="en-US" w:eastAsia="zh-CN" w:bidi="ar"/>
              </w:rPr>
              <w:t>人员</w:t>
            </w:r>
            <w:r>
              <w:rPr>
                <w:rFonts w:hint="eastAsia" w:ascii="宋体" w:hAnsi="宋体" w:eastAsia="宋体" w:cs="宋体"/>
                <w:i w:val="0"/>
                <w:iCs w:val="0"/>
                <w:color w:val="auto"/>
                <w:kern w:val="0"/>
                <w:sz w:val="21"/>
                <w:szCs w:val="21"/>
                <w:u w:val="none"/>
                <w:lang w:val="en-US" w:eastAsia="zh-CN" w:bidi="ar"/>
              </w:rPr>
              <w:t>服务管理工作</w:t>
            </w:r>
          </w:p>
        </w:tc>
        <w:tc>
          <w:tcPr>
            <w:tcW w:w="1275" w:type="dxa"/>
            <w:gridSpan w:val="3"/>
            <w:tcBorders>
              <w:tl2br w:val="nil"/>
              <w:tr2bl w:val="nil"/>
            </w:tcBorders>
            <w:shd w:val="clear" w:color="auto" w:fill="auto"/>
            <w:vAlign w:val="center"/>
          </w:tcPr>
          <w:p w14:paraId="52DF07B5">
            <w:pPr>
              <w:numPr>
                <w:ilvl w:val="0"/>
                <w:numId w:val="2"/>
              </w:numP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做好军休干部和无军籍职工接收安置工作。</w:t>
            </w:r>
          </w:p>
          <w:p w14:paraId="6FEC4053">
            <w:pPr>
              <w:numPr>
                <w:ilvl w:val="0"/>
                <w:numId w:val="2"/>
              </w:numPr>
              <w:ind w:left="0" w:leftChars="0" w:firstLine="0" w:firstLineChars="0"/>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持续做好持卡就医后续工作。</w:t>
            </w:r>
          </w:p>
          <w:p w14:paraId="799FC6A1">
            <w:pPr>
              <w:rPr>
                <w:rFonts w:hint="eastAsia" w:ascii="宋体" w:hAnsi="宋体" w:eastAsia="宋体" w:cs="宋体"/>
                <w:i w:val="0"/>
                <w:iCs w:val="0"/>
                <w:color w:val="auto"/>
                <w:sz w:val="21"/>
                <w:szCs w:val="21"/>
                <w:highlight w:val="none"/>
                <w:u w:val="none"/>
                <w:lang w:eastAsia="zh-CN"/>
              </w:rPr>
            </w:pPr>
            <w:r>
              <w:rPr>
                <w:rFonts w:hint="eastAsia" w:ascii="宋体" w:hAnsi="宋体" w:eastAsia="宋体" w:cs="宋体"/>
                <w:i w:val="0"/>
                <w:iCs w:val="0"/>
                <w:color w:val="auto"/>
                <w:kern w:val="0"/>
                <w:sz w:val="21"/>
                <w:szCs w:val="21"/>
                <w:u w:val="none"/>
                <w:lang w:val="en-US" w:eastAsia="zh-CN" w:bidi="ar"/>
              </w:rPr>
              <w:t>3.做好军休人员服务管理工作。</w:t>
            </w:r>
          </w:p>
        </w:tc>
        <w:tc>
          <w:tcPr>
            <w:tcW w:w="7891" w:type="dxa"/>
            <w:gridSpan w:val="8"/>
            <w:tcBorders>
              <w:tl2br w:val="nil"/>
              <w:tr2bl w:val="nil"/>
            </w:tcBorders>
            <w:shd w:val="clear" w:color="auto" w:fill="auto"/>
            <w:vAlign w:val="center"/>
          </w:tcPr>
          <w:p w14:paraId="6B9BA114">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u w:val="none"/>
                <w:lang w:val="en-US" w:eastAsia="zh-CN" w:bidi="ar"/>
              </w:rPr>
            </w:pPr>
          </w:p>
          <w:p w14:paraId="2D4CF7C8">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u w:val="none"/>
                <w:lang w:val="en-US" w:eastAsia="zh-CN" w:bidi="ar"/>
              </w:rPr>
            </w:pPr>
          </w:p>
          <w:p w14:paraId="611BBAB6">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1.做好2024年军休干部、无军籍职工接收安置工作，确保“三方”满意，满意度</w:t>
            </w:r>
            <w:r>
              <w:rPr>
                <w:rFonts w:hint="eastAsia" w:ascii="宋体" w:hAnsi="宋体" w:cs="宋体"/>
                <w:i w:val="0"/>
                <w:iCs w:val="0"/>
                <w:color w:val="auto"/>
                <w:kern w:val="0"/>
                <w:sz w:val="21"/>
                <w:szCs w:val="21"/>
                <w:u w:val="none"/>
                <w:lang w:val="en-US" w:eastAsia="zh-CN" w:bidi="ar"/>
              </w:rPr>
              <w:t>98</w:t>
            </w:r>
            <w:r>
              <w:rPr>
                <w:rFonts w:hint="eastAsia" w:ascii="宋体" w:hAnsi="宋体" w:eastAsia="宋体" w:cs="宋体"/>
                <w:i w:val="0"/>
                <w:iCs w:val="0"/>
                <w:color w:val="auto"/>
                <w:kern w:val="0"/>
                <w:sz w:val="21"/>
                <w:szCs w:val="21"/>
                <w:u w:val="none"/>
                <w:lang w:val="en-US" w:eastAsia="zh-CN" w:bidi="ar"/>
              </w:rPr>
              <w:t>%以上。</w:t>
            </w:r>
          </w:p>
          <w:p w14:paraId="10D71B49">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2.积极主动为新接收人员做好医保卡制作信息报送，确保及时就医工作顺畅运行。</w:t>
            </w:r>
          </w:p>
          <w:p w14:paraId="7957C7A7">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认真落实军休人员“两个待遇”，做好军休干部和无军籍职工的服务管理工作，工资每月按时发放到位，元旦、春节期间走访慰问军休干部、无军籍职工。积极开展主题系列活动。组织开展“三八”妇女节手工制作香薰、安定古桑园采摘等活动，邀请区医院体检中心开展体检报告数据解读。着力打造军休文化阵地。积极参加市军休系统文体活动，组织军休干部参加扑克牌大赛荣获第六名，组织舞蹈队参加舞蹈比赛荣获优秀奖，深入挖掘军休干部</w:t>
            </w:r>
            <w:r>
              <w:rPr>
                <w:rFonts w:hint="eastAsia" w:ascii="宋体" w:hAnsi="宋体" w:cs="宋体"/>
                <w:i w:val="0"/>
                <w:iCs w:val="0"/>
                <w:color w:val="auto"/>
                <w:kern w:val="0"/>
                <w:sz w:val="21"/>
                <w:szCs w:val="21"/>
                <w:u w:val="none"/>
                <w:lang w:val="en-US" w:eastAsia="zh-CN" w:bidi="ar"/>
              </w:rPr>
              <w:t>先进</w:t>
            </w:r>
            <w:r>
              <w:rPr>
                <w:rFonts w:hint="eastAsia" w:ascii="宋体" w:hAnsi="宋体" w:eastAsia="宋体" w:cs="宋体"/>
                <w:i w:val="0"/>
                <w:iCs w:val="0"/>
                <w:color w:val="auto"/>
                <w:kern w:val="0"/>
                <w:sz w:val="21"/>
                <w:szCs w:val="21"/>
                <w:u w:val="none"/>
                <w:lang w:val="en-US" w:eastAsia="zh-CN" w:bidi="ar"/>
              </w:rPr>
              <w:t>事迹，充分发挥先进人物引导示范作用，营造老有所为的氛围。</w:t>
            </w:r>
          </w:p>
          <w:p w14:paraId="1A42DD84">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u w:val="none"/>
                <w:lang w:val="en-US" w:eastAsia="zh-CN" w:bidi="ar"/>
              </w:rPr>
            </w:pPr>
          </w:p>
        </w:tc>
        <w:tc>
          <w:tcPr>
            <w:tcW w:w="914" w:type="dxa"/>
            <w:gridSpan w:val="8"/>
            <w:tcBorders>
              <w:tl2br w:val="nil"/>
              <w:tr2bl w:val="nil"/>
            </w:tcBorders>
            <w:shd w:val="clear" w:color="auto" w:fill="auto"/>
            <w:vAlign w:val="center"/>
          </w:tcPr>
          <w:p w14:paraId="3023DFE3">
            <w:pPr>
              <w:jc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sz w:val="21"/>
                <w:szCs w:val="21"/>
                <w:highlight w:val="none"/>
                <w:u w:val="none"/>
                <w:lang w:val="en-US" w:eastAsia="zh-CN"/>
              </w:rPr>
              <w:t>10</w:t>
            </w:r>
          </w:p>
        </w:tc>
        <w:tc>
          <w:tcPr>
            <w:tcW w:w="960" w:type="dxa"/>
            <w:gridSpan w:val="3"/>
            <w:tcBorders>
              <w:tl2br w:val="nil"/>
              <w:tr2bl w:val="nil"/>
            </w:tcBorders>
            <w:shd w:val="clear" w:color="auto" w:fill="auto"/>
            <w:vAlign w:val="center"/>
          </w:tcPr>
          <w:p w14:paraId="1C6BAAB4">
            <w:pPr>
              <w:jc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sz w:val="21"/>
                <w:szCs w:val="21"/>
                <w:highlight w:val="none"/>
                <w:u w:val="none"/>
                <w:lang w:val="en-US" w:eastAsia="zh-CN"/>
              </w:rPr>
              <w:t>88.76%</w:t>
            </w:r>
          </w:p>
        </w:tc>
        <w:tc>
          <w:tcPr>
            <w:tcW w:w="750" w:type="dxa"/>
            <w:gridSpan w:val="2"/>
            <w:tcBorders>
              <w:tl2br w:val="nil"/>
              <w:tr2bl w:val="nil"/>
            </w:tcBorders>
            <w:shd w:val="clear" w:color="auto" w:fill="auto"/>
            <w:vAlign w:val="center"/>
          </w:tcPr>
          <w:p w14:paraId="24E6F86F">
            <w:pPr>
              <w:keepNext w:val="0"/>
              <w:keepLines w:val="0"/>
              <w:widowControl/>
              <w:suppressLineNumbers w:val="0"/>
              <w:jc w:val="center"/>
              <w:textAlignment w:val="center"/>
              <w:rPr>
                <w:rFonts w:hint="default"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sz w:val="21"/>
                <w:szCs w:val="21"/>
                <w:highlight w:val="none"/>
                <w:u w:val="none"/>
                <w:lang w:val="en-US" w:eastAsia="zh-CN"/>
              </w:rPr>
              <w:t>8.88</w:t>
            </w:r>
          </w:p>
        </w:tc>
      </w:tr>
      <w:tr w14:paraId="51057A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87" w:hRule="atLeast"/>
        </w:trPr>
        <w:tc>
          <w:tcPr>
            <w:tcW w:w="1100" w:type="dxa"/>
            <w:vMerge w:val="continue"/>
            <w:tcBorders>
              <w:tl2br w:val="nil"/>
              <w:tr2bl w:val="nil"/>
            </w:tcBorders>
            <w:shd w:val="clear" w:color="auto" w:fill="auto"/>
            <w:vAlign w:val="center"/>
          </w:tcPr>
          <w:p w14:paraId="0D8F3FFF">
            <w:pPr>
              <w:jc w:val="center"/>
              <w:rPr>
                <w:rFonts w:hint="eastAsia" w:ascii="宋体" w:hAnsi="宋体" w:eastAsia="宋体" w:cs="宋体"/>
                <w:i w:val="0"/>
                <w:iCs w:val="0"/>
                <w:color w:val="000000"/>
                <w:sz w:val="21"/>
                <w:szCs w:val="21"/>
                <w:highlight w:val="none"/>
                <w:u w:val="none"/>
              </w:rPr>
            </w:pPr>
          </w:p>
        </w:tc>
        <w:tc>
          <w:tcPr>
            <w:tcW w:w="8987" w:type="dxa"/>
            <w:gridSpan w:val="11"/>
            <w:tcBorders>
              <w:tl2br w:val="nil"/>
              <w:tr2bl w:val="nil"/>
            </w:tcBorders>
            <w:shd w:val="clear" w:color="auto" w:fill="auto"/>
            <w:vAlign w:val="center"/>
          </w:tcPr>
          <w:p w14:paraId="564ED5E8">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小计</w:t>
            </w:r>
          </w:p>
        </w:tc>
        <w:tc>
          <w:tcPr>
            <w:tcW w:w="3413" w:type="dxa"/>
            <w:gridSpan w:val="11"/>
            <w:tcBorders>
              <w:tl2br w:val="nil"/>
              <w:tr2bl w:val="nil"/>
            </w:tcBorders>
            <w:shd w:val="clear" w:color="auto" w:fill="auto"/>
            <w:vAlign w:val="center"/>
          </w:tcPr>
          <w:p w14:paraId="66E3B01F">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rPr>
            </w:pPr>
            <w:r>
              <w:rPr>
                <w:rFonts w:hint="eastAsia" w:ascii="宋体" w:hAnsi="宋体" w:eastAsia="宋体" w:cs="宋体"/>
                <w:b/>
                <w:bCs/>
                <w:i w:val="0"/>
                <w:iCs w:val="0"/>
                <w:color w:val="000000"/>
                <w:kern w:val="0"/>
                <w:sz w:val="21"/>
                <w:szCs w:val="21"/>
                <w:highlight w:val="none"/>
                <w:u w:val="none"/>
                <w:lang w:val="en-US" w:eastAsia="zh-CN" w:bidi="ar"/>
              </w:rPr>
              <w:t>60</w:t>
            </w:r>
          </w:p>
        </w:tc>
        <w:tc>
          <w:tcPr>
            <w:tcW w:w="960" w:type="dxa"/>
            <w:gridSpan w:val="3"/>
            <w:tcBorders>
              <w:tl2br w:val="nil"/>
              <w:tr2bl w:val="nil"/>
            </w:tcBorders>
            <w:shd w:val="clear" w:color="auto" w:fill="auto"/>
            <w:vAlign w:val="center"/>
          </w:tcPr>
          <w:p w14:paraId="31FCCCF1">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750" w:type="dxa"/>
            <w:gridSpan w:val="2"/>
            <w:tcBorders>
              <w:tl2br w:val="nil"/>
              <w:tr2bl w:val="nil"/>
            </w:tcBorders>
            <w:shd w:val="clear" w:color="auto" w:fill="auto"/>
            <w:vAlign w:val="center"/>
          </w:tcPr>
          <w:p w14:paraId="2FB4DF29">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sz w:val="21"/>
                <w:szCs w:val="21"/>
                <w:highlight w:val="none"/>
                <w:u w:val="none"/>
                <w:lang w:val="en-US" w:eastAsia="zh-CN"/>
              </w:rPr>
              <w:t>58.36</w:t>
            </w:r>
          </w:p>
        </w:tc>
      </w:tr>
      <w:tr w14:paraId="1B6304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40" w:hRule="atLeast"/>
        </w:trPr>
        <w:tc>
          <w:tcPr>
            <w:tcW w:w="15210" w:type="dxa"/>
            <w:gridSpan w:val="28"/>
            <w:tcBorders>
              <w:tl2br w:val="nil"/>
              <w:tr2bl w:val="nil"/>
            </w:tcBorders>
            <w:shd w:val="clear" w:color="auto" w:fill="auto"/>
            <w:vAlign w:val="center"/>
          </w:tcPr>
          <w:p w14:paraId="4F4A0749">
            <w:pPr>
              <w:keepNext w:val="0"/>
              <w:keepLines w:val="0"/>
              <w:widowControl/>
              <w:suppressLineNumbers w:val="0"/>
              <w:jc w:val="lef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三、预算管理情况（20分）</w:t>
            </w:r>
          </w:p>
        </w:tc>
      </w:tr>
      <w:tr w14:paraId="37603D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1100" w:type="dxa"/>
            <w:tcBorders>
              <w:tl2br w:val="nil"/>
              <w:tr2bl w:val="nil"/>
            </w:tcBorders>
            <w:shd w:val="clear" w:color="auto" w:fill="auto"/>
            <w:vAlign w:val="center"/>
          </w:tcPr>
          <w:p w14:paraId="62B6DCF4">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一级指标</w:t>
            </w:r>
          </w:p>
        </w:tc>
        <w:tc>
          <w:tcPr>
            <w:tcW w:w="1100" w:type="dxa"/>
            <w:tcBorders>
              <w:tl2br w:val="nil"/>
              <w:tr2bl w:val="nil"/>
            </w:tcBorders>
            <w:shd w:val="clear" w:color="auto" w:fill="auto"/>
            <w:vAlign w:val="center"/>
          </w:tcPr>
          <w:p w14:paraId="454AAC45">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二级指标</w:t>
            </w:r>
          </w:p>
        </w:tc>
        <w:tc>
          <w:tcPr>
            <w:tcW w:w="1220" w:type="dxa"/>
            <w:gridSpan w:val="2"/>
            <w:tcBorders>
              <w:tl2br w:val="nil"/>
              <w:tr2bl w:val="nil"/>
            </w:tcBorders>
            <w:shd w:val="clear" w:color="auto" w:fill="auto"/>
            <w:vAlign w:val="center"/>
          </w:tcPr>
          <w:p w14:paraId="59E63F94">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三级指标</w:t>
            </w:r>
          </w:p>
        </w:tc>
        <w:tc>
          <w:tcPr>
            <w:tcW w:w="2551" w:type="dxa"/>
            <w:gridSpan w:val="4"/>
            <w:tcBorders>
              <w:tl2br w:val="nil"/>
              <w:tr2bl w:val="nil"/>
            </w:tcBorders>
            <w:shd w:val="clear" w:color="auto" w:fill="auto"/>
            <w:vAlign w:val="center"/>
          </w:tcPr>
          <w:p w14:paraId="0F1734D1">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指标解释</w:t>
            </w:r>
          </w:p>
        </w:tc>
        <w:tc>
          <w:tcPr>
            <w:tcW w:w="4116" w:type="dxa"/>
            <w:gridSpan w:val="4"/>
            <w:tcBorders>
              <w:tl2br w:val="nil"/>
              <w:tr2bl w:val="nil"/>
            </w:tcBorders>
            <w:shd w:val="clear" w:color="auto" w:fill="auto"/>
            <w:vAlign w:val="center"/>
          </w:tcPr>
          <w:p w14:paraId="3289AABD">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评分标准</w:t>
            </w:r>
          </w:p>
        </w:tc>
        <w:tc>
          <w:tcPr>
            <w:tcW w:w="1394" w:type="dxa"/>
            <w:gridSpan w:val="2"/>
            <w:tcBorders>
              <w:tl2br w:val="nil"/>
              <w:tr2bl w:val="nil"/>
            </w:tcBorders>
            <w:shd w:val="clear" w:color="auto" w:fill="auto"/>
            <w:vAlign w:val="center"/>
          </w:tcPr>
          <w:p w14:paraId="6A24DC47">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2023年数据</w:t>
            </w:r>
          </w:p>
        </w:tc>
        <w:tc>
          <w:tcPr>
            <w:tcW w:w="1395" w:type="dxa"/>
            <w:gridSpan w:val="4"/>
            <w:tcBorders>
              <w:tl2br w:val="nil"/>
              <w:tr2bl w:val="nil"/>
            </w:tcBorders>
            <w:shd w:val="clear" w:color="auto" w:fill="auto"/>
            <w:vAlign w:val="center"/>
          </w:tcPr>
          <w:p w14:paraId="534F490F">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2024年数据</w:t>
            </w:r>
          </w:p>
        </w:tc>
        <w:tc>
          <w:tcPr>
            <w:tcW w:w="880" w:type="dxa"/>
            <w:gridSpan w:val="7"/>
            <w:tcBorders>
              <w:tl2br w:val="nil"/>
              <w:tr2bl w:val="nil"/>
            </w:tcBorders>
            <w:shd w:val="clear" w:color="auto" w:fill="auto"/>
            <w:vAlign w:val="center"/>
          </w:tcPr>
          <w:p w14:paraId="62A037C9">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704" w:type="dxa"/>
            <w:tcBorders>
              <w:tl2br w:val="nil"/>
              <w:tr2bl w:val="nil"/>
            </w:tcBorders>
            <w:shd w:val="clear" w:color="auto" w:fill="auto"/>
            <w:vAlign w:val="center"/>
          </w:tcPr>
          <w:p w14:paraId="33DDD1E8">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得分率</w:t>
            </w:r>
          </w:p>
        </w:tc>
        <w:tc>
          <w:tcPr>
            <w:tcW w:w="750" w:type="dxa"/>
            <w:gridSpan w:val="2"/>
            <w:tcBorders>
              <w:tl2br w:val="nil"/>
              <w:tr2bl w:val="nil"/>
            </w:tcBorders>
            <w:shd w:val="clear" w:color="auto" w:fill="auto"/>
            <w:vAlign w:val="center"/>
          </w:tcPr>
          <w:p w14:paraId="65E7B2D7">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r>
      <w:tr w14:paraId="5D9A1D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990" w:hRule="atLeast"/>
        </w:trPr>
        <w:tc>
          <w:tcPr>
            <w:tcW w:w="1100" w:type="dxa"/>
            <w:vMerge w:val="restart"/>
            <w:tcBorders>
              <w:tl2br w:val="nil"/>
              <w:tr2bl w:val="nil"/>
            </w:tcBorders>
            <w:shd w:val="clear" w:color="auto" w:fill="auto"/>
            <w:vAlign w:val="center"/>
          </w:tcPr>
          <w:p w14:paraId="79453D0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预算管理情况（20分）</w:t>
            </w:r>
          </w:p>
        </w:tc>
        <w:tc>
          <w:tcPr>
            <w:tcW w:w="1100" w:type="dxa"/>
            <w:vMerge w:val="restart"/>
            <w:tcBorders>
              <w:tl2br w:val="nil"/>
              <w:tr2bl w:val="nil"/>
            </w:tcBorders>
            <w:shd w:val="clear" w:color="auto" w:fill="auto"/>
            <w:vAlign w:val="center"/>
          </w:tcPr>
          <w:p w14:paraId="1F04A8A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财务管理（6）</w:t>
            </w:r>
          </w:p>
        </w:tc>
        <w:tc>
          <w:tcPr>
            <w:tcW w:w="1220" w:type="dxa"/>
            <w:gridSpan w:val="2"/>
            <w:tcBorders>
              <w:tl2br w:val="nil"/>
              <w:tr2bl w:val="nil"/>
            </w:tcBorders>
            <w:shd w:val="clear" w:color="auto" w:fill="auto"/>
            <w:vAlign w:val="center"/>
          </w:tcPr>
          <w:p w14:paraId="7E2DB79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财务管理制度健全性</w:t>
            </w:r>
          </w:p>
        </w:tc>
        <w:tc>
          <w:tcPr>
            <w:tcW w:w="2551" w:type="dxa"/>
            <w:gridSpan w:val="4"/>
            <w:tcBorders>
              <w:tl2br w:val="nil"/>
              <w:tr2bl w:val="nil"/>
            </w:tcBorders>
            <w:shd w:val="clear" w:color="auto" w:fill="auto"/>
            <w:vAlign w:val="center"/>
          </w:tcPr>
          <w:p w14:paraId="401D767A">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财务管理制度健全性：部门（单位）为加强财务管理、规范财务行为而制定的管理制度。</w:t>
            </w:r>
          </w:p>
        </w:tc>
        <w:tc>
          <w:tcPr>
            <w:tcW w:w="4116" w:type="dxa"/>
            <w:gridSpan w:val="4"/>
            <w:tcBorders>
              <w:tl2br w:val="nil"/>
              <w:tr2bl w:val="nil"/>
            </w:tcBorders>
            <w:shd w:val="clear" w:color="auto" w:fill="auto"/>
            <w:vAlign w:val="center"/>
          </w:tcPr>
          <w:p w14:paraId="0F14C7F3">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①预算资金管理办法、绩效跟踪管理办法、资产管理办法等各项制度是否健全；</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②部门内部财务管理制度是否完善、合规；</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③会计核算制度是否完整、合规。</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1394" w:type="dxa"/>
            <w:gridSpan w:val="2"/>
            <w:tcBorders>
              <w:tl2br w:val="nil"/>
              <w:tr2bl w:val="nil"/>
            </w:tcBorders>
            <w:shd w:val="clear" w:color="auto" w:fill="auto"/>
            <w:vAlign w:val="center"/>
          </w:tcPr>
          <w:p w14:paraId="05111E5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395" w:type="dxa"/>
            <w:gridSpan w:val="4"/>
            <w:tcBorders>
              <w:tl2br w:val="nil"/>
              <w:tr2bl w:val="nil"/>
            </w:tcBorders>
            <w:shd w:val="clear" w:color="auto" w:fill="auto"/>
            <w:vAlign w:val="center"/>
          </w:tcPr>
          <w:p w14:paraId="7DAC567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880" w:type="dxa"/>
            <w:gridSpan w:val="7"/>
            <w:tcBorders>
              <w:tl2br w:val="nil"/>
              <w:tr2bl w:val="nil"/>
            </w:tcBorders>
            <w:shd w:val="clear" w:color="auto" w:fill="auto"/>
            <w:vAlign w:val="center"/>
          </w:tcPr>
          <w:p w14:paraId="73A1BEE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704" w:type="dxa"/>
            <w:tcBorders>
              <w:tl2br w:val="nil"/>
              <w:tr2bl w:val="nil"/>
            </w:tcBorders>
            <w:shd w:val="clear" w:color="auto" w:fill="auto"/>
            <w:vAlign w:val="center"/>
          </w:tcPr>
          <w:p w14:paraId="05048A8E">
            <w:pPr>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100%</w:t>
            </w:r>
          </w:p>
        </w:tc>
        <w:tc>
          <w:tcPr>
            <w:tcW w:w="750" w:type="dxa"/>
            <w:gridSpan w:val="2"/>
            <w:tcBorders>
              <w:tl2br w:val="nil"/>
              <w:tr2bl w:val="nil"/>
            </w:tcBorders>
            <w:shd w:val="clear" w:color="auto" w:fill="auto"/>
            <w:vAlign w:val="center"/>
          </w:tcPr>
          <w:p w14:paraId="2CD6B52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2</w:t>
            </w:r>
          </w:p>
        </w:tc>
      </w:tr>
      <w:tr w14:paraId="25D583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609" w:hRule="atLeast"/>
        </w:trPr>
        <w:tc>
          <w:tcPr>
            <w:tcW w:w="1100" w:type="dxa"/>
            <w:vMerge w:val="continue"/>
            <w:tcBorders>
              <w:tl2br w:val="nil"/>
              <w:tr2bl w:val="nil"/>
            </w:tcBorders>
            <w:shd w:val="clear" w:color="auto" w:fill="auto"/>
            <w:vAlign w:val="center"/>
          </w:tcPr>
          <w:p w14:paraId="2ABFE1AF">
            <w:pPr>
              <w:jc w:val="center"/>
              <w:rPr>
                <w:rFonts w:hint="eastAsia" w:ascii="宋体" w:hAnsi="宋体" w:eastAsia="宋体" w:cs="宋体"/>
                <w:i w:val="0"/>
                <w:iCs w:val="0"/>
                <w:color w:val="000000"/>
                <w:sz w:val="21"/>
                <w:szCs w:val="21"/>
                <w:highlight w:val="none"/>
                <w:u w:val="none"/>
              </w:rPr>
            </w:pPr>
          </w:p>
        </w:tc>
        <w:tc>
          <w:tcPr>
            <w:tcW w:w="1100" w:type="dxa"/>
            <w:vMerge w:val="continue"/>
            <w:tcBorders>
              <w:tl2br w:val="nil"/>
              <w:tr2bl w:val="nil"/>
            </w:tcBorders>
            <w:shd w:val="clear" w:color="auto" w:fill="auto"/>
            <w:vAlign w:val="center"/>
          </w:tcPr>
          <w:p w14:paraId="61D15559">
            <w:pPr>
              <w:jc w:val="center"/>
              <w:rPr>
                <w:rFonts w:hint="eastAsia" w:ascii="宋体" w:hAnsi="宋体" w:eastAsia="宋体" w:cs="宋体"/>
                <w:i w:val="0"/>
                <w:iCs w:val="0"/>
                <w:color w:val="000000"/>
                <w:sz w:val="21"/>
                <w:szCs w:val="21"/>
                <w:highlight w:val="none"/>
                <w:u w:val="none"/>
              </w:rPr>
            </w:pPr>
          </w:p>
        </w:tc>
        <w:tc>
          <w:tcPr>
            <w:tcW w:w="1220" w:type="dxa"/>
            <w:gridSpan w:val="2"/>
            <w:tcBorders>
              <w:tl2br w:val="nil"/>
              <w:tr2bl w:val="nil"/>
            </w:tcBorders>
            <w:shd w:val="clear" w:color="auto" w:fill="auto"/>
            <w:vAlign w:val="center"/>
          </w:tcPr>
          <w:p w14:paraId="5716DC9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资金使用合规性和安全性</w:t>
            </w:r>
          </w:p>
        </w:tc>
        <w:tc>
          <w:tcPr>
            <w:tcW w:w="2700" w:type="dxa"/>
            <w:gridSpan w:val="5"/>
            <w:tcBorders>
              <w:tl2br w:val="nil"/>
              <w:tr2bl w:val="nil"/>
            </w:tcBorders>
            <w:shd w:val="clear" w:color="auto" w:fill="auto"/>
            <w:vAlign w:val="center"/>
          </w:tcPr>
          <w:p w14:paraId="3AA9C4A8">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资金使用合规性和安全性：部门（单位）使用预算资金是否符合相关的预算财务管理制度的规定，是否符合相关规定的开支范围，用以反映考核部门（单位）预算资金的规范运行和安全运行情况。</w:t>
            </w:r>
          </w:p>
        </w:tc>
        <w:tc>
          <w:tcPr>
            <w:tcW w:w="6481" w:type="dxa"/>
            <w:gridSpan w:val="7"/>
            <w:tcBorders>
              <w:tl2br w:val="nil"/>
              <w:tr2bl w:val="nil"/>
            </w:tcBorders>
            <w:shd w:val="clear" w:color="auto" w:fill="auto"/>
            <w:vAlign w:val="center"/>
          </w:tcPr>
          <w:p w14:paraId="33D2269B">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①是否符合国家财经法规和财务管理制度规定以及有关专项资金管理办法的规定；</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②资金的拨付是否有完整的审批程序和手续；</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③项目的重大开支是否经过评估论证；</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④是否符合部门预算批复的用途；</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⑤是否存在截留、挤占、挪用情况；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⑥资金使用是否符合政府采购的程序和流程；</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⑦资金使用是否符合公务卡结算相关制度和规定。</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每有一项不合格扣0.5分，扣完为止。</w:t>
            </w:r>
          </w:p>
        </w:tc>
        <w:tc>
          <w:tcPr>
            <w:tcW w:w="395" w:type="dxa"/>
            <w:gridSpan w:val="4"/>
            <w:tcBorders>
              <w:tl2br w:val="nil"/>
              <w:tr2bl w:val="nil"/>
            </w:tcBorders>
            <w:shd w:val="clear" w:color="auto" w:fill="auto"/>
            <w:vAlign w:val="center"/>
          </w:tcPr>
          <w:p w14:paraId="6EA36C8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354" w:type="dxa"/>
            <w:gridSpan w:val="2"/>
            <w:tcBorders>
              <w:tl2br w:val="nil"/>
              <w:tr2bl w:val="nil"/>
            </w:tcBorders>
            <w:shd w:val="clear" w:color="auto" w:fill="auto"/>
            <w:vAlign w:val="center"/>
          </w:tcPr>
          <w:p w14:paraId="20852CB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406" w:type="dxa"/>
            <w:gridSpan w:val="3"/>
            <w:tcBorders>
              <w:tl2br w:val="nil"/>
              <w:tr2bl w:val="nil"/>
            </w:tcBorders>
            <w:shd w:val="clear" w:color="auto" w:fill="auto"/>
            <w:vAlign w:val="center"/>
          </w:tcPr>
          <w:p w14:paraId="76AE8AC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704" w:type="dxa"/>
            <w:tcBorders>
              <w:tl2br w:val="nil"/>
              <w:tr2bl w:val="nil"/>
            </w:tcBorders>
            <w:shd w:val="clear" w:color="auto" w:fill="auto"/>
            <w:vAlign w:val="center"/>
          </w:tcPr>
          <w:p w14:paraId="6E5EDABB">
            <w:pPr>
              <w:jc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sz w:val="21"/>
                <w:szCs w:val="21"/>
                <w:highlight w:val="none"/>
                <w:u w:val="none"/>
                <w:lang w:val="en-US" w:eastAsia="zh-CN"/>
              </w:rPr>
              <w:t>100%</w:t>
            </w:r>
          </w:p>
        </w:tc>
        <w:tc>
          <w:tcPr>
            <w:tcW w:w="750" w:type="dxa"/>
            <w:gridSpan w:val="2"/>
            <w:tcBorders>
              <w:tl2br w:val="nil"/>
              <w:tr2bl w:val="nil"/>
            </w:tcBorders>
            <w:shd w:val="clear" w:color="auto" w:fill="auto"/>
            <w:vAlign w:val="center"/>
          </w:tcPr>
          <w:p w14:paraId="7E748F2C">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sz w:val="21"/>
                <w:szCs w:val="21"/>
                <w:highlight w:val="none"/>
                <w:u w:val="none"/>
                <w:lang w:val="en-US" w:eastAsia="zh-CN"/>
              </w:rPr>
              <w:t>2</w:t>
            </w:r>
          </w:p>
        </w:tc>
      </w:tr>
      <w:tr w14:paraId="3C4472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240" w:hRule="atLeast"/>
        </w:trPr>
        <w:tc>
          <w:tcPr>
            <w:tcW w:w="1100" w:type="dxa"/>
            <w:vMerge w:val="continue"/>
            <w:tcBorders>
              <w:tl2br w:val="nil"/>
              <w:tr2bl w:val="nil"/>
            </w:tcBorders>
            <w:shd w:val="clear" w:color="auto" w:fill="auto"/>
            <w:vAlign w:val="center"/>
          </w:tcPr>
          <w:p w14:paraId="6EBE7D66">
            <w:pPr>
              <w:jc w:val="center"/>
              <w:rPr>
                <w:rFonts w:hint="eastAsia" w:ascii="宋体" w:hAnsi="宋体" w:eastAsia="宋体" w:cs="宋体"/>
                <w:i w:val="0"/>
                <w:iCs w:val="0"/>
                <w:color w:val="000000"/>
                <w:sz w:val="21"/>
                <w:szCs w:val="21"/>
                <w:highlight w:val="none"/>
                <w:u w:val="none"/>
              </w:rPr>
            </w:pPr>
          </w:p>
        </w:tc>
        <w:tc>
          <w:tcPr>
            <w:tcW w:w="1100" w:type="dxa"/>
            <w:vMerge w:val="continue"/>
            <w:tcBorders>
              <w:tl2br w:val="nil"/>
              <w:tr2bl w:val="nil"/>
            </w:tcBorders>
            <w:shd w:val="clear" w:color="auto" w:fill="auto"/>
            <w:vAlign w:val="center"/>
          </w:tcPr>
          <w:p w14:paraId="7F2C0512">
            <w:pPr>
              <w:jc w:val="center"/>
              <w:rPr>
                <w:rFonts w:hint="eastAsia" w:ascii="宋体" w:hAnsi="宋体" w:eastAsia="宋体" w:cs="宋体"/>
                <w:i w:val="0"/>
                <w:iCs w:val="0"/>
                <w:color w:val="000000"/>
                <w:sz w:val="21"/>
                <w:szCs w:val="21"/>
                <w:highlight w:val="none"/>
                <w:u w:val="none"/>
              </w:rPr>
            </w:pPr>
          </w:p>
        </w:tc>
        <w:tc>
          <w:tcPr>
            <w:tcW w:w="1220" w:type="dxa"/>
            <w:gridSpan w:val="2"/>
            <w:tcBorders>
              <w:tl2br w:val="nil"/>
              <w:tr2bl w:val="nil"/>
            </w:tcBorders>
            <w:shd w:val="clear" w:color="auto" w:fill="auto"/>
            <w:vAlign w:val="center"/>
          </w:tcPr>
          <w:p w14:paraId="0DB4097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会计基础信息完善性</w:t>
            </w:r>
          </w:p>
        </w:tc>
        <w:tc>
          <w:tcPr>
            <w:tcW w:w="2700" w:type="dxa"/>
            <w:gridSpan w:val="5"/>
            <w:tcBorders>
              <w:tl2br w:val="nil"/>
              <w:tr2bl w:val="nil"/>
            </w:tcBorders>
            <w:shd w:val="clear" w:color="auto" w:fill="auto"/>
            <w:vAlign w:val="center"/>
          </w:tcPr>
          <w:p w14:paraId="4CADEA92">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会计基础信息完善性：部门（单位）会计基础信息情况。</w:t>
            </w:r>
          </w:p>
        </w:tc>
        <w:tc>
          <w:tcPr>
            <w:tcW w:w="6481" w:type="dxa"/>
            <w:gridSpan w:val="7"/>
            <w:tcBorders>
              <w:tl2br w:val="nil"/>
              <w:tr2bl w:val="nil"/>
            </w:tcBorders>
            <w:shd w:val="clear" w:color="auto" w:fill="auto"/>
            <w:vAlign w:val="center"/>
          </w:tcPr>
          <w:p w14:paraId="1A84DB8B">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①基础数据信息和会计信息资料是否真实；</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②基础数据信息和会计信息资料是否完整；</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③基础数据信息和会计信息资料是否准确。</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395" w:type="dxa"/>
            <w:gridSpan w:val="4"/>
            <w:tcBorders>
              <w:tl2br w:val="nil"/>
              <w:tr2bl w:val="nil"/>
            </w:tcBorders>
            <w:shd w:val="clear" w:color="auto" w:fill="auto"/>
            <w:vAlign w:val="center"/>
          </w:tcPr>
          <w:p w14:paraId="73E1119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354" w:type="dxa"/>
            <w:gridSpan w:val="2"/>
            <w:tcBorders>
              <w:tl2br w:val="nil"/>
              <w:tr2bl w:val="nil"/>
            </w:tcBorders>
            <w:shd w:val="clear" w:color="auto" w:fill="auto"/>
            <w:vAlign w:val="center"/>
          </w:tcPr>
          <w:p w14:paraId="16263CA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406" w:type="dxa"/>
            <w:gridSpan w:val="3"/>
            <w:tcBorders>
              <w:tl2br w:val="nil"/>
              <w:tr2bl w:val="nil"/>
            </w:tcBorders>
            <w:shd w:val="clear" w:color="auto" w:fill="auto"/>
            <w:vAlign w:val="center"/>
          </w:tcPr>
          <w:p w14:paraId="36E494C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704" w:type="dxa"/>
            <w:tcBorders>
              <w:tl2br w:val="nil"/>
              <w:tr2bl w:val="nil"/>
            </w:tcBorders>
            <w:shd w:val="clear" w:color="auto" w:fill="auto"/>
            <w:vAlign w:val="center"/>
          </w:tcPr>
          <w:p w14:paraId="45761E04">
            <w:pPr>
              <w:jc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sz w:val="21"/>
                <w:szCs w:val="21"/>
                <w:highlight w:val="none"/>
                <w:u w:val="none"/>
                <w:lang w:val="en-US" w:eastAsia="zh-CN"/>
              </w:rPr>
              <w:t>100%</w:t>
            </w:r>
          </w:p>
        </w:tc>
        <w:tc>
          <w:tcPr>
            <w:tcW w:w="750" w:type="dxa"/>
            <w:gridSpan w:val="2"/>
            <w:tcBorders>
              <w:tl2br w:val="nil"/>
              <w:tr2bl w:val="nil"/>
            </w:tcBorders>
            <w:shd w:val="clear" w:color="auto" w:fill="auto"/>
            <w:vAlign w:val="center"/>
          </w:tcPr>
          <w:p w14:paraId="3D0C342C">
            <w:pPr>
              <w:keepNext w:val="0"/>
              <w:keepLines w:val="0"/>
              <w:widowControl/>
              <w:suppressLineNumbers w:val="0"/>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sz w:val="21"/>
                <w:szCs w:val="21"/>
                <w:highlight w:val="none"/>
                <w:u w:val="none"/>
                <w:lang w:val="en-US" w:eastAsia="zh-CN"/>
              </w:rPr>
              <w:t>2</w:t>
            </w:r>
          </w:p>
        </w:tc>
      </w:tr>
      <w:tr w14:paraId="688B1A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440" w:hRule="atLeast"/>
        </w:trPr>
        <w:tc>
          <w:tcPr>
            <w:tcW w:w="1100" w:type="dxa"/>
            <w:vMerge w:val="continue"/>
            <w:tcBorders>
              <w:tl2br w:val="nil"/>
              <w:tr2bl w:val="nil"/>
            </w:tcBorders>
            <w:shd w:val="clear" w:color="auto" w:fill="auto"/>
            <w:vAlign w:val="center"/>
          </w:tcPr>
          <w:p w14:paraId="2F69C93F">
            <w:pPr>
              <w:jc w:val="center"/>
              <w:rPr>
                <w:rFonts w:hint="eastAsia" w:ascii="宋体" w:hAnsi="宋体" w:eastAsia="宋体" w:cs="宋体"/>
                <w:i w:val="0"/>
                <w:iCs w:val="0"/>
                <w:color w:val="000000"/>
                <w:sz w:val="21"/>
                <w:szCs w:val="21"/>
                <w:highlight w:val="none"/>
                <w:u w:val="none"/>
              </w:rPr>
            </w:pPr>
          </w:p>
        </w:tc>
        <w:tc>
          <w:tcPr>
            <w:tcW w:w="1100" w:type="dxa"/>
            <w:tcBorders>
              <w:tl2br w:val="nil"/>
              <w:tr2bl w:val="nil"/>
            </w:tcBorders>
            <w:shd w:val="clear" w:color="auto" w:fill="auto"/>
            <w:vAlign w:val="center"/>
          </w:tcPr>
          <w:p w14:paraId="64A4849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资产管理（5）</w:t>
            </w:r>
          </w:p>
        </w:tc>
        <w:tc>
          <w:tcPr>
            <w:tcW w:w="1220" w:type="dxa"/>
            <w:gridSpan w:val="2"/>
            <w:tcBorders>
              <w:tl2br w:val="nil"/>
              <w:tr2bl w:val="nil"/>
            </w:tcBorders>
            <w:shd w:val="clear" w:color="auto" w:fill="auto"/>
            <w:vAlign w:val="center"/>
          </w:tcPr>
          <w:p w14:paraId="0208962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资产管理规范性</w:t>
            </w:r>
          </w:p>
        </w:tc>
        <w:tc>
          <w:tcPr>
            <w:tcW w:w="2700" w:type="dxa"/>
            <w:gridSpan w:val="5"/>
            <w:tcBorders>
              <w:tl2br w:val="nil"/>
              <w:tr2bl w:val="nil"/>
            </w:tcBorders>
            <w:shd w:val="clear" w:color="auto" w:fill="auto"/>
            <w:vAlign w:val="center"/>
          </w:tcPr>
          <w:p w14:paraId="612AD6E5">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资产管理规范性：部门（单位）的资产是否保持安全完整，资产配置是否合理，资产使用和资产处理是否规范，用以反映和考核部门（单位）资产管理的整体水平。</w:t>
            </w:r>
          </w:p>
        </w:tc>
        <w:tc>
          <w:tcPr>
            <w:tcW w:w="6481" w:type="dxa"/>
            <w:gridSpan w:val="7"/>
            <w:tcBorders>
              <w:tl2br w:val="nil"/>
              <w:tr2bl w:val="nil"/>
            </w:tcBorders>
            <w:shd w:val="clear" w:color="auto" w:fill="auto"/>
            <w:vAlign w:val="center"/>
          </w:tcPr>
          <w:p w14:paraId="3F61429B">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①对外投资行为是否经审批，是否存在投资亏损；</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②是否有因管理不当发生严重资产损失和丢失情况；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③是否存在超标准配置资产；</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④资产使用是否规范，是否存在未经批准擅自出租、出借资产行为；</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⑤资产处置是否规范，是否存在不按要求进行报批或资产不公开处置行为；</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⑥其他资产管理制度办法执行情况。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395" w:type="dxa"/>
            <w:gridSpan w:val="4"/>
            <w:tcBorders>
              <w:tl2br w:val="nil"/>
              <w:tr2bl w:val="nil"/>
            </w:tcBorders>
            <w:shd w:val="clear" w:color="auto" w:fill="auto"/>
            <w:vAlign w:val="center"/>
          </w:tcPr>
          <w:p w14:paraId="3BD17D3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354" w:type="dxa"/>
            <w:gridSpan w:val="2"/>
            <w:tcBorders>
              <w:tl2br w:val="nil"/>
              <w:tr2bl w:val="nil"/>
            </w:tcBorders>
            <w:shd w:val="clear" w:color="auto" w:fill="auto"/>
            <w:vAlign w:val="center"/>
          </w:tcPr>
          <w:p w14:paraId="3BC89EE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406" w:type="dxa"/>
            <w:gridSpan w:val="3"/>
            <w:tcBorders>
              <w:tl2br w:val="nil"/>
              <w:tr2bl w:val="nil"/>
            </w:tcBorders>
            <w:shd w:val="clear" w:color="auto" w:fill="auto"/>
            <w:vAlign w:val="center"/>
          </w:tcPr>
          <w:p w14:paraId="7A8888D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704" w:type="dxa"/>
            <w:tcBorders>
              <w:tl2br w:val="nil"/>
              <w:tr2bl w:val="nil"/>
            </w:tcBorders>
            <w:shd w:val="clear" w:color="auto" w:fill="auto"/>
            <w:vAlign w:val="center"/>
          </w:tcPr>
          <w:p w14:paraId="548B9570">
            <w:pPr>
              <w:jc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sz w:val="21"/>
                <w:szCs w:val="21"/>
                <w:highlight w:val="none"/>
                <w:u w:val="none"/>
                <w:lang w:val="en-US" w:eastAsia="zh-CN"/>
              </w:rPr>
              <w:t>100%</w:t>
            </w:r>
          </w:p>
        </w:tc>
        <w:tc>
          <w:tcPr>
            <w:tcW w:w="750" w:type="dxa"/>
            <w:gridSpan w:val="2"/>
            <w:tcBorders>
              <w:tl2br w:val="nil"/>
              <w:tr2bl w:val="nil"/>
            </w:tcBorders>
            <w:shd w:val="clear" w:color="auto" w:fill="auto"/>
            <w:vAlign w:val="center"/>
          </w:tcPr>
          <w:p w14:paraId="573D4FB3">
            <w:pPr>
              <w:keepNext w:val="0"/>
              <w:keepLines w:val="0"/>
              <w:widowControl/>
              <w:suppressLineNumbers w:val="0"/>
              <w:jc w:val="center"/>
              <w:textAlignment w:val="center"/>
              <w:rPr>
                <w:rFonts w:hint="default"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2"/>
                <w:sz w:val="21"/>
                <w:szCs w:val="21"/>
                <w:highlight w:val="none"/>
                <w:u w:val="none"/>
                <w:lang w:val="en-US" w:eastAsia="zh-CN" w:bidi="ar-SA"/>
              </w:rPr>
              <w:t>5</w:t>
            </w:r>
          </w:p>
        </w:tc>
      </w:tr>
      <w:tr w14:paraId="0F2CCA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60" w:hRule="atLeast"/>
        </w:trPr>
        <w:tc>
          <w:tcPr>
            <w:tcW w:w="1100" w:type="dxa"/>
            <w:vMerge w:val="continue"/>
            <w:tcBorders>
              <w:tl2br w:val="nil"/>
              <w:tr2bl w:val="nil"/>
            </w:tcBorders>
            <w:shd w:val="clear" w:color="auto" w:fill="auto"/>
            <w:vAlign w:val="center"/>
          </w:tcPr>
          <w:p w14:paraId="0DF17BDA">
            <w:pPr>
              <w:jc w:val="center"/>
              <w:rPr>
                <w:rFonts w:hint="eastAsia" w:ascii="宋体" w:hAnsi="宋体" w:eastAsia="宋体" w:cs="宋体"/>
                <w:i w:val="0"/>
                <w:iCs w:val="0"/>
                <w:color w:val="000000"/>
                <w:sz w:val="21"/>
                <w:szCs w:val="21"/>
                <w:highlight w:val="none"/>
                <w:u w:val="none"/>
              </w:rPr>
            </w:pPr>
          </w:p>
        </w:tc>
        <w:tc>
          <w:tcPr>
            <w:tcW w:w="1100" w:type="dxa"/>
            <w:tcBorders>
              <w:tl2br w:val="nil"/>
              <w:tr2bl w:val="nil"/>
            </w:tcBorders>
            <w:shd w:val="clear" w:color="auto" w:fill="auto"/>
            <w:vAlign w:val="center"/>
          </w:tcPr>
          <w:p w14:paraId="2A369FE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绩效管理（5）</w:t>
            </w:r>
          </w:p>
        </w:tc>
        <w:tc>
          <w:tcPr>
            <w:tcW w:w="1220" w:type="dxa"/>
            <w:gridSpan w:val="2"/>
            <w:tcBorders>
              <w:tl2br w:val="nil"/>
              <w:tr2bl w:val="nil"/>
            </w:tcBorders>
            <w:shd w:val="clear" w:color="auto" w:fill="auto"/>
            <w:vAlign w:val="center"/>
          </w:tcPr>
          <w:p w14:paraId="758CB57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绩效管理情况</w:t>
            </w:r>
          </w:p>
        </w:tc>
        <w:tc>
          <w:tcPr>
            <w:tcW w:w="2700" w:type="dxa"/>
            <w:gridSpan w:val="5"/>
            <w:tcBorders>
              <w:tl2br w:val="nil"/>
              <w:tr2bl w:val="nil"/>
            </w:tcBorders>
            <w:shd w:val="clear" w:color="auto" w:fill="auto"/>
            <w:vAlign w:val="center"/>
          </w:tcPr>
          <w:p w14:paraId="0A40BAAC">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绩效管理情况：考核部门（单位）在绩效管理信息的汇总和应用情况。</w:t>
            </w:r>
          </w:p>
        </w:tc>
        <w:tc>
          <w:tcPr>
            <w:tcW w:w="6481" w:type="dxa"/>
            <w:gridSpan w:val="7"/>
            <w:tcBorders>
              <w:tl2br w:val="nil"/>
              <w:tr2bl w:val="nil"/>
            </w:tcBorders>
            <w:shd w:val="clear" w:color="auto" w:fill="auto"/>
            <w:vAlign w:val="center"/>
          </w:tcPr>
          <w:p w14:paraId="589BB47A">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①部门（单位）是否及时对绩效信息进行汇总分析整理；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②部门（单位）是否对绩效目标偏离情况及时进行矫正。</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每有一项不合格扣2.5分。</w:t>
            </w:r>
          </w:p>
        </w:tc>
        <w:tc>
          <w:tcPr>
            <w:tcW w:w="395" w:type="dxa"/>
            <w:gridSpan w:val="4"/>
            <w:tcBorders>
              <w:tl2br w:val="nil"/>
              <w:tr2bl w:val="nil"/>
            </w:tcBorders>
            <w:shd w:val="clear" w:color="auto" w:fill="auto"/>
            <w:vAlign w:val="center"/>
          </w:tcPr>
          <w:p w14:paraId="6C78F3C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354" w:type="dxa"/>
            <w:gridSpan w:val="2"/>
            <w:tcBorders>
              <w:tl2br w:val="nil"/>
              <w:tr2bl w:val="nil"/>
            </w:tcBorders>
            <w:shd w:val="clear" w:color="auto" w:fill="auto"/>
            <w:vAlign w:val="center"/>
          </w:tcPr>
          <w:p w14:paraId="00165B6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406" w:type="dxa"/>
            <w:gridSpan w:val="3"/>
            <w:tcBorders>
              <w:tl2br w:val="nil"/>
              <w:tr2bl w:val="nil"/>
            </w:tcBorders>
            <w:shd w:val="clear" w:color="auto" w:fill="auto"/>
            <w:vAlign w:val="center"/>
          </w:tcPr>
          <w:p w14:paraId="35961BC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704" w:type="dxa"/>
            <w:tcBorders>
              <w:tl2br w:val="nil"/>
              <w:tr2bl w:val="nil"/>
            </w:tcBorders>
            <w:shd w:val="clear" w:color="auto" w:fill="auto"/>
            <w:vAlign w:val="center"/>
          </w:tcPr>
          <w:p w14:paraId="45BF02DA">
            <w:pPr>
              <w:jc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sz w:val="21"/>
                <w:szCs w:val="21"/>
                <w:highlight w:val="none"/>
                <w:u w:val="none"/>
                <w:lang w:val="en-US" w:eastAsia="zh-CN"/>
              </w:rPr>
              <w:t>100%</w:t>
            </w:r>
          </w:p>
        </w:tc>
        <w:tc>
          <w:tcPr>
            <w:tcW w:w="750" w:type="dxa"/>
            <w:gridSpan w:val="2"/>
            <w:tcBorders>
              <w:tl2br w:val="nil"/>
              <w:tr2bl w:val="nil"/>
            </w:tcBorders>
            <w:shd w:val="clear" w:color="auto" w:fill="auto"/>
            <w:vAlign w:val="center"/>
          </w:tcPr>
          <w:p w14:paraId="746275F2">
            <w:pPr>
              <w:keepNext w:val="0"/>
              <w:keepLines w:val="0"/>
              <w:widowControl/>
              <w:suppressLineNumbers w:val="0"/>
              <w:jc w:val="center"/>
              <w:textAlignment w:val="center"/>
              <w:rPr>
                <w:rFonts w:hint="default"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2"/>
                <w:sz w:val="21"/>
                <w:szCs w:val="21"/>
                <w:highlight w:val="none"/>
                <w:u w:val="none"/>
                <w:lang w:val="en-US" w:eastAsia="zh-CN" w:bidi="ar-SA"/>
              </w:rPr>
              <w:t>5</w:t>
            </w:r>
          </w:p>
        </w:tc>
      </w:tr>
      <w:tr w14:paraId="179851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103" w:hRule="atLeast"/>
        </w:trPr>
        <w:tc>
          <w:tcPr>
            <w:tcW w:w="1100" w:type="dxa"/>
            <w:vMerge w:val="continue"/>
            <w:tcBorders>
              <w:tl2br w:val="nil"/>
              <w:tr2bl w:val="nil"/>
            </w:tcBorders>
            <w:shd w:val="clear" w:color="auto" w:fill="auto"/>
            <w:vAlign w:val="center"/>
          </w:tcPr>
          <w:p w14:paraId="630086EA">
            <w:pPr>
              <w:jc w:val="center"/>
              <w:rPr>
                <w:rFonts w:hint="eastAsia" w:ascii="宋体" w:hAnsi="宋体" w:eastAsia="宋体" w:cs="宋体"/>
                <w:i w:val="0"/>
                <w:iCs w:val="0"/>
                <w:color w:val="000000"/>
                <w:sz w:val="21"/>
                <w:szCs w:val="21"/>
                <w:highlight w:val="none"/>
                <w:u w:val="none"/>
              </w:rPr>
            </w:pPr>
          </w:p>
        </w:tc>
        <w:tc>
          <w:tcPr>
            <w:tcW w:w="1100" w:type="dxa"/>
            <w:tcBorders>
              <w:tl2br w:val="nil"/>
              <w:tr2bl w:val="nil"/>
            </w:tcBorders>
            <w:shd w:val="clear" w:color="auto" w:fill="auto"/>
            <w:vAlign w:val="center"/>
          </w:tcPr>
          <w:p w14:paraId="72A5392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部门预决算差异率（4）</w:t>
            </w:r>
          </w:p>
        </w:tc>
        <w:tc>
          <w:tcPr>
            <w:tcW w:w="1220" w:type="dxa"/>
            <w:gridSpan w:val="2"/>
            <w:tcBorders>
              <w:tl2br w:val="nil"/>
              <w:tr2bl w:val="nil"/>
            </w:tcBorders>
            <w:shd w:val="clear" w:color="auto" w:fill="auto"/>
            <w:vAlign w:val="center"/>
          </w:tcPr>
          <w:p w14:paraId="7E83439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部门预决算差异率</w:t>
            </w:r>
          </w:p>
        </w:tc>
        <w:tc>
          <w:tcPr>
            <w:tcW w:w="2700" w:type="dxa"/>
            <w:gridSpan w:val="5"/>
            <w:tcBorders>
              <w:tl2br w:val="nil"/>
              <w:tr2bl w:val="nil"/>
            </w:tcBorders>
            <w:shd w:val="clear" w:color="auto" w:fill="auto"/>
            <w:vAlign w:val="center"/>
          </w:tcPr>
          <w:p w14:paraId="1E6AEBFB">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通过年度部门决算与年初部门预算对比，对部门的年度支出情况进行考核，衡量部门预算的约束力。</w:t>
            </w:r>
          </w:p>
        </w:tc>
        <w:tc>
          <w:tcPr>
            <w:tcW w:w="6481" w:type="dxa"/>
            <w:gridSpan w:val="7"/>
            <w:tcBorders>
              <w:tl2br w:val="nil"/>
              <w:tr2bl w:val="nil"/>
            </w:tcBorders>
            <w:shd w:val="clear" w:color="auto" w:fill="auto"/>
            <w:vAlign w:val="center"/>
          </w:tcPr>
          <w:p w14:paraId="09CD9CDF">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部门预决算差异率（绝对值）低于上年的不扣分；高于上年部门预决算差异率，每高出1个百分点扣0.4分，扣完为止。</w:t>
            </w:r>
          </w:p>
        </w:tc>
        <w:tc>
          <w:tcPr>
            <w:tcW w:w="395" w:type="dxa"/>
            <w:gridSpan w:val="4"/>
            <w:tcBorders>
              <w:tl2br w:val="nil"/>
              <w:tr2bl w:val="nil"/>
            </w:tcBorders>
            <w:shd w:val="clear" w:color="auto" w:fill="auto"/>
            <w:vAlign w:val="center"/>
          </w:tcPr>
          <w:p w14:paraId="13F6406D">
            <w:pPr>
              <w:jc w:val="center"/>
              <w:rPr>
                <w:rFonts w:hint="eastAsia" w:ascii="宋体" w:hAnsi="宋体" w:eastAsia="宋体" w:cs="宋体"/>
                <w:i w:val="0"/>
                <w:iCs w:val="0"/>
                <w:color w:val="000000"/>
                <w:sz w:val="21"/>
                <w:szCs w:val="21"/>
                <w:highlight w:val="none"/>
                <w:u w:val="none"/>
              </w:rPr>
            </w:pPr>
          </w:p>
        </w:tc>
        <w:tc>
          <w:tcPr>
            <w:tcW w:w="354" w:type="dxa"/>
            <w:gridSpan w:val="2"/>
            <w:tcBorders>
              <w:tl2br w:val="nil"/>
              <w:tr2bl w:val="nil"/>
            </w:tcBorders>
            <w:shd w:val="clear" w:color="auto" w:fill="auto"/>
            <w:vAlign w:val="center"/>
          </w:tcPr>
          <w:p w14:paraId="3C60DFEB">
            <w:pPr>
              <w:jc w:val="center"/>
              <w:rPr>
                <w:rFonts w:hint="eastAsia" w:ascii="宋体" w:hAnsi="宋体" w:eastAsia="宋体" w:cs="宋体"/>
                <w:i w:val="0"/>
                <w:iCs w:val="0"/>
                <w:color w:val="000000"/>
                <w:sz w:val="21"/>
                <w:szCs w:val="21"/>
                <w:highlight w:val="none"/>
                <w:u w:val="none"/>
              </w:rPr>
            </w:pPr>
          </w:p>
        </w:tc>
        <w:tc>
          <w:tcPr>
            <w:tcW w:w="406" w:type="dxa"/>
            <w:gridSpan w:val="3"/>
            <w:tcBorders>
              <w:tl2br w:val="nil"/>
              <w:tr2bl w:val="nil"/>
            </w:tcBorders>
            <w:shd w:val="clear" w:color="auto" w:fill="auto"/>
            <w:vAlign w:val="center"/>
          </w:tcPr>
          <w:p w14:paraId="24E10D3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w:t>
            </w:r>
          </w:p>
        </w:tc>
        <w:tc>
          <w:tcPr>
            <w:tcW w:w="704" w:type="dxa"/>
            <w:tcBorders>
              <w:tl2br w:val="nil"/>
              <w:tr2bl w:val="nil"/>
            </w:tcBorders>
            <w:shd w:val="clear" w:color="auto" w:fill="auto"/>
            <w:vAlign w:val="center"/>
          </w:tcPr>
          <w:p w14:paraId="2DDC1FED">
            <w:pPr>
              <w:jc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sz w:val="21"/>
                <w:szCs w:val="21"/>
                <w:highlight w:val="none"/>
                <w:u w:val="none"/>
                <w:lang w:val="en-US" w:eastAsia="zh-CN"/>
              </w:rPr>
              <w:t>100%</w:t>
            </w:r>
          </w:p>
        </w:tc>
        <w:tc>
          <w:tcPr>
            <w:tcW w:w="750" w:type="dxa"/>
            <w:gridSpan w:val="2"/>
            <w:tcBorders>
              <w:tl2br w:val="nil"/>
              <w:tr2bl w:val="nil"/>
            </w:tcBorders>
            <w:shd w:val="clear" w:color="auto" w:fill="auto"/>
            <w:vAlign w:val="center"/>
          </w:tcPr>
          <w:p w14:paraId="39D2F46E">
            <w:pPr>
              <w:keepNext w:val="0"/>
              <w:keepLines w:val="0"/>
              <w:widowControl/>
              <w:suppressLineNumbers w:val="0"/>
              <w:jc w:val="center"/>
              <w:textAlignment w:val="center"/>
              <w:rPr>
                <w:rFonts w:hint="default"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2"/>
                <w:sz w:val="21"/>
                <w:szCs w:val="21"/>
                <w:highlight w:val="none"/>
                <w:u w:val="none"/>
                <w:lang w:val="en-US" w:eastAsia="zh-CN" w:bidi="ar-SA"/>
              </w:rPr>
              <w:t>4</w:t>
            </w:r>
          </w:p>
        </w:tc>
      </w:tr>
      <w:tr w14:paraId="08E212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30" w:hRule="atLeast"/>
        </w:trPr>
        <w:tc>
          <w:tcPr>
            <w:tcW w:w="1100" w:type="dxa"/>
            <w:vMerge w:val="continue"/>
            <w:tcBorders>
              <w:tl2br w:val="nil"/>
              <w:tr2bl w:val="nil"/>
            </w:tcBorders>
            <w:shd w:val="clear" w:color="auto" w:fill="auto"/>
            <w:vAlign w:val="center"/>
          </w:tcPr>
          <w:p w14:paraId="4E6A2D9A">
            <w:pPr>
              <w:jc w:val="center"/>
              <w:rPr>
                <w:rFonts w:hint="eastAsia" w:ascii="宋体" w:hAnsi="宋体" w:eastAsia="宋体" w:cs="宋体"/>
                <w:i w:val="0"/>
                <w:iCs w:val="0"/>
                <w:color w:val="000000"/>
                <w:sz w:val="21"/>
                <w:szCs w:val="21"/>
                <w:highlight w:val="none"/>
                <w:u w:val="none"/>
              </w:rPr>
            </w:pPr>
          </w:p>
        </w:tc>
        <w:tc>
          <w:tcPr>
            <w:tcW w:w="11501" w:type="dxa"/>
            <w:gridSpan w:val="15"/>
            <w:tcBorders>
              <w:tl2br w:val="nil"/>
              <w:tr2bl w:val="nil"/>
            </w:tcBorders>
            <w:shd w:val="clear" w:color="auto" w:fill="auto"/>
            <w:vAlign w:val="center"/>
          </w:tcPr>
          <w:p w14:paraId="44EAABFA">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小计</w:t>
            </w:r>
          </w:p>
        </w:tc>
        <w:tc>
          <w:tcPr>
            <w:tcW w:w="1155" w:type="dxa"/>
            <w:gridSpan w:val="9"/>
            <w:tcBorders>
              <w:tl2br w:val="nil"/>
              <w:tr2bl w:val="nil"/>
            </w:tcBorders>
            <w:shd w:val="clear" w:color="auto" w:fill="auto"/>
            <w:vAlign w:val="center"/>
          </w:tcPr>
          <w:p w14:paraId="22B9FDE1">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w:t>
            </w:r>
          </w:p>
        </w:tc>
        <w:tc>
          <w:tcPr>
            <w:tcW w:w="704" w:type="dxa"/>
            <w:tcBorders>
              <w:tl2br w:val="nil"/>
              <w:tr2bl w:val="nil"/>
            </w:tcBorders>
            <w:shd w:val="clear" w:color="auto" w:fill="auto"/>
            <w:vAlign w:val="center"/>
          </w:tcPr>
          <w:p w14:paraId="7E5D8D71">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750" w:type="dxa"/>
            <w:gridSpan w:val="2"/>
            <w:tcBorders>
              <w:tl2br w:val="nil"/>
              <w:tr2bl w:val="nil"/>
            </w:tcBorders>
            <w:shd w:val="clear" w:color="auto" w:fill="auto"/>
            <w:vAlign w:val="center"/>
          </w:tcPr>
          <w:p w14:paraId="0261986F">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sz w:val="21"/>
                <w:szCs w:val="21"/>
                <w:highlight w:val="none"/>
                <w:u w:val="none"/>
                <w:lang w:val="en-US" w:eastAsia="zh-CN"/>
              </w:rPr>
              <w:t>20</w:t>
            </w:r>
          </w:p>
        </w:tc>
      </w:tr>
      <w:tr w14:paraId="0ADA50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00" w:hRule="atLeast"/>
        </w:trPr>
        <w:tc>
          <w:tcPr>
            <w:tcW w:w="12601" w:type="dxa"/>
            <w:gridSpan w:val="16"/>
            <w:tcBorders>
              <w:tl2br w:val="nil"/>
              <w:tr2bl w:val="nil"/>
            </w:tcBorders>
            <w:shd w:val="clear" w:color="auto" w:fill="auto"/>
            <w:vAlign w:val="center"/>
          </w:tcPr>
          <w:p w14:paraId="7691D0AF">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合计</w:t>
            </w:r>
          </w:p>
        </w:tc>
        <w:tc>
          <w:tcPr>
            <w:tcW w:w="1155" w:type="dxa"/>
            <w:gridSpan w:val="9"/>
            <w:tcBorders>
              <w:tl2br w:val="nil"/>
              <w:tr2bl w:val="nil"/>
            </w:tcBorders>
            <w:shd w:val="clear" w:color="auto" w:fill="auto"/>
            <w:vAlign w:val="center"/>
          </w:tcPr>
          <w:p w14:paraId="5EDEA423">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rPr>
            </w:pPr>
            <w:r>
              <w:rPr>
                <w:rFonts w:hint="eastAsia" w:ascii="宋体" w:hAnsi="宋体" w:eastAsia="宋体" w:cs="宋体"/>
                <w:b/>
                <w:bCs/>
                <w:i w:val="0"/>
                <w:iCs w:val="0"/>
                <w:color w:val="000000"/>
                <w:kern w:val="0"/>
                <w:sz w:val="21"/>
                <w:szCs w:val="21"/>
                <w:highlight w:val="none"/>
                <w:u w:val="none"/>
                <w:lang w:val="en-US" w:eastAsia="zh-CN" w:bidi="ar"/>
              </w:rPr>
              <w:t>100</w:t>
            </w:r>
          </w:p>
        </w:tc>
        <w:tc>
          <w:tcPr>
            <w:tcW w:w="704" w:type="dxa"/>
            <w:tcBorders>
              <w:tl2br w:val="nil"/>
              <w:tr2bl w:val="nil"/>
            </w:tcBorders>
            <w:shd w:val="clear" w:color="auto" w:fill="auto"/>
            <w:vAlign w:val="center"/>
          </w:tcPr>
          <w:p w14:paraId="3A8B4D96">
            <w:pPr>
              <w:jc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750" w:type="dxa"/>
            <w:gridSpan w:val="2"/>
            <w:tcBorders>
              <w:tl2br w:val="nil"/>
              <w:tr2bl w:val="nil"/>
            </w:tcBorders>
            <w:shd w:val="clear" w:color="auto" w:fill="auto"/>
            <w:vAlign w:val="center"/>
          </w:tcPr>
          <w:p w14:paraId="0B144A61">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sz w:val="21"/>
                <w:szCs w:val="21"/>
                <w:highlight w:val="none"/>
                <w:u w:val="none"/>
                <w:lang w:val="en-US" w:eastAsia="zh-CN"/>
              </w:rPr>
              <w:t>97.92</w:t>
            </w:r>
          </w:p>
        </w:tc>
      </w:tr>
    </w:tbl>
    <w:p w14:paraId="0AF78E2D">
      <w:pPr>
        <w:numPr>
          <w:ilvl w:val="0"/>
          <w:numId w:val="0"/>
        </w:numPr>
        <w:rPr>
          <w:rFonts w:hint="eastAsia" w:ascii="黑体" w:eastAsia="黑体"/>
          <w:sz w:val="28"/>
          <w:szCs w:val="28"/>
          <w:highlight w:val="none"/>
          <w:lang w:eastAsia="zh-CN"/>
        </w:rPr>
      </w:pPr>
    </w:p>
    <w:p w14:paraId="32502C8A">
      <w:pPr>
        <w:numPr>
          <w:ilvl w:val="0"/>
          <w:numId w:val="1"/>
        </w:numPr>
        <w:ind w:firstLine="560" w:firstLineChars="200"/>
        <w:rPr>
          <w:rFonts w:hint="eastAsia" w:ascii="黑体" w:eastAsia="黑体"/>
          <w:sz w:val="28"/>
          <w:szCs w:val="28"/>
          <w:highlight w:val="none"/>
        </w:rPr>
      </w:pPr>
      <w:r>
        <w:rPr>
          <w:rFonts w:hint="eastAsia" w:ascii="黑体" w:eastAsia="黑体"/>
          <w:sz w:val="28"/>
          <w:szCs w:val="28"/>
          <w:highlight w:val="none"/>
        </w:rPr>
        <w:t>项目支出部门绩效评价报告</w:t>
      </w:r>
    </w:p>
    <w:p w14:paraId="5B512E6A">
      <w:pPr>
        <w:spacing w:line="560" w:lineRule="exact"/>
        <w:jc w:val="center"/>
        <w:rPr>
          <w:rFonts w:hint="eastAsia" w:ascii="宋体" w:hAnsi="宋体" w:cs="宋体"/>
          <w:b/>
          <w:bCs/>
          <w:sz w:val="32"/>
          <w:szCs w:val="32"/>
          <w:lang w:val="en-US" w:eastAsia="zh-CN"/>
        </w:rPr>
      </w:pPr>
      <w:r>
        <w:rPr>
          <w:rFonts w:hint="eastAsia" w:ascii="仿宋_GB2312" w:hAnsi="仿宋_GB2312" w:eastAsia="仿宋_GB2312" w:cs="仿宋_GB2312"/>
          <w:color w:val="000000"/>
          <w:kern w:val="0"/>
          <w:sz w:val="28"/>
          <w:szCs w:val="28"/>
          <w:lang w:val="en-US" w:eastAsia="zh-CN"/>
        </w:rPr>
        <w:t xml:space="preserve">  </w:t>
      </w:r>
      <w:r>
        <w:rPr>
          <w:rFonts w:hint="eastAsia" w:ascii="宋体" w:hAnsi="宋体" w:cs="宋体"/>
          <w:b/>
          <w:bCs/>
          <w:sz w:val="32"/>
          <w:szCs w:val="32"/>
          <w:lang w:val="en-US" w:eastAsia="zh-CN"/>
        </w:rPr>
        <w:t xml:space="preserve"> </w:t>
      </w:r>
      <w:r>
        <w:rPr>
          <w:rFonts w:hint="eastAsia" w:ascii="宋体" w:hAnsi="宋体" w:cs="宋体"/>
          <w:b/>
          <w:bCs/>
          <w:sz w:val="32"/>
          <w:szCs w:val="32"/>
        </w:rPr>
        <w:t>2024年大兴区自主就业退役士兵一次性经济补助金经费项目支出绩效评价报告</w:t>
      </w:r>
    </w:p>
    <w:p w14:paraId="418082E6">
      <w:pPr>
        <w:spacing w:line="520" w:lineRule="exact"/>
        <w:ind w:firstLine="560" w:firstLineChars="200"/>
        <w:rPr>
          <w:rFonts w:hint="eastAsia" w:ascii="黑体" w:hAnsi="黑体" w:eastAsia="黑体" w:cs="黑体"/>
          <w:bCs/>
          <w:color w:val="000000"/>
          <w:kern w:val="0"/>
          <w:sz w:val="28"/>
          <w:szCs w:val="28"/>
        </w:rPr>
      </w:pPr>
      <w:r>
        <w:rPr>
          <w:rFonts w:hint="eastAsia" w:ascii="黑体" w:hAnsi="黑体" w:eastAsia="黑体" w:cs="黑体"/>
          <w:bCs/>
          <w:color w:val="000000"/>
          <w:kern w:val="0"/>
          <w:sz w:val="28"/>
          <w:szCs w:val="28"/>
        </w:rPr>
        <w:t>一、基本情况</w:t>
      </w:r>
    </w:p>
    <w:p w14:paraId="2F4185F8">
      <w:pPr>
        <w:spacing w:line="520" w:lineRule="exact"/>
        <w:ind w:firstLine="560" w:firstLineChars="200"/>
        <w:outlineLvl w:val="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（一）项目概况</w:t>
      </w:r>
    </w:p>
    <w:p w14:paraId="54178212">
      <w:pPr>
        <w:spacing w:line="520" w:lineRule="exact"/>
        <w:ind w:firstLine="560" w:firstLineChars="200"/>
        <w:jc w:val="left"/>
        <w:outlineLvl w:val="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根据文件规定，为符合条件的自主就业退役士兵、自愿放弃政府安置选择自主就业的安排工作士兵发放自主就业退役士兵一次性经济补助金，使退役士兵退役后一段时期的生活水平与我区当地居民相对平衡，使国防和军队建设以及社会稳定得到保障和促进，严格按照北京市退役军人事务局等部门《关于进一步加强由政府安排工作退役士兵就业安置工作的实施意见》（京退役军人局发[2019]28号）；北京市民政局北京市财政局《关于对自主就业退役士兵实行一次性经                                                                                                       济补助的通知》（京民安发[2012]142号）；北京市退役军人事务局 北京市财政局《关于调整部分优抚对象抚恤补助、自主就业退役士兵一次性经济补助和义务兵家庭优待金等待遇的通知》（京退役军人局发[2022]16号）等文件要求和标准，积极协调财务部门完善预算资金。</w:t>
      </w:r>
    </w:p>
    <w:p w14:paraId="450E410F">
      <w:pPr>
        <w:spacing w:line="520" w:lineRule="exact"/>
        <w:ind w:firstLine="560" w:firstLineChars="200"/>
        <w:outlineLvl w:val="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该项目年初预算资金为2218.125万元，全年预算资金为2025.675185万元，共支出2025.675185万元，资金执行率为100%。</w:t>
      </w:r>
    </w:p>
    <w:p w14:paraId="4C1E5D3A">
      <w:pPr>
        <w:spacing w:line="520" w:lineRule="exact"/>
        <w:ind w:firstLine="560" w:firstLineChars="200"/>
        <w:outlineLvl w:val="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（二）</w:t>
      </w:r>
      <w:r>
        <w:rPr>
          <w:rFonts w:hint="eastAsia" w:ascii="仿宋_GB2312" w:hAnsi="仿宋_GB2312" w:eastAsia="仿宋_GB2312" w:cs="仿宋_GB2312"/>
          <w:color w:val="000000"/>
          <w:kern w:val="0"/>
          <w:sz w:val="28"/>
          <w:szCs w:val="28"/>
        </w:rPr>
        <w:t>项目绩效目标</w:t>
      </w:r>
    </w:p>
    <w:p w14:paraId="1A40A82B">
      <w:pPr>
        <w:spacing w:line="520" w:lineRule="exact"/>
        <w:ind w:firstLine="560" w:firstLineChars="200"/>
        <w:outlineLvl w:val="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总体目标：贯彻落实国家、北京市等各部门关于自主就业退役士兵一次性经济补助政策规定，为符合条件的自主就业退役士兵、自愿放弃政府安置选择灵活就业的退役士兵发放一次性经济补助金。</w:t>
      </w:r>
    </w:p>
    <w:p w14:paraId="4EC24BDF">
      <w:pPr>
        <w:spacing w:line="520" w:lineRule="exact"/>
        <w:ind w:firstLine="560" w:firstLineChars="200"/>
        <w:outlineLvl w:val="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阶段性目标：严格按照政策规定，为符合条件的198名自主就业退役士兵、1名自愿放弃政府安置选择灵活就业的退役士兵发放一次性经济补助金。按照规定，核准一次性经济补助金额，在规定的6个月内完成发放，贯彻落实自主就业退役士兵一次性经济补助政策，维护退役士兵个人权益,使国防和军队建设以及社会稳定得到保障和促进，保障发放对象满意率</w:t>
      </w:r>
      <w:r>
        <w:rPr>
          <w:rFonts w:hint="default" w:ascii="Arial" w:hAnsi="Arial" w:eastAsia="仿宋_GB2312" w:cs="Arial"/>
          <w:color w:val="000000"/>
          <w:kern w:val="0"/>
          <w:sz w:val="28"/>
          <w:szCs w:val="28"/>
          <w:lang w:val="en-US" w:eastAsia="zh-CN"/>
        </w:rPr>
        <w:t>≥</w:t>
      </w:r>
      <w:r>
        <w:rPr>
          <w:rFonts w:hint="eastAsia" w:ascii="仿宋_GB2312" w:hAnsi="仿宋_GB2312" w:eastAsia="仿宋_GB2312" w:cs="仿宋_GB2312"/>
          <w:color w:val="000000"/>
          <w:kern w:val="0"/>
          <w:sz w:val="28"/>
          <w:szCs w:val="28"/>
          <w:lang w:val="en-US" w:eastAsia="zh-CN"/>
        </w:rPr>
        <w:t>95%。</w:t>
      </w:r>
    </w:p>
    <w:p w14:paraId="151F0873">
      <w:pPr>
        <w:spacing w:line="520" w:lineRule="exact"/>
        <w:ind w:firstLine="560" w:firstLineChars="200"/>
        <w:rPr>
          <w:rFonts w:hint="eastAsia" w:ascii="黑体" w:hAnsi="黑体" w:eastAsia="黑体" w:cs="黑体"/>
          <w:bCs/>
          <w:color w:val="000000"/>
          <w:kern w:val="0"/>
          <w:sz w:val="28"/>
          <w:szCs w:val="28"/>
        </w:rPr>
      </w:pPr>
      <w:r>
        <w:rPr>
          <w:rFonts w:hint="eastAsia" w:ascii="黑体" w:hAnsi="黑体" w:eastAsia="黑体" w:cs="黑体"/>
          <w:bCs/>
          <w:color w:val="000000"/>
          <w:kern w:val="0"/>
          <w:sz w:val="28"/>
          <w:szCs w:val="28"/>
        </w:rPr>
        <w:t>二、绩效评价工作开展情况</w:t>
      </w:r>
    </w:p>
    <w:p w14:paraId="096B326F">
      <w:pPr>
        <w:spacing w:line="520" w:lineRule="exact"/>
        <w:ind w:firstLine="560" w:firstLineChars="200"/>
        <w:outlineLvl w:val="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依据相关文件规定做好自主就业退役士兵和自愿放弃政府安置选择灵活就业的退役士兵接收报到、适应性培训、一次性经济补助金额核算等前期相关工作，规范工作流程。一次性经济补助工作资金严格按照《大兴区退役军人事务局财务管理（暂行）办法》做好资金审核、发放等工作，有效防控各类财务风险；保障项目任务高质量完成</w:t>
      </w:r>
      <w:r>
        <w:rPr>
          <w:rFonts w:hint="eastAsia" w:ascii="仿宋_GB2312" w:hAnsi="仿宋_GB2312" w:eastAsia="仿宋_GB2312" w:cs="仿宋_GB2312"/>
          <w:color w:val="000000"/>
          <w:kern w:val="0"/>
          <w:sz w:val="28"/>
          <w:szCs w:val="28"/>
        </w:rPr>
        <w:t>。</w:t>
      </w:r>
    </w:p>
    <w:p w14:paraId="362904F0">
      <w:pPr>
        <w:spacing w:line="520" w:lineRule="exact"/>
        <w:ind w:firstLine="560" w:firstLineChars="200"/>
        <w:outlineLvl w:val="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一次性经济补助金发放具体流程为：</w:t>
      </w:r>
    </w:p>
    <w:p w14:paraId="3D2AAA37">
      <w:pPr>
        <w:spacing w:line="520" w:lineRule="exact"/>
        <w:ind w:firstLine="560" w:firstLineChars="200"/>
        <w:outlineLvl w:val="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第一步向符合条件的自主就业退役士兵收取银行卡号等申请材料，并由士兵在“一件事”系统上传；自愿放弃政府安置选择灵活就业的退役士兵书面签订《安排工作退役士兵自愿放弃安排工作选择灵活就业申请表》《安排工作退役士兵自愿放弃安排工作选择灵活就业协议书》等材料</w:t>
      </w:r>
    </w:p>
    <w:p w14:paraId="087BA2A1">
      <w:pPr>
        <w:spacing w:line="520" w:lineRule="exact"/>
        <w:ind w:firstLine="560" w:firstLineChars="200"/>
        <w:outlineLvl w:val="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第二步由区退役军人事务局在“一件事”系统审核相关材料，并在系统上审批；建立自主就业退役士兵和自愿放弃政府安置选择灵活就业的退役士兵一次性经济补助金发放台帐；</w:t>
      </w:r>
    </w:p>
    <w:p w14:paraId="5788CF92">
      <w:pPr>
        <w:spacing w:line="520" w:lineRule="exact"/>
        <w:ind w:firstLine="560" w:firstLineChars="200"/>
        <w:outlineLvl w:val="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第三步向局党组报“三重一大”会议材料；</w:t>
      </w:r>
    </w:p>
    <w:p w14:paraId="09DE8A25">
      <w:pPr>
        <w:spacing w:line="520" w:lineRule="exact"/>
        <w:ind w:firstLine="560" w:firstLineChars="200"/>
        <w:outlineLvl w:val="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第四步经局党组“三重一大”审批后，报局领导审批；</w:t>
      </w:r>
    </w:p>
    <w:p w14:paraId="3DC4F8BD">
      <w:pPr>
        <w:spacing w:line="520" w:lineRule="exact"/>
        <w:ind w:firstLine="560" w:firstLineChars="200"/>
        <w:outlineLvl w:val="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第五步通过审批后，由局财务按照自主就业退役士兵一次性经济补助金发放台帐将资金汇入自主就业退役士兵和自愿放弃政府安置选择灵活就业的退役士兵个人银行账户；</w:t>
      </w:r>
    </w:p>
    <w:p w14:paraId="075A8A88">
      <w:pPr>
        <w:spacing w:line="520" w:lineRule="exact"/>
        <w:ind w:firstLine="560" w:firstLineChars="200"/>
        <w:outlineLvl w:val="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第六步通知自主就业退役士兵和自愿放弃政府安置选择灵活就业的安排工作士兵查看资金到账情况，后续进行满意度调查。</w:t>
      </w:r>
    </w:p>
    <w:p w14:paraId="45A1B41A">
      <w:pPr>
        <w:spacing w:line="520" w:lineRule="exact"/>
        <w:ind w:firstLine="560" w:firstLineChars="200"/>
        <w:rPr>
          <w:rFonts w:hint="eastAsia" w:ascii="黑体" w:hAnsi="黑体" w:eastAsia="黑体" w:cs="黑体"/>
          <w:bCs/>
          <w:color w:val="000000"/>
          <w:kern w:val="0"/>
          <w:sz w:val="28"/>
          <w:szCs w:val="28"/>
        </w:rPr>
      </w:pPr>
      <w:r>
        <w:rPr>
          <w:rFonts w:hint="eastAsia" w:ascii="黑体" w:hAnsi="黑体" w:eastAsia="黑体" w:cs="黑体"/>
          <w:bCs/>
          <w:color w:val="000000"/>
          <w:kern w:val="0"/>
          <w:sz w:val="28"/>
          <w:szCs w:val="28"/>
        </w:rPr>
        <w:t>三、综合评价情况及评价结论</w:t>
      </w:r>
    </w:p>
    <w:p w14:paraId="122AB385">
      <w:pPr>
        <w:spacing w:line="520" w:lineRule="exact"/>
        <w:ind w:firstLine="560" w:firstLineChars="200"/>
        <w:outlineLvl w:val="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eastAsia="zh-CN"/>
        </w:rPr>
        <w:t>项目评价执行率得分</w:t>
      </w:r>
      <w:r>
        <w:rPr>
          <w:rFonts w:hint="eastAsia" w:ascii="仿宋_GB2312" w:hAnsi="仿宋_GB2312" w:eastAsia="仿宋_GB2312" w:cs="仿宋_GB2312"/>
          <w:color w:val="000000"/>
          <w:kern w:val="0"/>
          <w:sz w:val="28"/>
          <w:szCs w:val="28"/>
          <w:lang w:val="en-US" w:eastAsia="zh-CN"/>
        </w:rPr>
        <w:t>10分，产出指标得分40分，成本指标得分10分，效益指标得分30分，满意度指标得分10分。</w:t>
      </w:r>
      <w:r>
        <w:rPr>
          <w:rFonts w:hint="eastAsia" w:ascii="仿宋_GB2312" w:hAnsi="仿宋_GB2312" w:eastAsia="仿宋_GB2312" w:cs="仿宋_GB2312"/>
          <w:color w:val="000000"/>
          <w:kern w:val="0"/>
          <w:sz w:val="28"/>
          <w:szCs w:val="28"/>
          <w:lang w:eastAsia="zh-CN"/>
        </w:rPr>
        <w:t>总分得分</w:t>
      </w:r>
      <w:r>
        <w:rPr>
          <w:rFonts w:hint="eastAsia" w:ascii="仿宋_GB2312" w:hAnsi="仿宋_GB2312" w:eastAsia="仿宋_GB2312" w:cs="仿宋_GB2312"/>
          <w:color w:val="000000"/>
          <w:kern w:val="0"/>
          <w:sz w:val="28"/>
          <w:szCs w:val="28"/>
          <w:lang w:val="en-US" w:eastAsia="zh-CN"/>
        </w:rPr>
        <w:t>100分，评价结论为优。</w:t>
      </w:r>
    </w:p>
    <w:p w14:paraId="0AC48B80">
      <w:pPr>
        <w:spacing w:line="520" w:lineRule="exact"/>
        <w:ind w:firstLine="560" w:firstLineChars="200"/>
        <w:rPr>
          <w:rFonts w:hint="eastAsia" w:ascii="黑体" w:hAnsi="黑体" w:eastAsia="黑体" w:cs="黑体"/>
          <w:bCs/>
          <w:color w:val="000000"/>
          <w:kern w:val="0"/>
          <w:sz w:val="28"/>
          <w:szCs w:val="28"/>
        </w:rPr>
      </w:pPr>
      <w:r>
        <w:rPr>
          <w:rFonts w:hint="eastAsia" w:ascii="黑体" w:hAnsi="黑体" w:eastAsia="黑体" w:cs="黑体"/>
          <w:bCs/>
          <w:color w:val="000000"/>
          <w:kern w:val="0"/>
          <w:sz w:val="28"/>
          <w:szCs w:val="28"/>
        </w:rPr>
        <w:t>四、绩效评价指标分析</w:t>
      </w:r>
    </w:p>
    <w:p w14:paraId="37C79F0F">
      <w:pPr>
        <w:spacing w:line="520" w:lineRule="exact"/>
        <w:ind w:firstLine="560" w:firstLineChars="200"/>
        <w:outlineLvl w:val="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（一）项目决策情况</w:t>
      </w:r>
    </w:p>
    <w:p w14:paraId="186C4F97">
      <w:pPr>
        <w:spacing w:line="520" w:lineRule="exact"/>
        <w:ind w:firstLine="560" w:firstLineChars="200"/>
        <w:outlineLvl w:val="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在项目决策过程中,严格按照时间结点进行推进，科学设置绩效目标，贯彻落实国家、北京市等各部门关于自主就业退役士兵一次性经济补助政策规定，自主就业退役士兵一次性经济补助金资金支付均严格按照局财务制度，报请“三重一大”，再报请局领导审批，由局财务拨付等流程，资金发放标准明确、发放形式安全。做好符合条件的自主就业退役士兵、自愿放弃政府安置选择灵活就业的退役士兵发放一次性经济补助金发放工作，切实提高工作效率。</w:t>
      </w:r>
    </w:p>
    <w:p w14:paraId="7A5054A8">
      <w:pPr>
        <w:spacing w:line="520" w:lineRule="exact"/>
        <w:ind w:firstLine="560" w:firstLineChars="200"/>
        <w:outlineLvl w:val="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（二）项目过程情况</w:t>
      </w:r>
    </w:p>
    <w:p w14:paraId="0AE07125">
      <w:pPr>
        <w:spacing w:line="520" w:lineRule="exact"/>
        <w:ind w:firstLine="560" w:firstLineChars="200"/>
        <w:outlineLvl w:val="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1.2024年1月为2023年9月至12月退役的111名自主就业退役士兵，发放本项目资金1133</w:t>
      </w:r>
      <w:r>
        <w:rPr>
          <w:rFonts w:hint="eastAsia" w:ascii="仿宋_GB2312" w:hAnsi="仿宋_GB2312" w:eastAsia="仿宋_GB2312" w:cs="仿宋_GB2312"/>
          <w:color w:val="000000"/>
          <w:kern w:val="0"/>
          <w:sz w:val="28"/>
          <w:szCs w:val="28"/>
          <w:lang w:val="en" w:eastAsia="zh-CN"/>
        </w:rPr>
        <w:t>.8875</w:t>
      </w:r>
      <w:r>
        <w:rPr>
          <w:rFonts w:hint="eastAsia" w:ascii="仿宋_GB2312" w:hAnsi="仿宋_GB2312" w:eastAsia="仿宋_GB2312" w:cs="仿宋_GB2312"/>
          <w:color w:val="000000"/>
          <w:kern w:val="0"/>
          <w:sz w:val="28"/>
          <w:szCs w:val="28"/>
          <w:lang w:val="en-US" w:eastAsia="zh-CN"/>
        </w:rPr>
        <w:t>万元。</w:t>
      </w:r>
    </w:p>
    <w:p w14:paraId="4D4F8B2F">
      <w:pPr>
        <w:spacing w:line="520" w:lineRule="exact"/>
        <w:ind w:firstLine="560" w:firstLineChars="200"/>
        <w:outlineLvl w:val="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2.2024年</w:t>
      </w:r>
      <w:r>
        <w:rPr>
          <w:rFonts w:hint="eastAsia" w:ascii="仿宋_GB2312" w:hAnsi="仿宋_GB2312" w:eastAsia="仿宋_GB2312" w:cs="仿宋_GB2312"/>
          <w:color w:val="000000"/>
          <w:kern w:val="0"/>
          <w:sz w:val="28"/>
          <w:szCs w:val="28"/>
          <w:lang w:val="en" w:eastAsia="zh-CN"/>
        </w:rPr>
        <w:t>3</w:t>
      </w:r>
      <w:r>
        <w:rPr>
          <w:rFonts w:hint="eastAsia" w:ascii="仿宋_GB2312" w:hAnsi="仿宋_GB2312" w:eastAsia="仿宋_GB2312" w:cs="仿宋_GB2312"/>
          <w:color w:val="000000"/>
          <w:kern w:val="0"/>
          <w:sz w:val="28"/>
          <w:szCs w:val="28"/>
          <w:lang w:val="en-US" w:eastAsia="zh-CN"/>
        </w:rPr>
        <w:t>月为2023年9月退役的2名自主就业退役士兵（自主就业退出消防员），发放本项目资金24万元。</w:t>
      </w:r>
    </w:p>
    <w:p w14:paraId="3ABCBE1F">
      <w:pPr>
        <w:spacing w:line="520" w:lineRule="exact"/>
        <w:ind w:firstLine="560" w:firstLineChars="200"/>
        <w:outlineLvl w:val="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3.2024年6月为2024年3月退役的84名自主就业退役士兵，发放本项目资金840.5万元。</w:t>
      </w:r>
    </w:p>
    <w:p w14:paraId="4710BE44">
      <w:pPr>
        <w:spacing w:line="520" w:lineRule="exact"/>
        <w:ind w:firstLine="560" w:firstLineChars="200"/>
        <w:outlineLvl w:val="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4.2024年7月为1名伤病残自主就业退役士兵，发放本项目资金6.959685万元。</w:t>
      </w:r>
    </w:p>
    <w:p w14:paraId="527B2CA7">
      <w:pPr>
        <w:spacing w:line="520" w:lineRule="exact"/>
        <w:ind w:firstLine="560" w:firstLineChars="200"/>
        <w:outlineLvl w:val="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5.2024年9月为1名自愿放弃政府安置选择灵活就业的退役士兵，发放本项目资金20.328万元。</w:t>
      </w:r>
    </w:p>
    <w:p w14:paraId="12C94D4E">
      <w:pPr>
        <w:spacing w:line="520" w:lineRule="exact"/>
        <w:ind w:firstLine="560" w:firstLineChars="200"/>
        <w:outlineLvl w:val="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上述199人共发放本项目资金2025.675185万元，本项目资金支出率100%。</w:t>
      </w:r>
    </w:p>
    <w:p w14:paraId="1B68B135">
      <w:pPr>
        <w:spacing w:line="520" w:lineRule="exact"/>
        <w:ind w:firstLine="560" w:firstLineChars="200"/>
        <w:outlineLvl w:val="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（三）</w:t>
      </w:r>
      <w:r>
        <w:rPr>
          <w:rFonts w:hint="eastAsia" w:ascii="仿宋_GB2312" w:hAnsi="仿宋_GB2312" w:eastAsia="仿宋_GB2312" w:cs="仿宋_GB2312"/>
          <w:color w:val="000000"/>
          <w:kern w:val="0"/>
          <w:sz w:val="28"/>
          <w:szCs w:val="28"/>
        </w:rPr>
        <w:t>项目产出情况</w:t>
      </w:r>
    </w:p>
    <w:p w14:paraId="32630EE2">
      <w:pPr>
        <w:spacing w:line="520" w:lineRule="exact"/>
        <w:ind w:firstLine="560" w:firstLineChars="200"/>
        <w:outlineLvl w:val="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在项目产出过程中,严格按照规定做好金额核算、资金发放、材料归档等环节。对符合条件的自主就业退役士兵收取银行卡号等申请材料，由士兵在“一件事”系统上传；对自愿放弃政府安置选择灵活就业的退役士兵书面签订《安排工作退役士兵自愿放弃安排工作选择灵活就业申请表》《安排工作退役士兵自愿放弃安排工作选择灵活就业协议书》等材料。</w:t>
      </w:r>
    </w:p>
    <w:p w14:paraId="00B5B155">
      <w:pPr>
        <w:spacing w:line="520" w:lineRule="exact"/>
        <w:ind w:firstLine="560" w:firstLineChars="200"/>
        <w:outlineLvl w:val="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自主就业退役士兵一次性经济补助金资金支付均严格按照局财务制度，报请“三重一大”，再报请局领导审批，由局财务拨付等流程，资金发放标准明确、发放形式安全；工作完成后及时整理材料并归档。</w:t>
      </w:r>
    </w:p>
    <w:p w14:paraId="20B7A73F">
      <w:pPr>
        <w:spacing w:line="520" w:lineRule="exact"/>
        <w:ind w:firstLine="560" w:firstLineChars="200"/>
        <w:outlineLvl w:val="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（四）</w:t>
      </w:r>
      <w:r>
        <w:rPr>
          <w:rFonts w:hint="eastAsia" w:ascii="仿宋_GB2312" w:hAnsi="仿宋_GB2312" w:eastAsia="仿宋_GB2312" w:cs="仿宋_GB2312"/>
          <w:color w:val="000000"/>
          <w:kern w:val="0"/>
          <w:sz w:val="28"/>
          <w:szCs w:val="28"/>
        </w:rPr>
        <w:t>项目效益情况</w:t>
      </w:r>
    </w:p>
    <w:p w14:paraId="36EFBD38">
      <w:pPr>
        <w:spacing w:line="520" w:lineRule="exact"/>
        <w:ind w:firstLine="560" w:firstLineChars="200"/>
        <w:outlineLvl w:val="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本项目为符合条件的自主就业退役士兵和自愿放弃政府安置选择灵活就业的退役士兵按规定流程办理，维护了退役士兵个人权益，提升了退役士兵获得感和幸福感。为了对自主就业退役士兵一次性经济补助工作进行客观地反映和监督，充分了解退役士兵的真实想法以便后续更好地开展服务和保障工作，为符合条件的198名自主就业退役士兵、1名自愿放弃政府安置选择灵活就业的退役士兵开展了满意度调查问卷，收回有效问卷124份，满意度100%。</w:t>
      </w:r>
    </w:p>
    <w:p w14:paraId="4252C4EC">
      <w:pPr>
        <w:spacing w:line="520" w:lineRule="exact"/>
        <w:ind w:firstLine="560" w:firstLineChars="200"/>
        <w:rPr>
          <w:rFonts w:hint="eastAsia" w:ascii="黑体" w:hAnsi="黑体" w:eastAsia="黑体" w:cs="黑体"/>
          <w:bCs/>
          <w:color w:val="000000"/>
          <w:kern w:val="0"/>
          <w:sz w:val="28"/>
          <w:szCs w:val="28"/>
        </w:rPr>
      </w:pPr>
      <w:r>
        <w:rPr>
          <w:rFonts w:hint="eastAsia" w:ascii="黑体" w:hAnsi="黑体" w:eastAsia="黑体" w:cs="黑体"/>
          <w:bCs/>
          <w:color w:val="000000"/>
          <w:kern w:val="0"/>
          <w:sz w:val="28"/>
          <w:szCs w:val="28"/>
          <w:lang w:eastAsia="zh-CN"/>
        </w:rPr>
        <w:t>五、</w:t>
      </w:r>
      <w:r>
        <w:rPr>
          <w:rFonts w:hint="eastAsia" w:ascii="黑体" w:hAnsi="黑体" w:eastAsia="黑体" w:cs="黑体"/>
          <w:bCs/>
          <w:color w:val="000000"/>
          <w:kern w:val="0"/>
          <w:sz w:val="28"/>
          <w:szCs w:val="28"/>
        </w:rPr>
        <w:t>主要经验及做法、存在的问题及原因分析</w:t>
      </w:r>
    </w:p>
    <w:p w14:paraId="55F7A0F8">
      <w:pPr>
        <w:spacing w:line="520" w:lineRule="exact"/>
        <w:ind w:firstLine="560" w:firstLineChars="200"/>
        <w:outlineLvl w:val="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及时与财务部门协调经费问题，持续做好自主就业退役士兵一次性经济补助发放信息核对、积极与局财务部门对接并进行资金确认等事项，确保自主就业退役士兵一次性经济补助按时按标准进行发放。</w:t>
      </w:r>
      <w:r>
        <w:rPr>
          <w:rFonts w:hint="eastAsia" w:ascii="仿宋_GB2312" w:hAnsi="仿宋_GB2312" w:eastAsia="仿宋_GB2312" w:cs="仿宋_GB2312"/>
          <w:color w:val="000000"/>
          <w:kern w:val="0"/>
          <w:sz w:val="28"/>
          <w:szCs w:val="28"/>
          <w:lang w:val="en-US" w:eastAsia="zh-CN"/>
        </w:rPr>
        <w:t>切实加强本项目自评结果的整理、分析，将自评结果作为本部门完善工作和改进管理的重要依据。</w:t>
      </w:r>
    </w:p>
    <w:p w14:paraId="1A28B897">
      <w:pPr>
        <w:spacing w:line="520" w:lineRule="exact"/>
        <w:ind w:firstLine="560" w:firstLineChars="200"/>
        <w:rPr>
          <w:rFonts w:hint="eastAsia" w:ascii="黑体" w:hAnsi="黑体" w:eastAsia="黑体" w:cs="黑体"/>
          <w:bCs/>
          <w:color w:val="000000"/>
          <w:kern w:val="0"/>
          <w:sz w:val="28"/>
          <w:szCs w:val="28"/>
        </w:rPr>
      </w:pPr>
      <w:r>
        <w:rPr>
          <w:rFonts w:hint="eastAsia" w:ascii="黑体" w:hAnsi="黑体" w:eastAsia="黑体" w:cs="黑体"/>
          <w:bCs/>
          <w:color w:val="000000"/>
          <w:kern w:val="0"/>
          <w:sz w:val="28"/>
          <w:szCs w:val="28"/>
          <w:lang w:eastAsia="zh-CN"/>
        </w:rPr>
        <w:t>六、</w:t>
      </w:r>
      <w:r>
        <w:rPr>
          <w:rFonts w:hint="eastAsia" w:ascii="黑体" w:hAnsi="黑体" w:eastAsia="黑体" w:cs="黑体"/>
          <w:bCs/>
          <w:color w:val="000000"/>
          <w:kern w:val="0"/>
          <w:sz w:val="28"/>
          <w:szCs w:val="28"/>
        </w:rPr>
        <w:t>有关建议</w:t>
      </w:r>
    </w:p>
    <w:p w14:paraId="25926051">
      <w:pPr>
        <w:spacing w:line="520" w:lineRule="exact"/>
        <w:ind w:firstLine="560" w:firstLineChars="200"/>
        <w:outlineLvl w:val="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下一步我部门将努力做好此项目合理的预估，避免资金执行率缓慢情况。同时也建议持续优化、简化、完善项目绩效目标和绩效指标体系，突出目标的效益性，注重指标设计的完备性和可量化性。便于绩效目标数据的跟踪、采集、分析工作，建立健全基于数据的绩效分析自评工作机制。</w:t>
      </w:r>
    </w:p>
    <w:p w14:paraId="29C3D481">
      <w:pPr>
        <w:spacing w:line="520" w:lineRule="exact"/>
        <w:ind w:firstLine="560" w:firstLineChars="200"/>
        <w:rPr>
          <w:rFonts w:hint="eastAsia" w:ascii="黑体" w:hAnsi="黑体" w:eastAsia="黑体" w:cs="黑体"/>
          <w:bCs/>
          <w:color w:val="000000"/>
          <w:kern w:val="0"/>
          <w:sz w:val="28"/>
          <w:szCs w:val="28"/>
        </w:rPr>
      </w:pPr>
      <w:r>
        <w:rPr>
          <w:rFonts w:hint="eastAsia" w:ascii="黑体" w:hAnsi="黑体" w:eastAsia="黑体" w:cs="黑体"/>
          <w:bCs/>
          <w:color w:val="000000"/>
          <w:kern w:val="0"/>
          <w:sz w:val="28"/>
          <w:szCs w:val="28"/>
          <w:lang w:eastAsia="zh-CN"/>
        </w:rPr>
        <w:t>七、</w:t>
      </w:r>
      <w:r>
        <w:rPr>
          <w:rFonts w:hint="eastAsia" w:ascii="黑体" w:hAnsi="黑体" w:eastAsia="黑体" w:cs="黑体"/>
          <w:bCs/>
          <w:color w:val="000000"/>
          <w:kern w:val="0"/>
          <w:sz w:val="28"/>
          <w:szCs w:val="28"/>
        </w:rPr>
        <w:t>其他需要说明的问题</w:t>
      </w:r>
    </w:p>
    <w:p w14:paraId="3C2E2453">
      <w:pPr>
        <w:spacing w:line="520" w:lineRule="exact"/>
        <w:ind w:firstLine="560" w:firstLineChars="200"/>
        <w:outlineLvl w:val="0"/>
        <w:rPr>
          <w:rFonts w:hint="eastAsia" w:ascii="黑体" w:eastAsia="黑体"/>
          <w:sz w:val="28"/>
          <w:szCs w:val="28"/>
          <w:highlight w:val="none"/>
          <w:lang w:eastAsia="zh-CN"/>
        </w:rPr>
      </w:pPr>
      <w:r>
        <w:rPr>
          <w:rFonts w:hint="eastAsia" w:ascii="仿宋_GB2312" w:hAnsi="仿宋_GB2312" w:eastAsia="仿宋_GB2312" w:cs="仿宋_GB2312"/>
          <w:color w:val="000000"/>
          <w:kern w:val="0"/>
          <w:sz w:val="28"/>
          <w:szCs w:val="28"/>
          <w:lang w:val="en-US" w:eastAsia="zh-CN"/>
        </w:rPr>
        <w:t xml:space="preserve">无  </w:t>
      </w:r>
    </w:p>
    <w:p w14:paraId="62377B4E">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780F9B88">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p w14:paraId="213506D5">
      <w:pPr>
        <w:spacing w:line="480" w:lineRule="exact"/>
        <w:rPr>
          <w:rFonts w:hint="eastAsia" w:ascii="仿宋_GB2312" w:hAnsi="仿宋_GB2312" w:eastAsia="仿宋_GB2312" w:cs="仿宋_GB2312"/>
          <w:sz w:val="32"/>
          <w:szCs w:val="32"/>
        </w:rPr>
      </w:pPr>
    </w:p>
    <w:p w14:paraId="2B9F03D3">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文星标宋">
    <w:altName w:val="微软雅黑"/>
    <w:panose1 w:val="00000000000000000000"/>
    <w:charset w:val="86"/>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E755AA">
    <w:pPr>
      <w:pStyle w:val="7"/>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14:paraId="6D7BC281">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86E3C0">
    <w:pPr>
      <w:pStyle w:val="7"/>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14:paraId="5AC2345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9CEABA">
    <w:pPr>
      <w:pStyle w:val="7"/>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14:paraId="03A59EB5">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DC74BB"/>
    <w:multiLevelType w:val="singleLevel"/>
    <w:tmpl w:val="81DC74BB"/>
    <w:lvl w:ilvl="0" w:tentative="0">
      <w:start w:val="1"/>
      <w:numFmt w:val="decimal"/>
      <w:lvlText w:val="%1."/>
      <w:lvlJc w:val="left"/>
      <w:pPr>
        <w:tabs>
          <w:tab w:val="left" w:pos="312"/>
        </w:tabs>
      </w:pPr>
    </w:lvl>
  </w:abstractNum>
  <w:abstractNum w:abstractNumId="1">
    <w:nsid w:val="8D7E84BE"/>
    <w:multiLevelType w:val="singleLevel"/>
    <w:tmpl w:val="8D7E84B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C810B9"/>
    <w:rsid w:val="02DA3886"/>
    <w:rsid w:val="02F120AB"/>
    <w:rsid w:val="032B5196"/>
    <w:rsid w:val="033332A6"/>
    <w:rsid w:val="03F434D0"/>
    <w:rsid w:val="04C3537C"/>
    <w:rsid w:val="055C30DB"/>
    <w:rsid w:val="05AA61CC"/>
    <w:rsid w:val="06435032"/>
    <w:rsid w:val="072A460F"/>
    <w:rsid w:val="079004AC"/>
    <w:rsid w:val="07BE62CF"/>
    <w:rsid w:val="084C38DA"/>
    <w:rsid w:val="09792FD8"/>
    <w:rsid w:val="09806698"/>
    <w:rsid w:val="09AB4631"/>
    <w:rsid w:val="0B0F299D"/>
    <w:rsid w:val="0B854C3D"/>
    <w:rsid w:val="0B8E5FB8"/>
    <w:rsid w:val="0BA148CA"/>
    <w:rsid w:val="0C1165C4"/>
    <w:rsid w:val="0C72576D"/>
    <w:rsid w:val="0D6D544B"/>
    <w:rsid w:val="0DB461AA"/>
    <w:rsid w:val="0DD136FE"/>
    <w:rsid w:val="0E407A3D"/>
    <w:rsid w:val="0EA578A0"/>
    <w:rsid w:val="0ECA4B48"/>
    <w:rsid w:val="0F542F2C"/>
    <w:rsid w:val="0F5F28E3"/>
    <w:rsid w:val="0F8E2C57"/>
    <w:rsid w:val="0FD146C5"/>
    <w:rsid w:val="1059665E"/>
    <w:rsid w:val="10AC13BA"/>
    <w:rsid w:val="11052878"/>
    <w:rsid w:val="11095B5C"/>
    <w:rsid w:val="13A66595"/>
    <w:rsid w:val="145A6C1B"/>
    <w:rsid w:val="145C6C53"/>
    <w:rsid w:val="14B73493"/>
    <w:rsid w:val="14EA0E8A"/>
    <w:rsid w:val="160457F4"/>
    <w:rsid w:val="167A2FF9"/>
    <w:rsid w:val="171E6442"/>
    <w:rsid w:val="1764587C"/>
    <w:rsid w:val="17F04282"/>
    <w:rsid w:val="18581C69"/>
    <w:rsid w:val="18BB11EA"/>
    <w:rsid w:val="19836CEC"/>
    <w:rsid w:val="1AEC0734"/>
    <w:rsid w:val="1B143AC2"/>
    <w:rsid w:val="1BE340FE"/>
    <w:rsid w:val="1CC01D49"/>
    <w:rsid w:val="1CCC6940"/>
    <w:rsid w:val="1D706292"/>
    <w:rsid w:val="1D9A4586"/>
    <w:rsid w:val="1DEF20B0"/>
    <w:rsid w:val="1E390005"/>
    <w:rsid w:val="1E7601F6"/>
    <w:rsid w:val="1EEC608F"/>
    <w:rsid w:val="1F4C34D6"/>
    <w:rsid w:val="1FBB33C8"/>
    <w:rsid w:val="1FE44638"/>
    <w:rsid w:val="1FF7AB17"/>
    <w:rsid w:val="214243FA"/>
    <w:rsid w:val="21AD613C"/>
    <w:rsid w:val="21CA2F06"/>
    <w:rsid w:val="21EE4E29"/>
    <w:rsid w:val="22237002"/>
    <w:rsid w:val="22467189"/>
    <w:rsid w:val="22A77C33"/>
    <w:rsid w:val="2372725F"/>
    <w:rsid w:val="25205A7B"/>
    <w:rsid w:val="252437BD"/>
    <w:rsid w:val="257A14F5"/>
    <w:rsid w:val="25810204"/>
    <w:rsid w:val="2603738B"/>
    <w:rsid w:val="266D6DF5"/>
    <w:rsid w:val="26C03072"/>
    <w:rsid w:val="26F86CAF"/>
    <w:rsid w:val="270A69E3"/>
    <w:rsid w:val="27196C26"/>
    <w:rsid w:val="277F1F7D"/>
    <w:rsid w:val="27A74232"/>
    <w:rsid w:val="27BA21B7"/>
    <w:rsid w:val="28AD1D1C"/>
    <w:rsid w:val="29EF086F"/>
    <w:rsid w:val="2AA614EB"/>
    <w:rsid w:val="2B277B63"/>
    <w:rsid w:val="2B285689"/>
    <w:rsid w:val="2BB331A5"/>
    <w:rsid w:val="2BC34C59"/>
    <w:rsid w:val="2BEE5789"/>
    <w:rsid w:val="2BFA5602"/>
    <w:rsid w:val="2CE461DD"/>
    <w:rsid w:val="2E41718E"/>
    <w:rsid w:val="2ED00118"/>
    <w:rsid w:val="2EFFE297"/>
    <w:rsid w:val="2FCF07C9"/>
    <w:rsid w:val="301437CA"/>
    <w:rsid w:val="31723B02"/>
    <w:rsid w:val="31741628"/>
    <w:rsid w:val="31DB16A7"/>
    <w:rsid w:val="325F4087"/>
    <w:rsid w:val="33865643"/>
    <w:rsid w:val="338B2C59"/>
    <w:rsid w:val="349D1F0A"/>
    <w:rsid w:val="34DD0473"/>
    <w:rsid w:val="35B217DB"/>
    <w:rsid w:val="3627310D"/>
    <w:rsid w:val="37E755AA"/>
    <w:rsid w:val="37F065A7"/>
    <w:rsid w:val="391D07F7"/>
    <w:rsid w:val="3982065B"/>
    <w:rsid w:val="39A24859"/>
    <w:rsid w:val="3A8E35DC"/>
    <w:rsid w:val="3B2C2F74"/>
    <w:rsid w:val="3C335C3C"/>
    <w:rsid w:val="3C684897"/>
    <w:rsid w:val="3C9225E9"/>
    <w:rsid w:val="3D423410"/>
    <w:rsid w:val="3DC72AE0"/>
    <w:rsid w:val="4111120B"/>
    <w:rsid w:val="41DD28D2"/>
    <w:rsid w:val="42990943"/>
    <w:rsid w:val="432D5ADB"/>
    <w:rsid w:val="433E495C"/>
    <w:rsid w:val="438A0ED8"/>
    <w:rsid w:val="43CB4BD1"/>
    <w:rsid w:val="43D67301"/>
    <w:rsid w:val="44316F05"/>
    <w:rsid w:val="44AA399F"/>
    <w:rsid w:val="44D02BC2"/>
    <w:rsid w:val="453F38A4"/>
    <w:rsid w:val="47CA1B4A"/>
    <w:rsid w:val="4894124E"/>
    <w:rsid w:val="489F2FD7"/>
    <w:rsid w:val="48F778B5"/>
    <w:rsid w:val="491350FB"/>
    <w:rsid w:val="49B605D8"/>
    <w:rsid w:val="4AC27CB3"/>
    <w:rsid w:val="4B7F0E9E"/>
    <w:rsid w:val="4BF72BEF"/>
    <w:rsid w:val="4CEC60BF"/>
    <w:rsid w:val="4ECF3EEA"/>
    <w:rsid w:val="4F073CFD"/>
    <w:rsid w:val="4FA90297"/>
    <w:rsid w:val="4FC41A43"/>
    <w:rsid w:val="4FD5108C"/>
    <w:rsid w:val="5039786D"/>
    <w:rsid w:val="50446212"/>
    <w:rsid w:val="50854E71"/>
    <w:rsid w:val="516A7EFA"/>
    <w:rsid w:val="51DB3C59"/>
    <w:rsid w:val="523429E2"/>
    <w:rsid w:val="52835444"/>
    <w:rsid w:val="538C7248"/>
    <w:rsid w:val="54662BFB"/>
    <w:rsid w:val="550C0952"/>
    <w:rsid w:val="55762E42"/>
    <w:rsid w:val="55EC0647"/>
    <w:rsid w:val="56891EA0"/>
    <w:rsid w:val="56A417B8"/>
    <w:rsid w:val="56C87B9D"/>
    <w:rsid w:val="579730CB"/>
    <w:rsid w:val="57A7B272"/>
    <w:rsid w:val="58470068"/>
    <w:rsid w:val="58747CAC"/>
    <w:rsid w:val="59E3160A"/>
    <w:rsid w:val="59F30C13"/>
    <w:rsid w:val="5A1720F9"/>
    <w:rsid w:val="5B9C37C2"/>
    <w:rsid w:val="5BA7C654"/>
    <w:rsid w:val="5BED59B0"/>
    <w:rsid w:val="5D551A5E"/>
    <w:rsid w:val="5D66733F"/>
    <w:rsid w:val="5DF716AE"/>
    <w:rsid w:val="5E281158"/>
    <w:rsid w:val="5F1D035A"/>
    <w:rsid w:val="5F6E6E08"/>
    <w:rsid w:val="5F9F507E"/>
    <w:rsid w:val="60A54109"/>
    <w:rsid w:val="61A905CB"/>
    <w:rsid w:val="61D01CDF"/>
    <w:rsid w:val="64C0607C"/>
    <w:rsid w:val="654C2E85"/>
    <w:rsid w:val="65756C86"/>
    <w:rsid w:val="674D385B"/>
    <w:rsid w:val="676F09E1"/>
    <w:rsid w:val="68542347"/>
    <w:rsid w:val="688E4077"/>
    <w:rsid w:val="69676DA1"/>
    <w:rsid w:val="6B1B6095"/>
    <w:rsid w:val="6B317667"/>
    <w:rsid w:val="6BD55A96"/>
    <w:rsid w:val="6C77554D"/>
    <w:rsid w:val="6CCE7137"/>
    <w:rsid w:val="6D2E5B0C"/>
    <w:rsid w:val="6E3B07FD"/>
    <w:rsid w:val="6F806E0F"/>
    <w:rsid w:val="71412EFE"/>
    <w:rsid w:val="71691990"/>
    <w:rsid w:val="716B46E4"/>
    <w:rsid w:val="71793A80"/>
    <w:rsid w:val="72A42E14"/>
    <w:rsid w:val="72DE4FD2"/>
    <w:rsid w:val="7357290B"/>
    <w:rsid w:val="74C50E20"/>
    <w:rsid w:val="756E3DEA"/>
    <w:rsid w:val="75741AFD"/>
    <w:rsid w:val="75913D16"/>
    <w:rsid w:val="75CB7223"/>
    <w:rsid w:val="765A0CBD"/>
    <w:rsid w:val="76FB1693"/>
    <w:rsid w:val="778925D9"/>
    <w:rsid w:val="78774CA7"/>
    <w:rsid w:val="798524E4"/>
    <w:rsid w:val="7A7F1C49"/>
    <w:rsid w:val="7AEB66D3"/>
    <w:rsid w:val="7B234AF2"/>
    <w:rsid w:val="7B5B7AE6"/>
    <w:rsid w:val="7B7B6628"/>
    <w:rsid w:val="7B9003DA"/>
    <w:rsid w:val="7BA30286"/>
    <w:rsid w:val="7BA7071E"/>
    <w:rsid w:val="7BAD1FE4"/>
    <w:rsid w:val="7BDF6DA8"/>
    <w:rsid w:val="7C7EDC1A"/>
    <w:rsid w:val="7CCED98D"/>
    <w:rsid w:val="7CDC13FD"/>
    <w:rsid w:val="7D08410F"/>
    <w:rsid w:val="7DB96DED"/>
    <w:rsid w:val="7DD3AD81"/>
    <w:rsid w:val="7DFFF77E"/>
    <w:rsid w:val="7E327AEF"/>
    <w:rsid w:val="7E4555D3"/>
    <w:rsid w:val="7E4D4360"/>
    <w:rsid w:val="7F53A862"/>
    <w:rsid w:val="7F7FE70F"/>
    <w:rsid w:val="7F9B10FB"/>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5"/>
    <w:qFormat/>
    <w:uiPriority w:val="0"/>
    <w:pPr>
      <w:tabs>
        <w:tab w:val="center" w:pos="4153"/>
        <w:tab w:val="right" w:pos="8306"/>
      </w:tabs>
      <w:snapToGrid w:val="0"/>
      <w:jc w:val="left"/>
    </w:pPr>
    <w:rPr>
      <w:sz w:val="18"/>
      <w:szCs w:val="18"/>
    </w:rPr>
  </w:style>
  <w:style w:type="paragraph" w:styleId="8">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paragraph" w:styleId="10">
    <w:name w:val="Body Text First Indent 2"/>
    <w:basedOn w:val="4"/>
    <w:qFormat/>
    <w:uiPriority w:val="0"/>
    <w:pPr>
      <w:spacing w:after="0" w:afterLines="0"/>
      <w:ind w:left="0" w:leftChars="0" w:firstLine="420" w:firstLineChars="200"/>
    </w:pPr>
    <w:rPr>
      <w:rFonts w:ascii="仿宋_GB2312" w:hAnsi="Calibri" w:eastAsia="仿宋_GB2312"/>
      <w:kern w:val="2"/>
      <w:sz w:val="32"/>
      <w:szCs w:val="32"/>
      <w:lang w:val="en-US" w:eastAsia="zh-CN" w:bidi="ar-SA"/>
    </w:rPr>
  </w:style>
  <w:style w:type="character" w:styleId="13">
    <w:name w:val="Strong"/>
    <w:qFormat/>
    <w:uiPriority w:val="0"/>
    <w:rPr>
      <w:b/>
    </w:rPr>
  </w:style>
  <w:style w:type="character" w:styleId="14">
    <w:name w:val="page number"/>
    <w:qFormat/>
    <w:uiPriority w:val="0"/>
  </w:style>
  <w:style w:type="character" w:customStyle="1" w:styleId="15">
    <w:name w:val="页脚 Char"/>
    <w:link w:val="7"/>
    <w:qFormat/>
    <w:uiPriority w:val="0"/>
    <w:rPr>
      <w:rFonts w:eastAsia="宋体"/>
      <w:kern w:val="2"/>
      <w:sz w:val="18"/>
      <w:szCs w:val="18"/>
      <w:lang w:val="en-US" w:eastAsia="zh-CN" w:bidi="ar-SA"/>
    </w:rPr>
  </w:style>
  <w:style w:type="character" w:customStyle="1" w:styleId="16">
    <w:name w:val="页眉 Char"/>
    <w:link w:val="8"/>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18302.25</c:v>
                </c:pt>
                <c:pt idx="1">
                  <c:v>0</c:v>
                </c:pt>
                <c:pt idx="2">
                  <c:v>0</c:v>
                </c:pt>
                <c:pt idx="3">
                  <c:v>0</c:v>
                </c:pt>
                <c:pt idx="4">
                  <c:v>0</c:v>
                </c:pt>
                <c:pt idx="5">
                  <c:v>816.03</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77648ccd-3974-44fb-9f3c-36b51ae00ebe}"/>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1657.33</c:v>
                </c:pt>
                <c:pt idx="1">
                  <c:v>17633.52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65f3b301-42c3-43db-9748-2371b9502558}"/>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11687</Words>
  <Characters>12776</Characters>
  <Lines>44</Lines>
  <Paragraphs>12</Paragraphs>
  <TotalTime>5</TotalTime>
  <ScaleCrop>false</ScaleCrop>
  <LinksUpToDate>false</LinksUpToDate>
  <CharactersWithSpaces>12826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0℃</cp:lastModifiedBy>
  <cp:lastPrinted>2020-08-09T03:39:00Z</cp:lastPrinted>
  <dcterms:modified xsi:type="dcterms:W3CDTF">2025-11-10T06:59:35Z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A7F78878FB63AC2F75B4B7682BD79272</vt:lpwstr>
  </property>
  <property fmtid="{D5CDD505-2E9C-101B-9397-08002B2CF9AE}" pid="4" name="KSOTemplateDocerSaveRecord">
    <vt:lpwstr>eyJoZGlkIjoiMGQ5NTkyMjAxYTI2ZDA3ZDU3YTZiYTdhZjAxZDFiMzgiLCJ1c2VySWQiOiIyNTA5MTU2NDAifQ==</vt:lpwstr>
  </property>
</Properties>
</file>