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numPr>
          <w:ilvl w:val="0"/>
          <w:numId w:val="1"/>
        </w:numPr>
        <w:ind w:firstLine="560" w:firstLineChars="200"/>
        <w:rPr>
          <w:rFonts w:hint="eastAsia" w:ascii="黑体" w:eastAsia="黑体"/>
          <w:sz w:val="28"/>
          <w:szCs w:val="28"/>
          <w:highlight w:val="none"/>
        </w:rPr>
      </w:pPr>
      <w:r>
        <w:rPr>
          <w:rFonts w:hint="eastAsia" w:ascii="黑体" w:eastAsia="黑体"/>
          <w:sz w:val="28"/>
          <w:szCs w:val="28"/>
          <w:highlight w:val="none"/>
        </w:rPr>
        <w:t>部门整体绩效评价报告</w:t>
      </w: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1、机构设置</w:t>
      </w:r>
    </w:p>
    <w:p>
      <w:pPr>
        <w:ind w:firstLine="640" w:firstLineChars="200"/>
        <w:rPr>
          <w:rFonts w:hint="eastAsia" w:ascii="仿宋_GB2312" w:eastAsia="仿宋_GB2312"/>
          <w:sz w:val="28"/>
          <w:szCs w:val="28"/>
        </w:rPr>
      </w:pPr>
      <w:r>
        <w:rPr>
          <w:rFonts w:hint="eastAsia" w:ascii="仿宋" w:hAnsi="仿宋" w:eastAsia="仿宋" w:cs="仿宋"/>
          <w:sz w:val="32"/>
          <w:szCs w:val="32"/>
          <w:lang w:eastAsia="zh-CN"/>
        </w:rPr>
        <w:t>人大常委会机关</w:t>
      </w:r>
      <w:r>
        <w:rPr>
          <w:rFonts w:hint="eastAsia" w:ascii="仿宋_GB2312" w:eastAsia="仿宋_GB2312"/>
          <w:sz w:val="28"/>
          <w:szCs w:val="28"/>
        </w:rPr>
        <w:t>设处级委室8个：区人大常委会办公室（下设秘书科、老干部科、行政科）；区人大常委会代表</w:t>
      </w:r>
      <w:r>
        <w:rPr>
          <w:rFonts w:hint="eastAsia" w:ascii="仿宋_GB2312" w:eastAsia="仿宋_GB2312"/>
          <w:sz w:val="28"/>
          <w:szCs w:val="28"/>
          <w:lang w:val="en-US" w:eastAsia="zh-CN"/>
        </w:rPr>
        <w:t>工作委员会</w:t>
      </w:r>
      <w:r>
        <w:rPr>
          <w:rFonts w:hint="eastAsia" w:ascii="仿宋_GB2312" w:eastAsia="仿宋_GB2312"/>
          <w:sz w:val="28"/>
          <w:szCs w:val="28"/>
        </w:rPr>
        <w:t>；区人大常委会法制</w:t>
      </w:r>
      <w:r>
        <w:rPr>
          <w:rFonts w:hint="eastAsia" w:ascii="仿宋_GB2312" w:eastAsia="仿宋_GB2312"/>
          <w:sz w:val="28"/>
          <w:szCs w:val="28"/>
          <w:lang w:val="en-US" w:eastAsia="zh-CN"/>
        </w:rPr>
        <w:t>工作委员会(加挂区人大常委会社会建设办公室牌子）</w:t>
      </w:r>
      <w:r>
        <w:rPr>
          <w:rFonts w:hint="eastAsia" w:ascii="仿宋_GB2312" w:eastAsia="仿宋_GB2312"/>
          <w:sz w:val="28"/>
          <w:szCs w:val="28"/>
        </w:rPr>
        <w:t>；区人大常委会财政经济办公室；区人大常委会农村办公室；区人大常委会教科文卫办公室；区人大常委会城建设环保办公室；区人大常委会研究室。</w:t>
      </w:r>
    </w:p>
    <w:p>
      <w:pPr>
        <w:ind w:firstLine="560" w:firstLineChars="200"/>
        <w:rPr>
          <w:rFonts w:hint="eastAsia" w:ascii="仿宋_GB2312" w:hAnsi="宋体" w:eastAsia="仿宋_GB2312" w:cs="宋体"/>
          <w:color w:val="000000"/>
          <w:kern w:val="0"/>
          <w:sz w:val="32"/>
          <w:szCs w:val="32"/>
          <w:lang w:val="en-US" w:eastAsia="zh-CN"/>
        </w:rPr>
      </w:pPr>
      <w:r>
        <w:rPr>
          <w:rFonts w:hint="eastAsia" w:ascii="仿宋_GB2312" w:eastAsia="仿宋_GB2312"/>
          <w:sz w:val="28"/>
          <w:szCs w:val="28"/>
        </w:rPr>
        <w:t>设副处级委室1个：区人大常委会信访办公室。</w:t>
      </w:r>
    </w:p>
    <w:p>
      <w:pPr>
        <w:numPr>
          <w:ilvl w:val="0"/>
          <w:numId w:val="2"/>
        </w:numPr>
        <w:spacing w:line="600" w:lineRule="exact"/>
        <w:ind w:firstLine="640" w:firstLineChars="200"/>
        <w:rPr>
          <w:rFonts w:hint="eastAsia" w:ascii="楷体_GB2312" w:eastAsia="楷体_GB2312"/>
          <w:sz w:val="32"/>
          <w:szCs w:val="32"/>
          <w:lang w:val="en-US" w:eastAsia="zh-CN"/>
        </w:rPr>
      </w:pPr>
      <w:r>
        <w:rPr>
          <w:rFonts w:hint="eastAsia" w:ascii="楷体_GB2312" w:eastAsia="楷体_GB2312"/>
          <w:sz w:val="32"/>
          <w:szCs w:val="32"/>
          <w:lang w:val="en-US" w:eastAsia="zh-CN"/>
        </w:rPr>
        <w:t>主要职责</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区人大常委会在区人民代表大会闭会期间，行使宪法和法律赋予的重大事项决定权、监督仅和任免权。</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2024年度区人大常委会依据部门职责，结合人大常委会自身事项，设立了本部门整体绩效目标，具体见《部门整体绩效评价表》。</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3854.14</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3000.24</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宋体" w:eastAsia="仿宋_GB2312" w:cs="宋体"/>
          <w:color w:val="000000"/>
          <w:kern w:val="0"/>
          <w:sz w:val="32"/>
          <w:szCs w:val="32"/>
          <w:lang w:val="en-US" w:eastAsia="zh-CN"/>
        </w:rPr>
        <w:t>853.9</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3689.39</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lang w:val="en-US" w:eastAsia="zh-CN"/>
        </w:rPr>
        <w:t>2882.86</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宋体"/>
          <w:color w:val="000000"/>
          <w:kern w:val="0"/>
          <w:sz w:val="32"/>
          <w:szCs w:val="32"/>
          <w:lang w:val="en-US" w:eastAsia="zh-CN"/>
        </w:rPr>
        <w:t>806.53</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lang w:val="en-US" w:eastAsia="zh-CN"/>
        </w:rPr>
        <w:t>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95.73%</w:t>
      </w:r>
      <w:r>
        <w:rPr>
          <w:rFonts w:hint="eastAsia" w:ascii="仿宋_GB2312" w:hAnsi="宋体" w:eastAsia="仿宋_GB2312" w:cs="宋体"/>
          <w:color w:val="000000"/>
          <w:kern w:val="0"/>
          <w:sz w:val="32"/>
          <w:szCs w:val="32"/>
        </w:rPr>
        <w:t>。</w:t>
      </w:r>
    </w:p>
    <w:p>
      <w:pPr>
        <w:numPr>
          <w:ilvl w:val="0"/>
          <w:numId w:val="3"/>
        </w:numPr>
        <w:spacing w:line="600" w:lineRule="exact"/>
        <w:ind w:left="105" w:leftChars="50" w:firstLine="480" w:firstLineChars="150"/>
        <w:rPr>
          <w:rFonts w:ascii="黑体" w:hAnsi="黑体" w:eastAsia="黑体" w:cs="宋体"/>
          <w:color w:val="000000"/>
          <w:kern w:val="0"/>
          <w:sz w:val="32"/>
          <w:szCs w:val="32"/>
        </w:rPr>
      </w:pPr>
      <w:r>
        <w:rPr>
          <w:rFonts w:ascii="黑体" w:hAnsi="黑体" w:eastAsia="黑体" w:cs="宋体"/>
          <w:color w:val="000000"/>
          <w:kern w:val="0"/>
          <w:sz w:val="32"/>
          <w:szCs w:val="32"/>
        </w:rPr>
        <w:t>整体绩效目标实现情况</w:t>
      </w:r>
    </w:p>
    <w:p>
      <w:pPr>
        <w:spacing w:line="600" w:lineRule="exact"/>
        <w:ind w:firstLine="640" w:firstLineChars="20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当年部门整体绩效各项目标任务均完成，具体见</w:t>
      </w:r>
      <w:r>
        <w:rPr>
          <w:rFonts w:hint="eastAsia" w:ascii="仿宋_GB2312" w:hAnsi="宋体" w:eastAsia="仿宋_GB2312" w:cs="宋体"/>
          <w:color w:val="000000"/>
          <w:kern w:val="0"/>
          <w:sz w:val="32"/>
          <w:szCs w:val="32"/>
          <w:lang w:val="en-US" w:eastAsia="zh-CN"/>
        </w:rPr>
        <w:t>《部门整体绩效评价表》。</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lang w:eastAsia="zh-CN"/>
        </w:rPr>
        <w:t>部门内部财务管理制度完善、合规，均根据《中国人民共和国会计法》、《中华人民共和国预算法》、《政府会计准则—基本准则》、《政府会计制度》以及国家税务相关等法律、行政法规和规章制定。</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部门预算资金使用均符合国家财经法规和财务管理制度规定以及有关专项资金管理办法的规定，资金的拨付及支出使用均有完整的审批程序和手续，不存在截留、挤占、挪用情况。政府采购资金支出均符合政府采购的程序和流程。涉及公务卡结算相关制度和规定的，均按相关制度和规定执行。</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本单位财务基础数据信息和会计信息资料真实、完整、准确，符合《政府会计制度》账务信息登记标准和要求。</w:t>
      </w:r>
    </w:p>
    <w:p>
      <w:pPr>
        <w:numPr>
          <w:ilvl w:val="0"/>
          <w:numId w:val="4"/>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资产管理</w:t>
      </w:r>
    </w:p>
    <w:p>
      <w:pPr>
        <w:widowControl w:val="0"/>
        <w:numPr>
          <w:ilvl w:val="0"/>
          <w:numId w:val="0"/>
        </w:numPr>
        <w:wordWrap/>
        <w:adjustRightInd/>
        <w:snapToGrid/>
        <w:spacing w:line="600" w:lineRule="exact"/>
        <w:ind w:right="0"/>
        <w:jc w:val="both"/>
        <w:textAlignment w:val="auto"/>
        <w:outlineLvl w:val="9"/>
        <w:rPr>
          <w:rFonts w:hint="eastAsia" w:ascii="楷体_GB2312" w:eastAsia="楷体_GB2312"/>
          <w:sz w:val="32"/>
          <w:szCs w:val="32"/>
          <w:lang w:val="en-US" w:eastAsia="zh-CN"/>
        </w:rPr>
      </w:pPr>
      <w:r>
        <w:rPr>
          <w:rFonts w:hint="eastAsia" w:ascii="仿宋_GB2312" w:hAnsi="宋体" w:eastAsia="仿宋_GB2312" w:cs="宋体"/>
          <w:color w:val="000000"/>
          <w:kern w:val="0"/>
          <w:sz w:val="32"/>
          <w:szCs w:val="32"/>
          <w:lang w:val="en-US" w:eastAsia="zh-CN"/>
        </w:rPr>
        <w:t xml:space="preserve">    本单位不涉及对外投资行为、无资产损失情况、无擅自出租出借情况，资产处置均按财政有关规定履行报批及手续办理。</w:t>
      </w:r>
    </w:p>
    <w:p>
      <w:pPr>
        <w:numPr>
          <w:ilvl w:val="0"/>
          <w:numId w:val="4"/>
        </w:num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p>
    <w:p>
      <w:pPr>
        <w:widowControl w:val="0"/>
        <w:numPr>
          <w:ilvl w:val="0"/>
          <w:numId w:val="0"/>
        </w:numPr>
        <w:wordWrap/>
        <w:adjustRightInd/>
        <w:snapToGrid/>
        <w:spacing w:line="600" w:lineRule="exact"/>
        <w:ind w:right="0"/>
        <w:jc w:val="both"/>
        <w:textAlignment w:val="auto"/>
        <w:outlineLvl w:val="9"/>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    本单位预算资金严格执行绩效管理相关规定，设置项目绩效目标并及时申报，在项目开展年度中对绩效监控跟踪执行进度，项目执行完毕后按要求开展绩效目标评价工作。</w:t>
      </w:r>
    </w:p>
    <w:p>
      <w:pPr>
        <w:numPr>
          <w:ilvl w:val="0"/>
          <w:numId w:val="4"/>
        </w:num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widowControl w:val="0"/>
        <w:numPr>
          <w:ilvl w:val="0"/>
          <w:numId w:val="0"/>
        </w:numPr>
        <w:wordWrap/>
        <w:adjustRightInd/>
        <w:snapToGrid/>
        <w:spacing w:line="600" w:lineRule="exact"/>
        <w:ind w:right="0"/>
        <w:jc w:val="both"/>
        <w:textAlignment w:val="auto"/>
        <w:outlineLvl w:val="9"/>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FF"/>
          <w:kern w:val="0"/>
          <w:sz w:val="32"/>
          <w:szCs w:val="32"/>
          <w:lang w:val="en-US" w:eastAsia="zh-CN"/>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通过年度部门决算与年初部门预算对比，本年度部门预决算差异率低于上一年度，预算执行情况有待加强。</w:t>
      </w:r>
    </w:p>
    <w:p>
      <w:pPr>
        <w:spacing w:line="600" w:lineRule="exact"/>
        <w:ind w:left="105" w:leftChars="50" w:firstLine="480" w:firstLineChars="150"/>
        <w:rPr>
          <w:rFonts w:hint="eastAsia" w:ascii="仿宋_GB2312" w:hAnsi="宋体" w:eastAsia="仿宋_GB2312" w:cs="宋体"/>
          <w:color w:val="000000"/>
          <w:kern w:val="0"/>
          <w:sz w:val="32"/>
          <w:szCs w:val="32"/>
          <w:lang w:val="en-US" w:eastAsia="zh-CN"/>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widowControl w:val="0"/>
        <w:numPr>
          <w:ilvl w:val="0"/>
          <w:numId w:val="0"/>
        </w:numPr>
        <w:wordWrap/>
        <w:adjustRightInd/>
        <w:snapToGrid/>
        <w:spacing w:line="600" w:lineRule="exact"/>
        <w:ind w:right="0"/>
        <w:jc w:val="both"/>
        <w:textAlignment w:val="auto"/>
        <w:outlineLvl w:val="9"/>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 xml:space="preserve">    本部门2024年度整体绩效评价综合得分为99.15分，其中当年预算执行情况19.15分（满分20分），整体绩效目标实现情况60分（满分60分），预算管理情况20分（满分20分）。</w:t>
      </w:r>
    </w:p>
    <w:p>
      <w:pPr>
        <w:numPr>
          <w:ilvl w:val="0"/>
          <w:numId w:val="5"/>
        </w:numPr>
        <w:spacing w:line="600" w:lineRule="exact"/>
        <w:ind w:left="105" w:leftChars="50" w:firstLine="480" w:firstLineChars="150"/>
        <w:rPr>
          <w:rFonts w:hint="eastAsia" w:ascii="楷体_GB2312" w:eastAsia="楷体_GB2312"/>
          <w:sz w:val="32"/>
          <w:szCs w:val="32"/>
          <w:highlight w:val="none"/>
        </w:rPr>
      </w:pPr>
      <w:r>
        <w:rPr>
          <w:rFonts w:hint="eastAsia" w:ascii="楷体_GB2312" w:eastAsia="楷体_GB2312"/>
          <w:sz w:val="32"/>
          <w:szCs w:val="32"/>
          <w:highlight w:val="none"/>
        </w:rPr>
        <w:t>存在的问题及原因分析</w:t>
      </w:r>
    </w:p>
    <w:p>
      <w:pPr>
        <w:widowControl w:val="0"/>
        <w:numPr>
          <w:ilvl w:val="0"/>
          <w:numId w:val="0"/>
        </w:numPr>
        <w:wordWrap/>
        <w:adjustRightInd/>
        <w:snapToGrid/>
        <w:spacing w:line="600" w:lineRule="exact"/>
        <w:ind w:right="0"/>
        <w:jc w:val="both"/>
        <w:textAlignment w:val="auto"/>
        <w:outlineLvl w:val="9"/>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highlight w:val="none"/>
          <w:lang w:val="en-US" w:eastAsia="zh-CN"/>
        </w:rPr>
        <w:t xml:space="preserve">    1、</w:t>
      </w:r>
      <w:r>
        <w:rPr>
          <w:rFonts w:hint="eastAsia" w:ascii="仿宋_GB2312" w:hAnsi="宋体" w:eastAsia="仿宋_GB2312" w:cs="宋体"/>
          <w:color w:val="000000"/>
          <w:kern w:val="0"/>
          <w:sz w:val="32"/>
          <w:szCs w:val="32"/>
          <w:lang w:val="en-US" w:eastAsia="zh-CN"/>
        </w:rPr>
        <w:t>年度内，本单位年中有追加追减及调剂预算资金事项，且存在因工作推进影响未开展或完成事项。</w:t>
      </w:r>
    </w:p>
    <w:p>
      <w:pPr>
        <w:widowControl w:val="0"/>
        <w:numPr>
          <w:ilvl w:val="0"/>
          <w:numId w:val="0"/>
        </w:numPr>
        <w:wordWrap/>
        <w:adjustRightInd/>
        <w:snapToGrid/>
        <w:spacing w:line="600" w:lineRule="exact"/>
        <w:ind w:right="0"/>
        <w:jc w:val="both"/>
        <w:textAlignment w:val="auto"/>
        <w:outlineLvl w:val="9"/>
        <w:rPr>
          <w:rFonts w:hint="eastAsia"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lang w:val="en-US" w:eastAsia="zh-CN"/>
        </w:rPr>
        <w:t xml:space="preserve">    2、单位预算资金管理制度、绩效跟踪管理办法等有待进一步完善和细化补充。</w:t>
      </w:r>
    </w:p>
    <w:p>
      <w:pPr>
        <w:numPr>
          <w:ilvl w:val="0"/>
          <w:numId w:val="6"/>
        </w:num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措施建议</w:t>
      </w:r>
    </w:p>
    <w:p>
      <w:pPr>
        <w:widowControl w:val="0"/>
        <w:numPr>
          <w:ilvl w:val="0"/>
          <w:numId w:val="0"/>
        </w:numPr>
        <w:wordWrap/>
        <w:adjustRightInd/>
        <w:snapToGrid/>
        <w:spacing w:line="600" w:lineRule="exact"/>
        <w:ind w:right="0" w:firstLine="640"/>
        <w:jc w:val="both"/>
        <w:textAlignment w:val="auto"/>
        <w:outlineLvl w:val="9"/>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加强预算编制环节调研及细化事项，单位内部各科室从细做好工作计划及支出事项安排，提高工作计划和事项的可执行性。</w:t>
      </w:r>
    </w:p>
    <w:p>
      <w:pPr>
        <w:pStyle w:val="2"/>
        <w:rPr>
          <w:rFonts w:hint="eastAsia" w:ascii="仿宋_GB2312" w:hAnsi="宋体" w:eastAsia="仿宋_GB2312" w:cs="宋体"/>
          <w:color w:val="000000"/>
          <w:kern w:val="0"/>
          <w:sz w:val="32"/>
          <w:szCs w:val="32"/>
          <w:lang w:val="en-US" w:eastAsia="zh-CN"/>
        </w:rPr>
      </w:pPr>
    </w:p>
    <w:p>
      <w:pPr>
        <w:rPr>
          <w:rFonts w:hint="eastAsia"/>
          <w:lang w:val="en-US" w:eastAsia="zh-CN"/>
        </w:rPr>
      </w:pPr>
      <w:bookmarkStart w:id="48" w:name="_GoBack"/>
      <w:bookmarkEnd w:id="48"/>
    </w:p>
    <w:p>
      <w:pPr>
        <w:rPr>
          <w:rFonts w:hint="eastAsia"/>
          <w:lang w:val="en-US" w:eastAsia="zh-CN"/>
        </w:rPr>
      </w:pPr>
    </w:p>
    <w:tbl>
      <w:tblPr>
        <w:tblStyle w:val="11"/>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202</w:t>
            </w:r>
            <w:r>
              <w:rPr>
                <w:rFonts w:hint="eastAsia" w:ascii="宋体" w:hAnsi="宋体" w:cs="宋体"/>
                <w:b/>
                <w:bCs/>
                <w:i w:val="0"/>
                <w:iCs w:val="0"/>
                <w:color w:val="000000"/>
                <w:kern w:val="0"/>
                <w:sz w:val="28"/>
                <w:szCs w:val="28"/>
                <w:u w:val="none"/>
                <w:lang w:val="en-US" w:eastAsia="zh-CN"/>
              </w:rPr>
              <w:t>4</w:t>
            </w:r>
            <w:r>
              <w:rPr>
                <w:rFonts w:hint="eastAsia" w:ascii="宋体" w:hAnsi="宋体" w:eastAsia="宋体" w:cs="宋体"/>
                <w:b/>
                <w:bCs/>
                <w:i w:val="0"/>
                <w:iCs w:val="0"/>
                <w:color w:val="000000"/>
                <w:kern w:val="0"/>
                <w:sz w:val="28"/>
                <w:szCs w:val="28"/>
                <w:u w:val="none"/>
                <w:lang w:val="en-US" w:eastAsia="zh-CN"/>
              </w:rPr>
              <w:t>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当年预算执行情况</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①得分一档最高不能超过该指标分值上限（20分）。</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②该指标若为正向指标，得分计算方法为：执行数/预算数*20；</w:t>
            </w:r>
          </w:p>
          <w:p>
            <w:pPr>
              <w:widowControl/>
              <w:jc w:val="left"/>
              <w:textAlignment w:val="center"/>
              <w:rPr>
                <w:rFonts w:hint="eastAsia"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③该指标得分计算资金总体即可，分类支出填写预算数及执行数，无需计算分项执行率；</w:t>
            </w:r>
          </w:p>
          <w:p>
            <w:pPr>
              <w:widowControl/>
              <w:jc w:val="left"/>
              <w:textAlignment w:val="center"/>
              <w:rPr>
                <w:rFonts w:hint="default" w:ascii="宋体" w:hAnsi="宋体" w:eastAsia="宋体" w:cs="宋体"/>
                <w:i w:val="0"/>
                <w:iCs w:val="0"/>
                <w:color w:val="000000"/>
                <w:kern w:val="0"/>
                <w:sz w:val="22"/>
                <w:szCs w:val="22"/>
                <w:u w:val="none"/>
                <w:lang w:val="en-US" w:eastAsia="zh-CN"/>
              </w:rPr>
            </w:pPr>
            <w:r>
              <w:rPr>
                <w:rFonts w:hint="eastAsia" w:ascii="宋体" w:hAnsi="宋体" w:eastAsia="宋体" w:cs="宋体"/>
                <w:i w:val="0"/>
                <w:iCs w:val="0"/>
                <w:color w:val="000000"/>
                <w:kern w:val="0"/>
                <w:sz w:val="22"/>
                <w:szCs w:val="22"/>
                <w:u w:val="none"/>
                <w:lang w:val="en-US" w:eastAsia="zh-CN"/>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3854.14</w:t>
            </w:r>
          </w:p>
        </w:tc>
        <w:tc>
          <w:tcPr>
            <w:tcW w:w="1060"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3689.39</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95.73%</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1012" w:type="dxa"/>
            <w:tcBorders>
              <w:top w:val="single" w:color="auto" w:sz="4" w:space="0"/>
              <w:left w:val="single" w:color="000000" w:sz="4" w:space="0"/>
              <w:bottom w:val="single" w:color="000000" w:sz="4" w:space="0"/>
              <w:right w:val="single" w:color="000000" w:sz="4" w:space="0"/>
            </w:tcBorders>
            <w:vAlign w:val="center"/>
          </w:tcPr>
          <w:p>
            <w:pPr>
              <w:jc w:val="right"/>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3000.24</w:t>
            </w:r>
          </w:p>
        </w:tc>
        <w:tc>
          <w:tcPr>
            <w:tcW w:w="1060" w:type="dxa"/>
            <w:tcBorders>
              <w:top w:val="single" w:color="auto" w:sz="4" w:space="0"/>
              <w:left w:val="single" w:color="000000" w:sz="4" w:space="0"/>
              <w:bottom w:val="single" w:color="000000" w:sz="4" w:space="0"/>
              <w:right w:val="single" w:color="000000" w:sz="4" w:space="0"/>
            </w:tcBorders>
            <w:vAlign w:val="center"/>
          </w:tcPr>
          <w:p>
            <w:pPr>
              <w:jc w:val="right"/>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2882.86</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jc w:val="right"/>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853.90</w:t>
            </w:r>
          </w:p>
        </w:tc>
        <w:tc>
          <w:tcPr>
            <w:tcW w:w="1060" w:type="dxa"/>
            <w:tcBorders>
              <w:top w:val="single" w:color="000000" w:sz="4" w:space="0"/>
              <w:left w:val="single" w:color="000000" w:sz="4" w:space="0"/>
              <w:bottom w:val="single" w:color="000000" w:sz="4" w:space="0"/>
              <w:right w:val="single" w:color="000000" w:sz="4" w:space="0"/>
            </w:tcBorders>
            <w:vAlign w:val="center"/>
          </w:tcPr>
          <w:p>
            <w:pPr>
              <w:jc w:val="right"/>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806.53</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0</w:t>
            </w:r>
          </w:p>
        </w:tc>
        <w:tc>
          <w:tcPr>
            <w:tcW w:w="106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0</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19.15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02"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服务保障中心工作</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执法检查专题</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夯实执法检查</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强化宪法意识和法治观念</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听取和审议备案审查工作</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落实党中央关于加强人大预算、国有资产管理和政府债务审查监督职能的决策部署</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eastAsia="zh-CN"/>
              </w:rPr>
              <w:t>检查</w:t>
            </w:r>
            <w:r>
              <w:rPr>
                <w:rFonts w:hint="eastAsia" w:ascii="宋体" w:hAnsi="宋体" w:eastAsia="宋体" w:cs="宋体"/>
                <w:i w:val="0"/>
                <w:iCs w:val="0"/>
                <w:color w:val="000000"/>
                <w:sz w:val="22"/>
                <w:szCs w:val="22"/>
                <w:u w:val="none"/>
              </w:rPr>
              <w:t>法律法规实施中损害群众利益</w:t>
            </w:r>
            <w:r>
              <w:rPr>
                <w:rFonts w:hint="eastAsia" w:ascii="宋体" w:hAnsi="宋体" w:cs="宋体"/>
                <w:i w:val="0"/>
                <w:iCs w:val="0"/>
                <w:color w:val="000000"/>
                <w:sz w:val="22"/>
                <w:szCs w:val="22"/>
                <w:u w:val="none"/>
                <w:lang w:eastAsia="zh-CN"/>
              </w:rPr>
              <w:t>的问题，</w:t>
            </w:r>
            <w:r>
              <w:rPr>
                <w:rFonts w:hint="eastAsia" w:ascii="宋体" w:hAnsi="宋体" w:eastAsia="宋体" w:cs="宋体"/>
                <w:i w:val="0"/>
                <w:iCs w:val="0"/>
                <w:color w:val="000000"/>
                <w:sz w:val="22"/>
                <w:szCs w:val="22"/>
                <w:u w:val="none"/>
              </w:rPr>
              <w:t>推进新立法规及时查、重要法规联动查、复杂问题多法并查</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指导监促“一府一委两院”和各镇人大落实宪法宣誓制度做到全链条监督</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强化监督工作推动高质量发展</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开展检查视察调研</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围绕产业强区，紧扣“七有”“五性”立足依法监督职责，</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开展</w:t>
            </w:r>
            <w:r>
              <w:rPr>
                <w:rFonts w:hint="eastAsia" w:ascii="宋体" w:hAnsi="宋体" w:cs="宋体"/>
                <w:i w:val="0"/>
                <w:iCs w:val="0"/>
                <w:color w:val="000000"/>
                <w:sz w:val="22"/>
                <w:szCs w:val="22"/>
                <w:u w:val="none"/>
                <w:lang w:eastAsia="zh-CN"/>
              </w:rPr>
              <w:t>了</w:t>
            </w:r>
            <w:r>
              <w:rPr>
                <w:rFonts w:hint="eastAsia" w:ascii="宋体" w:hAnsi="宋体" w:eastAsia="宋体" w:cs="宋体"/>
                <w:i w:val="0"/>
                <w:iCs w:val="0"/>
                <w:color w:val="000000"/>
                <w:sz w:val="22"/>
                <w:szCs w:val="22"/>
                <w:u w:val="none"/>
              </w:rPr>
              <w:t>对“四区三基地”建设、新一轮城南行动的调研、视察和监督，优化营商环境，综合运用听取审议、专题询问等监督方式，提出审议意见，作出决议、决定，持续跟踪监督，促进整改落实，促进“一府一委两院”依法行政、依法监察、公正司法。</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加强和改进代表工作</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代表履职保障</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扩展区代表对区人大常委会工作的有序参与</w:t>
            </w:r>
            <w:r>
              <w:rPr>
                <w:rFonts w:hint="eastAsia" w:ascii="宋体" w:hAnsi="宋体" w:cs="宋体"/>
                <w:i w:val="0"/>
                <w:iCs w:val="0"/>
                <w:color w:val="000000"/>
                <w:sz w:val="22"/>
                <w:szCs w:val="22"/>
                <w:u w:val="none"/>
                <w:lang w:eastAsia="zh-CN"/>
              </w:rPr>
              <w:t>，</w:t>
            </w:r>
            <w:r>
              <w:rPr>
                <w:rFonts w:hint="eastAsia" w:ascii="宋体" w:hAnsi="宋体" w:eastAsia="宋体" w:cs="宋体"/>
                <w:i w:val="0"/>
                <w:iCs w:val="0"/>
                <w:color w:val="000000"/>
                <w:sz w:val="22"/>
                <w:szCs w:val="22"/>
                <w:u w:val="none"/>
              </w:rPr>
              <w:t>加强代表之家、代表联络站建设，按照市人大常委会部署，做好市人大代表换届选举工作</w:t>
            </w:r>
            <w:r>
              <w:rPr>
                <w:rFonts w:hint="eastAsia" w:ascii="宋体" w:hAnsi="宋体" w:cs="宋体"/>
                <w:i w:val="0"/>
                <w:iCs w:val="0"/>
                <w:color w:val="000000"/>
                <w:sz w:val="22"/>
                <w:szCs w:val="22"/>
                <w:u w:val="none"/>
                <w:lang w:eastAsia="zh-CN"/>
              </w:rPr>
              <w:t>。</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邀请代表列席常委会会议，参加常委会组织的执法检查、视察调研活动。组织代表“月进站、季回家、年述职”</w:t>
            </w:r>
            <w:r>
              <w:rPr>
                <w:rFonts w:hint="eastAsia" w:ascii="宋体" w:hAnsi="宋体" w:cs="宋体"/>
                <w:i w:val="0"/>
                <w:iCs w:val="0"/>
                <w:color w:val="000000"/>
                <w:sz w:val="22"/>
                <w:szCs w:val="22"/>
                <w:u w:val="none"/>
                <w:lang w:eastAsia="zh-CN"/>
              </w:rPr>
              <w:t>强化</w:t>
            </w:r>
            <w:r>
              <w:rPr>
                <w:rFonts w:hint="eastAsia" w:ascii="宋体" w:hAnsi="宋体" w:eastAsia="宋体" w:cs="宋体"/>
                <w:i w:val="0"/>
                <w:iCs w:val="0"/>
                <w:color w:val="000000"/>
                <w:sz w:val="22"/>
                <w:szCs w:val="22"/>
                <w:u w:val="none"/>
              </w:rPr>
              <w:t>大兴团市代表的服务保障，为首都发展和治理贡献大兴代表的力量。</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1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加强自身建设</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eastAsia="zh-CN"/>
              </w:rPr>
            </w:pPr>
            <w:r>
              <w:rPr>
                <w:rFonts w:hint="eastAsia" w:ascii="宋体" w:hAnsi="宋体" w:cs="宋体"/>
                <w:i w:val="0"/>
                <w:iCs w:val="0"/>
                <w:color w:val="000000"/>
                <w:sz w:val="22"/>
                <w:szCs w:val="22"/>
                <w:u w:val="none"/>
                <w:lang w:eastAsia="zh-CN"/>
              </w:rPr>
              <w:t>学习培训会议保障建设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努力建设“四个机关”</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组织好新一届常委会组成人员、专委会组成人员以及机关工作人员的政治理论学习</w:t>
            </w:r>
            <w:r>
              <w:rPr>
                <w:rFonts w:hint="eastAsia" w:ascii="宋体" w:hAnsi="宋体" w:cs="宋体"/>
                <w:i w:val="0"/>
                <w:iCs w:val="0"/>
                <w:color w:val="000000"/>
                <w:sz w:val="22"/>
                <w:szCs w:val="22"/>
                <w:u w:val="none"/>
                <w:lang w:eastAsia="zh-CN"/>
              </w:rPr>
              <w:t>，履职业务，规范常委会会议、主任会议等出席列席、听取审议、表决宣誓等程序和机关规章制度遵守法定程序，实施正确监督、有效监督、依法监督，打造新时代人大工作队伍。接地气、察民情、聚民智、惠民生，做到民有所呼、我有所应。</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iCs w:val="0"/>
                <w:color w:val="000000"/>
                <w:sz w:val="22"/>
                <w:szCs w:val="22"/>
                <w:u w:val="none"/>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202</w:t>
            </w:r>
            <w:r>
              <w:rPr>
                <w:rFonts w:hint="eastAsia" w:ascii="宋体" w:hAnsi="宋体" w:cs="宋体"/>
                <w:b/>
                <w:bCs/>
                <w:i w:val="0"/>
                <w:iCs w:val="0"/>
                <w:color w:val="000000"/>
                <w:kern w:val="0"/>
                <w:sz w:val="22"/>
                <w:szCs w:val="22"/>
                <w:u w:val="none"/>
                <w:lang w:val="en-US" w:eastAsia="zh-CN"/>
              </w:rPr>
              <w:t>3</w:t>
            </w:r>
            <w:r>
              <w:rPr>
                <w:rFonts w:hint="eastAsia" w:ascii="宋体" w:hAnsi="宋体" w:eastAsia="宋体" w:cs="宋体"/>
                <w:b/>
                <w:bCs/>
                <w:i w:val="0"/>
                <w:iCs w:val="0"/>
                <w:color w:val="000000"/>
                <w:kern w:val="0"/>
                <w:sz w:val="22"/>
                <w:szCs w:val="22"/>
                <w:u w:val="none"/>
                <w:lang w:val="en-US" w:eastAsia="zh-CN"/>
              </w:rPr>
              <w:t>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202</w:t>
            </w:r>
            <w:r>
              <w:rPr>
                <w:rFonts w:hint="eastAsia" w:ascii="宋体" w:hAnsi="宋体" w:cs="宋体"/>
                <w:b/>
                <w:bCs/>
                <w:i w:val="0"/>
                <w:iCs w:val="0"/>
                <w:color w:val="000000"/>
                <w:kern w:val="0"/>
                <w:sz w:val="22"/>
                <w:szCs w:val="22"/>
                <w:u w:val="none"/>
                <w:lang w:val="en-US" w:eastAsia="zh-CN"/>
              </w:rPr>
              <w:t>4</w:t>
            </w:r>
            <w:r>
              <w:rPr>
                <w:rFonts w:hint="eastAsia" w:ascii="宋体" w:hAnsi="宋体" w:eastAsia="宋体" w:cs="宋体"/>
                <w:b/>
                <w:bCs/>
                <w:i w:val="0"/>
                <w:iCs w:val="0"/>
                <w:color w:val="000000"/>
                <w:kern w:val="0"/>
                <w:sz w:val="22"/>
                <w:szCs w:val="22"/>
                <w:u w:val="none"/>
                <w:lang w:val="en-US" w:eastAsia="zh-CN"/>
              </w:rPr>
              <w:t>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①预算资金管理办法、绩效跟踪管理办法、资产管理办法等各项制度是否健全；</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②部门内部财务管理制度是否完善、合规；</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③会计核算制度是否完整、合规。</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①是否符合国家财经法规和财务管理制度规定以及有关专项资金管理办法的规定；</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②资金的拨付是否有完整的审批程序和手续；</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③项目的重大开支是否经过评估论证；</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④是否符合部门预算批复的用途；</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⑤是否存在截留、挤占、挪用情况；</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⑥资金使用是否符合政府采购的程序和流程；</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⑦资金使用是否符合公务卡结算相关制度和规定。</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①基础数据信息和会计信息资料是否真实；</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②基础数据信息和会计信息资料是否完整；</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③基础数据信息和会计信息资料是否准确。</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①对外投资行为是否经审批，是否存在投资亏损；</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②是否有因管理不当发生严重资产损失和丢失情况；</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③是否存在超标准配置资产；</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④资产使用是否规范，是否存在未经批准擅自出租、出借资产行为；</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⑤资产处置是否规范，是否存在不按要求进行报批或资产不公开处置行为；</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⑥其他资产管理制度办法执行情况。</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①部门（单位）是否及时对绩效信息进行汇总分析整理；</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②部门（单位）是否对绩效目标偏离情况及时进行矫正。</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5.73%</w:t>
            </w: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4.27%</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iCs w:val="0"/>
                <w:color w:val="000000"/>
                <w:sz w:val="22"/>
                <w:szCs w:val="22"/>
                <w:highlight w:val="none"/>
                <w:u w:val="none"/>
                <w:lang w:val="en-US" w:eastAsia="zh-CN"/>
              </w:rPr>
            </w:pPr>
            <w:r>
              <w:rPr>
                <w:rFonts w:hint="eastAsia" w:ascii="宋体" w:hAnsi="宋体" w:cs="宋体"/>
                <w:i w:val="0"/>
                <w:iCs w:val="0"/>
                <w:color w:val="000000"/>
                <w:sz w:val="22"/>
                <w:szCs w:val="22"/>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i w:val="0"/>
                <w:iCs w:val="0"/>
                <w:color w:val="000000"/>
                <w:sz w:val="22"/>
                <w:szCs w:val="22"/>
                <w:u w:val="none"/>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99.15</w:t>
            </w:r>
          </w:p>
        </w:tc>
      </w:tr>
    </w:tbl>
    <w:p>
      <w:pPr>
        <w:spacing w:line="560" w:lineRule="exact"/>
        <w:ind w:firstLine="470" w:firstLineChars="196"/>
        <w:rPr>
          <w:rFonts w:hint="eastAsia" w:ascii="仿宋_GB2312" w:hAnsi="仿宋_GB2312" w:eastAsia="仿宋_GB2312" w:cs="仿宋_GB2312"/>
          <w:b/>
          <w:bCs/>
          <w:sz w:val="24"/>
        </w:rPr>
      </w:pPr>
      <w:r>
        <w:rPr>
          <w:rFonts w:hint="eastAsia" w:ascii="仿宋_GB2312" w:hAnsi="仿宋_GB2312" w:eastAsia="仿宋_GB2312" w:cs="仿宋_GB2312"/>
          <w:b/>
          <w:bCs/>
          <w:sz w:val="24"/>
        </w:rPr>
        <w:t>填报说明：</w:t>
      </w:r>
    </w:p>
    <w:p>
      <w:pPr>
        <w:spacing w:line="560" w:lineRule="exact"/>
        <w:ind w:firstLine="480" w:firstLineChars="200"/>
        <w:rPr>
          <w:rFonts w:ascii="仿宋_GB2312" w:hAnsi="仿宋_GB2312" w:eastAsia="仿宋_GB2312" w:cs="仿宋_GB2312"/>
          <w:b/>
          <w:bCs/>
          <w:color w:val="000000"/>
          <w:kern w:val="0"/>
          <w:sz w:val="24"/>
          <w:lang w:bidi="ar"/>
        </w:rPr>
      </w:pPr>
      <w:r>
        <w:rPr>
          <w:rFonts w:hint="eastAsia" w:ascii="仿宋_GB2312" w:hAnsi="仿宋_GB2312" w:eastAsia="仿宋_GB2312" w:cs="仿宋_GB2312"/>
          <w:color w:val="000000"/>
          <w:kern w:val="0"/>
          <w:sz w:val="24"/>
          <w:lang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color w:val="000000"/>
          <w:kern w:val="0"/>
          <w:sz w:val="24"/>
          <w:lang w:bidi="ar"/>
        </w:rPr>
        <w:t>预算数=年初预算+年中追加-12月1日前追减数。差异率=（预算数-决算数）/预算数*100%，打分时用2023年差异率（绝对值）-2022年差异率（绝对值），相减结果为1%（含）-2%，扣0.4分，2%（含）-3%，扣0.8分，以此类推，每高出1个百分点扣0.4分，扣完为止。</w:t>
      </w:r>
    </w:p>
    <w:p>
      <w:pPr>
        <w:spacing w:line="560" w:lineRule="exact"/>
        <w:ind w:firstLine="480" w:firstLineChars="200"/>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spacing w:line="560" w:lineRule="exact"/>
        <w:ind w:firstLine="480" w:firstLineChars="200"/>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第二部分“整体绩效目标实现情况”填报分为四步。</w:t>
      </w:r>
      <w:r>
        <w:rPr>
          <w:rFonts w:hint="eastAsia" w:ascii="仿宋_GB2312" w:hAnsi="仿宋_GB2312" w:eastAsia="仿宋_GB2312" w:cs="仿宋_GB2312"/>
          <w:b/>
          <w:bCs/>
          <w:color w:val="000000"/>
          <w:kern w:val="0"/>
          <w:sz w:val="24"/>
          <w:lang w:bidi="ar"/>
        </w:rPr>
        <w:t>第一步：</w:t>
      </w:r>
      <w:r>
        <w:rPr>
          <w:rFonts w:hint="eastAsia" w:ascii="仿宋_GB2312" w:hAnsi="仿宋_GB2312" w:eastAsia="仿宋_GB2312" w:cs="仿宋_GB2312"/>
          <w:color w:val="000000"/>
          <w:kern w:val="0"/>
          <w:sz w:val="24"/>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lang w:bidi="ar"/>
        </w:rPr>
        <w:t>第二步：</w:t>
      </w:r>
      <w:r>
        <w:rPr>
          <w:rFonts w:hint="eastAsia" w:ascii="仿宋_GB2312" w:hAnsi="仿宋_GB2312" w:eastAsia="仿宋_GB2312" w:cs="仿宋_GB2312"/>
          <w:color w:val="000000"/>
          <w:kern w:val="0"/>
          <w:sz w:val="24"/>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lang w:bidi="ar"/>
        </w:rPr>
        <w:t>第三步：</w:t>
      </w:r>
      <w:r>
        <w:rPr>
          <w:rFonts w:hint="eastAsia" w:ascii="仿宋_GB2312" w:hAnsi="仿宋_GB2312" w:eastAsia="仿宋_GB2312" w:cs="仿宋_GB2312"/>
          <w:color w:val="000000"/>
          <w:kern w:val="0"/>
          <w:sz w:val="24"/>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lang w:bidi="ar"/>
        </w:rPr>
        <w:t>第四步：</w:t>
      </w:r>
      <w:r>
        <w:rPr>
          <w:rFonts w:hint="eastAsia" w:ascii="仿宋_GB2312" w:hAnsi="仿宋_GB2312" w:eastAsia="仿宋_GB2312" w:cs="仿宋_GB2312"/>
          <w:color w:val="000000"/>
          <w:kern w:val="0"/>
          <w:sz w:val="24"/>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lang w:bidi="ar"/>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lang w:bidi="ar"/>
        </w:rPr>
        <w:t>②</w:t>
      </w:r>
      <w:r>
        <w:rPr>
          <w:rFonts w:hint="eastAsia" w:ascii="仿宋_GB2312" w:hAnsi="仿宋_GB2312" w:eastAsia="仿宋_GB2312" w:cs="仿宋_GB2312"/>
          <w:color w:val="000000"/>
          <w:kern w:val="0"/>
          <w:sz w:val="24"/>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lang w:bidi="ar"/>
        </w:rPr>
        <w:t>③</w:t>
      </w:r>
      <w:r>
        <w:rPr>
          <w:rFonts w:hint="eastAsia" w:ascii="仿宋_GB2312" w:hAnsi="仿宋_GB2312" w:eastAsia="仿宋_GB2312" w:cs="仿宋_GB2312"/>
          <w:color w:val="000000"/>
          <w:kern w:val="0"/>
          <w:sz w:val="24"/>
          <w:lang w:bidi="ar"/>
        </w:rPr>
        <w:t>若为定性指标，则根据完成情况分为“优、良、中、差”四等，“优”获得该项分值90%-100%，“良”获得该项分值80%-90%，“中”获得该项分值60%-80%，“差”获得该项分值0%-60%。</w:t>
      </w:r>
    </w:p>
    <w:p>
      <w:pPr>
        <w:rPr>
          <w:rFonts w:hint="default" w:ascii="仿宋_GB2312" w:hAnsi="宋体" w:eastAsia="仿宋_GB2312"/>
          <w:sz w:val="28"/>
          <w:szCs w:val="28"/>
          <w:highlight w:val="none"/>
          <w:lang w:val="en-US" w:eastAsia="zh-CN"/>
        </w:rPr>
      </w:pPr>
    </w:p>
    <w:p>
      <w:pPr>
        <w:rPr>
          <w:rFonts w:hint="default" w:ascii="仿宋_GB2312" w:hAnsi="宋体" w:eastAsia="仿宋_GB2312"/>
          <w:sz w:val="28"/>
          <w:szCs w:val="28"/>
          <w:highlight w:val="none"/>
          <w:lang w:val="en-US" w:eastAsia="zh-CN"/>
        </w:rPr>
      </w:pPr>
    </w:p>
    <w:p>
      <w:pPr>
        <w:pStyle w:val="2"/>
        <w:rPr>
          <w:rFonts w:hint="default"/>
          <w:lang w:val="en-US" w:eastAsia="zh-CN"/>
        </w:rPr>
      </w:pPr>
    </w:p>
    <w:p>
      <w:pPr>
        <w:numPr>
          <w:ilvl w:val="0"/>
          <w:numId w:val="1"/>
        </w:numPr>
        <w:ind w:left="0" w:leftChars="0" w:firstLine="560" w:firstLineChars="200"/>
        <w:rPr>
          <w:rFonts w:hint="eastAsia" w:ascii="黑体" w:eastAsia="黑体"/>
          <w:sz w:val="28"/>
          <w:szCs w:val="28"/>
          <w:highlight w:val="none"/>
        </w:rPr>
      </w:pPr>
      <w:r>
        <w:rPr>
          <w:rFonts w:hint="eastAsia" w:ascii="黑体" w:eastAsia="黑体"/>
          <w:sz w:val="28"/>
          <w:szCs w:val="28"/>
          <w:highlight w:val="none"/>
        </w:rPr>
        <w:t>项目支出部门绩效评价报告</w:t>
      </w:r>
    </w:p>
    <w:p>
      <w:pPr>
        <w:ind w:firstLine="560" w:firstLineChars="200"/>
        <w:rPr>
          <w:rFonts w:hint="eastAsia" w:ascii="仿宋_GB2312" w:hAnsi="宋体" w:eastAsia="仿宋_GB2312"/>
          <w:sz w:val="28"/>
          <w:szCs w:val="28"/>
        </w:rPr>
      </w:pPr>
      <w:bookmarkStart w:id="0" w:name="_Toc1172"/>
      <w:r>
        <w:rPr>
          <w:rFonts w:hint="eastAsia" w:ascii="仿宋_GB2312" w:hAnsi="宋体" w:eastAsia="仿宋_GB2312"/>
          <w:sz w:val="28"/>
          <w:szCs w:val="28"/>
        </w:rPr>
        <w:t>一、基本情况</w:t>
      </w:r>
    </w:p>
    <w:p>
      <w:pPr>
        <w:spacing w:line="360" w:lineRule="auto"/>
        <w:ind w:firstLine="640"/>
        <w:outlineLvl w:val="1"/>
        <w:rPr>
          <w:rFonts w:hint="eastAsia" w:ascii="楷体_GB2312" w:eastAsia="楷体_GB2312"/>
          <w:color w:val="000000"/>
          <w:sz w:val="32"/>
          <w:szCs w:val="32"/>
        </w:rPr>
      </w:pPr>
      <w:r>
        <w:rPr>
          <w:rFonts w:hint="eastAsia" w:ascii="楷体_GB2312" w:eastAsia="楷体_GB2312"/>
          <w:color w:val="000000"/>
          <w:sz w:val="32"/>
          <w:szCs w:val="32"/>
        </w:rPr>
        <w:t>（一）项目概况</w:t>
      </w:r>
      <w:bookmarkEnd w:id="0"/>
    </w:p>
    <w:p>
      <w:pPr>
        <w:adjustRightInd w:val="0"/>
        <w:spacing w:line="360" w:lineRule="auto"/>
        <w:ind w:firstLine="640"/>
        <w:rPr>
          <w:rFonts w:hint="eastAsia" w:eastAsia="仿宋_GB2312"/>
          <w:color w:val="000000"/>
          <w:sz w:val="32"/>
          <w:szCs w:val="32"/>
          <w:highlight w:val="none"/>
        </w:rPr>
      </w:pPr>
      <w:r>
        <w:rPr>
          <w:rFonts w:eastAsia="仿宋_GB2312"/>
          <w:color w:val="000000"/>
          <w:sz w:val="32"/>
          <w:szCs w:val="32"/>
          <w:highlight w:val="none"/>
        </w:rPr>
        <w:t>1.立项</w:t>
      </w:r>
      <w:r>
        <w:rPr>
          <w:rFonts w:hint="eastAsia" w:eastAsia="仿宋_GB2312"/>
          <w:color w:val="000000"/>
          <w:sz w:val="32"/>
          <w:szCs w:val="32"/>
          <w:highlight w:val="none"/>
        </w:rPr>
        <w:t>背景</w:t>
      </w:r>
    </w:p>
    <w:p>
      <w:pPr>
        <w:adjustRightInd w:val="0"/>
        <w:spacing w:line="360" w:lineRule="auto"/>
        <w:ind w:firstLine="640"/>
        <w:rPr>
          <w:rFonts w:hint="eastAsia" w:eastAsia="仿宋_GB2312"/>
          <w:color w:val="000000"/>
          <w:sz w:val="32"/>
          <w:szCs w:val="32"/>
          <w:highlight w:val="none"/>
        </w:rPr>
      </w:pPr>
      <w:r>
        <w:rPr>
          <w:rFonts w:hint="eastAsia" w:eastAsia="仿宋_GB2312"/>
          <w:color w:val="000000"/>
          <w:sz w:val="32"/>
          <w:szCs w:val="32"/>
          <w:highlight w:val="none"/>
        </w:rPr>
        <w:t>高举中国特色社会主义伟大旗帜，以习近平新时代中国特色社会主义思想为指导，全面贯彻</w:t>
      </w:r>
      <w:r>
        <w:rPr>
          <w:rFonts w:hint="eastAsia" w:eastAsia="仿宋_GB2312"/>
          <w:color w:val="000000"/>
          <w:sz w:val="32"/>
          <w:szCs w:val="32"/>
          <w:highlight w:val="none"/>
          <w:lang w:eastAsia="zh-CN"/>
        </w:rPr>
        <w:t>落实</w:t>
      </w:r>
      <w:r>
        <w:rPr>
          <w:rFonts w:hint="eastAsia" w:eastAsia="仿宋_GB2312"/>
          <w:color w:val="000000"/>
          <w:sz w:val="32"/>
          <w:szCs w:val="32"/>
          <w:highlight w:val="none"/>
        </w:rPr>
        <w:t>党的</w:t>
      </w:r>
      <w:r>
        <w:rPr>
          <w:rFonts w:hint="eastAsia" w:eastAsia="仿宋_GB2312"/>
          <w:color w:val="000000"/>
          <w:sz w:val="32"/>
          <w:szCs w:val="32"/>
          <w:highlight w:val="none"/>
          <w:lang w:eastAsia="zh-CN"/>
        </w:rPr>
        <w:t>二十大</w:t>
      </w:r>
      <w:r>
        <w:rPr>
          <w:rFonts w:hint="eastAsia" w:eastAsia="仿宋_GB2312"/>
          <w:color w:val="000000"/>
          <w:sz w:val="32"/>
          <w:szCs w:val="32"/>
          <w:highlight w:val="none"/>
        </w:rPr>
        <w:t>精神，深入学习贯彻习近平总书记关于坚持和完善人民代表大会制度的重要思想和对北京重要讲话精神，增强“四个意识”、坚定“四个自信”、做到“两个维护”，坚持党的领导、人民当家作主、依法治国有机统一</w:t>
      </w:r>
      <w:r>
        <w:rPr>
          <w:rFonts w:hint="eastAsia" w:eastAsia="仿宋_GB2312"/>
          <w:color w:val="000000"/>
          <w:sz w:val="32"/>
          <w:szCs w:val="32"/>
          <w:highlight w:val="none"/>
          <w:lang w:eastAsia="zh-CN"/>
        </w:rPr>
        <w:t>。</w:t>
      </w:r>
      <w:r>
        <w:rPr>
          <w:rFonts w:hint="eastAsia" w:eastAsia="仿宋_GB2312"/>
          <w:color w:val="000000"/>
          <w:sz w:val="32"/>
          <w:szCs w:val="32"/>
          <w:highlight w:val="none"/>
        </w:rPr>
        <w:t>在区委领导下，深入学习贯彻中央</w:t>
      </w:r>
      <w:r>
        <w:rPr>
          <w:rFonts w:hint="eastAsia" w:eastAsia="仿宋_GB2312"/>
          <w:color w:val="000000"/>
          <w:sz w:val="32"/>
          <w:szCs w:val="32"/>
          <w:highlight w:val="none"/>
          <w:lang w:eastAsia="zh-CN"/>
        </w:rPr>
        <w:t>、市委、区委人大工作</w:t>
      </w:r>
      <w:r>
        <w:rPr>
          <w:rFonts w:hint="eastAsia" w:eastAsia="仿宋_GB2312"/>
          <w:color w:val="000000"/>
          <w:sz w:val="32"/>
          <w:szCs w:val="32"/>
          <w:highlight w:val="none"/>
        </w:rPr>
        <w:t>会议精神，切实履行宪法和法律赋予的职责，充分发扬民主，保障人大代表依法行使权利，依法审议各项工作报告，选举</w:t>
      </w:r>
      <w:r>
        <w:rPr>
          <w:rFonts w:hint="eastAsia" w:eastAsia="仿宋_GB2312"/>
          <w:color w:val="000000"/>
          <w:sz w:val="32"/>
          <w:szCs w:val="32"/>
          <w:highlight w:val="none"/>
          <w:lang w:eastAsia="zh-CN"/>
        </w:rPr>
        <w:t>区级国家机关</w:t>
      </w:r>
      <w:r>
        <w:rPr>
          <w:rFonts w:hint="eastAsia" w:eastAsia="仿宋_GB2312"/>
          <w:color w:val="000000"/>
          <w:sz w:val="32"/>
          <w:szCs w:val="32"/>
          <w:highlight w:val="none"/>
        </w:rPr>
        <w:t>领导人员。</w:t>
      </w:r>
    </w:p>
    <w:p>
      <w:pPr>
        <w:adjustRightInd w:val="0"/>
        <w:spacing w:line="360" w:lineRule="auto"/>
        <w:ind w:firstLine="640"/>
        <w:rPr>
          <w:rFonts w:eastAsia="仿宋_GB2312"/>
          <w:color w:val="000000"/>
          <w:sz w:val="32"/>
          <w:szCs w:val="32"/>
          <w:highlight w:val="none"/>
        </w:rPr>
      </w:pPr>
      <w:r>
        <w:rPr>
          <w:rFonts w:hint="eastAsia" w:eastAsia="仿宋_GB2312"/>
          <w:color w:val="000000"/>
          <w:sz w:val="32"/>
          <w:szCs w:val="32"/>
          <w:highlight w:val="none"/>
        </w:rPr>
        <w:t>2</w:t>
      </w:r>
      <w:r>
        <w:rPr>
          <w:rFonts w:eastAsia="仿宋_GB2312"/>
          <w:color w:val="000000"/>
          <w:sz w:val="32"/>
          <w:szCs w:val="32"/>
          <w:highlight w:val="none"/>
        </w:rPr>
        <w:t>.项目</w:t>
      </w:r>
      <w:r>
        <w:rPr>
          <w:rFonts w:hint="eastAsia" w:eastAsia="仿宋_GB2312"/>
          <w:color w:val="000000"/>
          <w:sz w:val="32"/>
          <w:szCs w:val="32"/>
          <w:highlight w:val="none"/>
        </w:rPr>
        <w:t>主要内容及实施</w:t>
      </w:r>
      <w:r>
        <w:rPr>
          <w:rFonts w:eastAsia="仿宋_GB2312"/>
          <w:color w:val="000000"/>
          <w:sz w:val="32"/>
          <w:szCs w:val="32"/>
          <w:highlight w:val="none"/>
        </w:rPr>
        <w:t>情况</w:t>
      </w:r>
    </w:p>
    <w:p>
      <w:pPr>
        <w:adjustRightInd w:val="0"/>
        <w:spacing w:line="360" w:lineRule="auto"/>
        <w:ind w:firstLine="640"/>
        <w:rPr>
          <w:rFonts w:hint="eastAsia" w:eastAsia="仿宋_GB2312"/>
          <w:color w:val="000000"/>
          <w:sz w:val="32"/>
          <w:szCs w:val="32"/>
          <w:highlight w:val="none"/>
        </w:rPr>
      </w:pPr>
      <w:r>
        <w:rPr>
          <w:rFonts w:hint="eastAsia" w:eastAsia="仿宋_GB2312"/>
          <w:color w:val="000000"/>
          <w:sz w:val="32"/>
          <w:szCs w:val="32"/>
          <w:highlight w:val="none"/>
        </w:rPr>
        <w:t>根据地方组织法的规定，经区人大常委会党组研究，</w:t>
      </w:r>
      <w:r>
        <w:rPr>
          <w:rFonts w:hint="eastAsia" w:eastAsia="仿宋_GB2312"/>
          <w:color w:val="000000"/>
          <w:sz w:val="32"/>
          <w:szCs w:val="32"/>
          <w:highlight w:val="none"/>
          <w:lang w:eastAsia="zh-CN"/>
        </w:rPr>
        <w:t>报请区委同意召开区六届人大</w:t>
      </w:r>
      <w:r>
        <w:rPr>
          <w:rFonts w:hint="eastAsia" w:eastAsia="仿宋_GB2312"/>
          <w:color w:val="000000"/>
          <w:sz w:val="32"/>
          <w:szCs w:val="32"/>
          <w:highlight w:val="none"/>
          <w:lang w:val="en-US" w:eastAsia="zh-CN"/>
        </w:rPr>
        <w:t>四</w:t>
      </w:r>
      <w:r>
        <w:rPr>
          <w:rFonts w:hint="eastAsia" w:eastAsia="仿宋_GB2312"/>
          <w:color w:val="000000"/>
          <w:sz w:val="32"/>
          <w:szCs w:val="32"/>
          <w:highlight w:val="none"/>
          <w:lang w:eastAsia="zh-CN"/>
        </w:rPr>
        <w:t>次会议，</w:t>
      </w:r>
      <w:r>
        <w:rPr>
          <w:rFonts w:hint="eastAsia" w:eastAsia="仿宋_GB2312"/>
          <w:color w:val="000000"/>
          <w:sz w:val="32"/>
          <w:szCs w:val="32"/>
          <w:highlight w:val="none"/>
          <w:lang w:val="en-US" w:eastAsia="zh-CN"/>
        </w:rPr>
        <w:t>2023年12月28日，北京市大兴区第六届人大常委会第二十一次会议，决定于</w:t>
      </w:r>
      <w:r>
        <w:rPr>
          <w:rFonts w:hint="eastAsia" w:eastAsia="仿宋_GB2312"/>
          <w:color w:val="000000"/>
          <w:sz w:val="32"/>
          <w:szCs w:val="32"/>
          <w:highlight w:val="none"/>
        </w:rPr>
        <w:t>20</w:t>
      </w:r>
      <w:r>
        <w:rPr>
          <w:rFonts w:hint="eastAsia" w:eastAsia="仿宋_GB2312"/>
          <w:color w:val="000000"/>
          <w:sz w:val="32"/>
          <w:szCs w:val="32"/>
          <w:highlight w:val="none"/>
          <w:lang w:val="en-US" w:eastAsia="zh-CN"/>
        </w:rPr>
        <w:t>24</w:t>
      </w:r>
      <w:r>
        <w:rPr>
          <w:rFonts w:hint="eastAsia" w:eastAsia="仿宋_GB2312"/>
          <w:color w:val="000000"/>
          <w:sz w:val="32"/>
          <w:szCs w:val="32"/>
          <w:highlight w:val="none"/>
        </w:rPr>
        <w:t>年1月</w:t>
      </w:r>
      <w:r>
        <w:rPr>
          <w:rFonts w:hint="eastAsia" w:eastAsia="仿宋_GB2312"/>
          <w:color w:val="000000"/>
          <w:sz w:val="32"/>
          <w:szCs w:val="32"/>
          <w:highlight w:val="none"/>
          <w:lang w:val="en-US" w:eastAsia="zh-CN"/>
        </w:rPr>
        <w:t>8</w:t>
      </w:r>
      <w:r>
        <w:rPr>
          <w:rFonts w:hint="eastAsia" w:eastAsia="仿宋_GB2312"/>
          <w:color w:val="000000"/>
          <w:sz w:val="32"/>
          <w:szCs w:val="32"/>
          <w:highlight w:val="none"/>
        </w:rPr>
        <w:t>日至</w:t>
      </w:r>
      <w:r>
        <w:rPr>
          <w:rFonts w:hint="eastAsia" w:eastAsia="仿宋_GB2312"/>
          <w:color w:val="000000"/>
          <w:sz w:val="32"/>
          <w:szCs w:val="32"/>
          <w:highlight w:val="none"/>
          <w:lang w:val="en-US" w:eastAsia="zh-CN"/>
        </w:rPr>
        <w:t>11</w:t>
      </w:r>
      <w:r>
        <w:rPr>
          <w:rFonts w:hint="eastAsia" w:eastAsia="仿宋_GB2312"/>
          <w:color w:val="000000"/>
          <w:sz w:val="32"/>
          <w:szCs w:val="32"/>
          <w:highlight w:val="none"/>
        </w:rPr>
        <w:t>日，举行北京市大兴区第六届人民代表大会第</w:t>
      </w:r>
      <w:r>
        <w:rPr>
          <w:rFonts w:hint="eastAsia" w:eastAsia="仿宋_GB2312"/>
          <w:color w:val="000000"/>
          <w:sz w:val="32"/>
          <w:szCs w:val="32"/>
          <w:highlight w:val="none"/>
          <w:lang w:val="en-US" w:eastAsia="zh-CN"/>
        </w:rPr>
        <w:t>四</w:t>
      </w:r>
      <w:r>
        <w:rPr>
          <w:rFonts w:hint="eastAsia" w:eastAsia="仿宋_GB2312"/>
          <w:color w:val="000000"/>
          <w:sz w:val="32"/>
          <w:szCs w:val="32"/>
          <w:highlight w:val="none"/>
        </w:rPr>
        <w:t>次会议</w:t>
      </w:r>
      <w:r>
        <w:rPr>
          <w:rFonts w:hint="eastAsia" w:eastAsia="仿宋_GB2312"/>
          <w:color w:val="000000"/>
          <w:sz w:val="32"/>
          <w:szCs w:val="32"/>
          <w:highlight w:val="none"/>
          <w:lang w:eastAsia="zh-CN"/>
        </w:rPr>
        <w:t>。会议</w:t>
      </w:r>
      <w:r>
        <w:rPr>
          <w:rFonts w:hint="eastAsia" w:eastAsia="仿宋_GB2312"/>
          <w:color w:val="000000"/>
          <w:sz w:val="32"/>
          <w:szCs w:val="32"/>
          <w:highlight w:val="none"/>
        </w:rPr>
        <w:t>表决通过了议程草案、主席团和秘书长名单草案、常务主席名单草案、计划预算审查委员会名单草案、议案审查委员会名单草案、副秘书长名单草案、列席人员</w:t>
      </w:r>
      <w:r>
        <w:rPr>
          <w:rFonts w:hint="eastAsia" w:eastAsia="仿宋_GB2312"/>
          <w:color w:val="000000"/>
          <w:sz w:val="32"/>
          <w:szCs w:val="32"/>
          <w:highlight w:val="none"/>
          <w:lang w:eastAsia="zh-CN"/>
        </w:rPr>
        <w:t>名单</w:t>
      </w:r>
      <w:r>
        <w:rPr>
          <w:rFonts w:hint="eastAsia" w:eastAsia="仿宋_GB2312"/>
          <w:color w:val="000000"/>
          <w:sz w:val="32"/>
          <w:szCs w:val="32"/>
          <w:highlight w:val="none"/>
        </w:rPr>
        <w:t>。</w:t>
      </w:r>
    </w:p>
    <w:p>
      <w:pPr>
        <w:adjustRightInd w:val="0"/>
        <w:spacing w:line="360" w:lineRule="auto"/>
        <w:ind w:firstLine="640"/>
        <w:rPr>
          <w:rFonts w:hint="eastAsia" w:eastAsia="仿宋_GB2312"/>
          <w:color w:val="000000"/>
          <w:sz w:val="32"/>
          <w:szCs w:val="32"/>
          <w:highlight w:val="none"/>
          <w:lang w:eastAsia="zh-CN"/>
        </w:rPr>
      </w:pPr>
      <w:r>
        <w:rPr>
          <w:rFonts w:hint="eastAsia" w:eastAsia="仿宋_GB2312"/>
          <w:color w:val="000000"/>
          <w:sz w:val="32"/>
          <w:szCs w:val="32"/>
          <w:highlight w:val="none"/>
          <w:lang w:eastAsia="zh-CN"/>
        </w:rPr>
        <w:t>根据北京市大兴区第六届人大常委会第</w:t>
      </w:r>
      <w:r>
        <w:rPr>
          <w:rFonts w:hint="eastAsia" w:eastAsia="仿宋_GB2312"/>
          <w:color w:val="000000"/>
          <w:sz w:val="32"/>
          <w:szCs w:val="32"/>
          <w:highlight w:val="none"/>
          <w:lang w:val="en-US" w:eastAsia="zh-CN"/>
        </w:rPr>
        <w:t>二</w:t>
      </w:r>
      <w:r>
        <w:rPr>
          <w:rFonts w:hint="eastAsia" w:eastAsia="仿宋_GB2312"/>
          <w:color w:val="000000"/>
          <w:sz w:val="32"/>
          <w:szCs w:val="32"/>
          <w:highlight w:val="none"/>
          <w:lang w:eastAsia="zh-CN"/>
        </w:rPr>
        <w:t>十一次会议研究决定：</w:t>
      </w:r>
      <w:r>
        <w:rPr>
          <w:rFonts w:hint="eastAsia" w:eastAsia="仿宋_GB2312"/>
          <w:color w:val="000000"/>
          <w:sz w:val="32"/>
          <w:szCs w:val="32"/>
          <w:highlight w:val="none"/>
        </w:rPr>
        <w:t>20</w:t>
      </w:r>
      <w:r>
        <w:rPr>
          <w:rFonts w:hint="eastAsia" w:eastAsia="仿宋_GB2312"/>
          <w:color w:val="000000"/>
          <w:sz w:val="32"/>
          <w:szCs w:val="32"/>
          <w:highlight w:val="none"/>
          <w:lang w:val="en-US" w:eastAsia="zh-CN"/>
        </w:rPr>
        <w:t>24</w:t>
      </w:r>
      <w:r>
        <w:rPr>
          <w:rFonts w:hint="eastAsia" w:eastAsia="仿宋_GB2312"/>
          <w:color w:val="000000"/>
          <w:sz w:val="32"/>
          <w:szCs w:val="32"/>
          <w:highlight w:val="none"/>
        </w:rPr>
        <w:t>年1月</w:t>
      </w:r>
      <w:r>
        <w:rPr>
          <w:rFonts w:hint="eastAsia" w:eastAsia="仿宋_GB2312"/>
          <w:color w:val="000000"/>
          <w:sz w:val="32"/>
          <w:szCs w:val="32"/>
          <w:highlight w:val="none"/>
          <w:lang w:val="en-US" w:eastAsia="zh-CN"/>
        </w:rPr>
        <w:t>8</w:t>
      </w:r>
      <w:r>
        <w:rPr>
          <w:rFonts w:hint="eastAsia" w:eastAsia="仿宋_GB2312"/>
          <w:color w:val="000000"/>
          <w:sz w:val="32"/>
          <w:szCs w:val="32"/>
          <w:highlight w:val="none"/>
        </w:rPr>
        <w:t>日至</w:t>
      </w:r>
      <w:r>
        <w:rPr>
          <w:rFonts w:hint="eastAsia" w:eastAsia="仿宋_GB2312"/>
          <w:color w:val="000000"/>
          <w:sz w:val="32"/>
          <w:szCs w:val="32"/>
          <w:highlight w:val="none"/>
          <w:lang w:val="en-US" w:eastAsia="zh-CN"/>
        </w:rPr>
        <w:t>11</w:t>
      </w:r>
      <w:r>
        <w:rPr>
          <w:rFonts w:hint="eastAsia" w:eastAsia="仿宋_GB2312"/>
          <w:color w:val="000000"/>
          <w:sz w:val="32"/>
          <w:szCs w:val="32"/>
          <w:highlight w:val="none"/>
        </w:rPr>
        <w:t>日</w:t>
      </w:r>
      <w:r>
        <w:rPr>
          <w:rFonts w:hint="eastAsia" w:eastAsia="仿宋_GB2312"/>
          <w:color w:val="000000"/>
          <w:sz w:val="32"/>
          <w:szCs w:val="32"/>
          <w:highlight w:val="none"/>
          <w:lang w:val="en-US" w:eastAsia="zh-CN"/>
        </w:rPr>
        <w:t>召开</w:t>
      </w:r>
      <w:r>
        <w:rPr>
          <w:rFonts w:hint="eastAsia" w:eastAsia="仿宋_GB2312"/>
          <w:color w:val="000000"/>
          <w:sz w:val="32"/>
          <w:szCs w:val="32"/>
          <w:highlight w:val="none"/>
          <w:lang w:eastAsia="zh-CN"/>
        </w:rPr>
        <w:t>北京市大兴区第六届人民代表大会第</w:t>
      </w:r>
      <w:r>
        <w:rPr>
          <w:rFonts w:hint="eastAsia" w:eastAsia="仿宋_GB2312"/>
          <w:color w:val="000000"/>
          <w:sz w:val="32"/>
          <w:szCs w:val="32"/>
          <w:highlight w:val="none"/>
          <w:lang w:val="en-US" w:eastAsia="zh-CN"/>
        </w:rPr>
        <w:t>四</w:t>
      </w:r>
      <w:r>
        <w:rPr>
          <w:rFonts w:hint="eastAsia" w:eastAsia="仿宋_GB2312"/>
          <w:color w:val="000000"/>
          <w:sz w:val="32"/>
          <w:szCs w:val="32"/>
          <w:highlight w:val="none"/>
          <w:lang w:eastAsia="zh-CN"/>
        </w:rPr>
        <w:t>次会议。</w:t>
      </w:r>
    </w:p>
    <w:p>
      <w:pPr>
        <w:pStyle w:val="2"/>
        <w:ind w:firstLine="640"/>
        <w:rPr>
          <w:rFonts w:hint="eastAsia" w:eastAsia="仿宋_GB2312"/>
          <w:b w:val="0"/>
          <w:bCs w:val="0"/>
          <w:color w:val="000000"/>
          <w:sz w:val="32"/>
          <w:szCs w:val="32"/>
          <w:highlight w:val="none"/>
          <w:lang w:eastAsia="zh-CN"/>
        </w:rPr>
      </w:pPr>
      <w:r>
        <w:rPr>
          <w:rFonts w:hint="eastAsia" w:eastAsia="仿宋_GB2312"/>
          <w:b w:val="0"/>
          <w:bCs w:val="0"/>
          <w:color w:val="000000"/>
          <w:sz w:val="32"/>
          <w:szCs w:val="32"/>
          <w:highlight w:val="none"/>
        </w:rPr>
        <w:t>区六届人大</w:t>
      </w:r>
      <w:r>
        <w:rPr>
          <w:rFonts w:hint="eastAsia" w:eastAsia="仿宋_GB2312"/>
          <w:b w:val="0"/>
          <w:bCs w:val="0"/>
          <w:color w:val="000000"/>
          <w:sz w:val="32"/>
          <w:szCs w:val="32"/>
          <w:highlight w:val="none"/>
          <w:lang w:val="en-US" w:eastAsia="zh-CN"/>
        </w:rPr>
        <w:t>四</w:t>
      </w:r>
      <w:r>
        <w:rPr>
          <w:rFonts w:hint="eastAsia" w:eastAsia="仿宋_GB2312"/>
          <w:b w:val="0"/>
          <w:bCs w:val="0"/>
          <w:color w:val="000000"/>
          <w:sz w:val="32"/>
          <w:szCs w:val="32"/>
          <w:highlight w:val="none"/>
        </w:rPr>
        <w:t>次会议期间，严格按照节俭、有效的要求，组织</w:t>
      </w:r>
      <w:r>
        <w:rPr>
          <w:rFonts w:hint="eastAsia" w:eastAsia="仿宋_GB2312"/>
          <w:b w:val="0"/>
          <w:bCs w:val="0"/>
          <w:color w:val="000000"/>
          <w:sz w:val="32"/>
          <w:szCs w:val="32"/>
          <w:highlight w:val="none"/>
          <w:lang w:eastAsia="zh-CN"/>
        </w:rPr>
        <w:t>实施</w:t>
      </w:r>
      <w:r>
        <w:rPr>
          <w:rFonts w:hint="eastAsia" w:eastAsia="仿宋_GB2312"/>
          <w:b w:val="0"/>
          <w:bCs w:val="0"/>
          <w:color w:val="000000"/>
          <w:sz w:val="32"/>
          <w:szCs w:val="32"/>
          <w:highlight w:val="none"/>
        </w:rPr>
        <w:t>各项议程</w:t>
      </w:r>
      <w:r>
        <w:rPr>
          <w:rFonts w:hint="eastAsia" w:eastAsia="仿宋_GB2312"/>
          <w:b w:val="0"/>
          <w:bCs w:val="0"/>
          <w:color w:val="000000"/>
          <w:sz w:val="32"/>
          <w:szCs w:val="32"/>
          <w:highlight w:val="none"/>
          <w:lang w:eastAsia="zh-CN"/>
        </w:rPr>
        <w:t>。大会</w:t>
      </w:r>
      <w:r>
        <w:rPr>
          <w:rFonts w:hint="eastAsia" w:eastAsia="仿宋_GB2312"/>
          <w:b w:val="0"/>
          <w:bCs w:val="0"/>
          <w:color w:val="000000"/>
          <w:sz w:val="32"/>
          <w:szCs w:val="32"/>
          <w:highlight w:val="none"/>
        </w:rPr>
        <w:t>听取和审议大兴区人民政府工作报告；审议大兴区202</w:t>
      </w:r>
      <w:r>
        <w:rPr>
          <w:rFonts w:hint="eastAsia" w:eastAsia="仿宋_GB2312"/>
          <w:b w:val="0"/>
          <w:bCs w:val="0"/>
          <w:color w:val="000000"/>
          <w:sz w:val="32"/>
          <w:szCs w:val="32"/>
          <w:highlight w:val="none"/>
          <w:lang w:val="en-US" w:eastAsia="zh-CN"/>
        </w:rPr>
        <w:t>3</w:t>
      </w:r>
      <w:r>
        <w:rPr>
          <w:rFonts w:hint="eastAsia" w:eastAsia="仿宋_GB2312"/>
          <w:b w:val="0"/>
          <w:bCs w:val="0"/>
          <w:color w:val="000000"/>
          <w:sz w:val="32"/>
          <w:szCs w:val="32"/>
          <w:highlight w:val="none"/>
        </w:rPr>
        <w:t>年国民经济和社会发展计划执行情况与202</w:t>
      </w:r>
      <w:r>
        <w:rPr>
          <w:rFonts w:hint="eastAsia" w:eastAsia="仿宋_GB2312"/>
          <w:b w:val="0"/>
          <w:bCs w:val="0"/>
          <w:color w:val="000000"/>
          <w:sz w:val="32"/>
          <w:szCs w:val="32"/>
          <w:highlight w:val="none"/>
          <w:lang w:val="en-US" w:eastAsia="zh-CN"/>
        </w:rPr>
        <w:t>4</w:t>
      </w:r>
      <w:r>
        <w:rPr>
          <w:rFonts w:hint="eastAsia" w:eastAsia="仿宋_GB2312"/>
          <w:b w:val="0"/>
          <w:bCs w:val="0"/>
          <w:color w:val="000000"/>
          <w:sz w:val="32"/>
          <w:szCs w:val="32"/>
          <w:highlight w:val="none"/>
        </w:rPr>
        <w:t>年国民经济和社会发展计划（草案）的报告；审查和批准大兴区202</w:t>
      </w:r>
      <w:r>
        <w:rPr>
          <w:rFonts w:hint="eastAsia" w:eastAsia="仿宋_GB2312"/>
          <w:b w:val="0"/>
          <w:bCs w:val="0"/>
          <w:color w:val="000000"/>
          <w:sz w:val="32"/>
          <w:szCs w:val="32"/>
          <w:highlight w:val="none"/>
          <w:lang w:val="en-US" w:eastAsia="zh-CN"/>
        </w:rPr>
        <w:t>3</w:t>
      </w:r>
      <w:r>
        <w:rPr>
          <w:rFonts w:hint="eastAsia" w:eastAsia="仿宋_GB2312"/>
          <w:b w:val="0"/>
          <w:bCs w:val="0"/>
          <w:color w:val="000000"/>
          <w:sz w:val="32"/>
          <w:szCs w:val="32"/>
          <w:highlight w:val="none"/>
        </w:rPr>
        <w:t>年国民经济和社会发展计划执行情况与202</w:t>
      </w:r>
      <w:r>
        <w:rPr>
          <w:rFonts w:hint="eastAsia" w:eastAsia="仿宋_GB2312"/>
          <w:b w:val="0"/>
          <w:bCs w:val="0"/>
          <w:color w:val="000000"/>
          <w:sz w:val="32"/>
          <w:szCs w:val="32"/>
          <w:highlight w:val="none"/>
          <w:lang w:val="en-US" w:eastAsia="zh-CN"/>
        </w:rPr>
        <w:t>4</w:t>
      </w:r>
      <w:r>
        <w:rPr>
          <w:rFonts w:hint="eastAsia" w:eastAsia="仿宋_GB2312"/>
          <w:b w:val="0"/>
          <w:bCs w:val="0"/>
          <w:color w:val="000000"/>
          <w:sz w:val="32"/>
          <w:szCs w:val="32"/>
          <w:highlight w:val="none"/>
        </w:rPr>
        <w:t>年国民经济和社会发展计划；审议大兴区202</w:t>
      </w:r>
      <w:r>
        <w:rPr>
          <w:rFonts w:hint="eastAsia" w:eastAsia="仿宋_GB2312"/>
          <w:b w:val="0"/>
          <w:bCs w:val="0"/>
          <w:color w:val="000000"/>
          <w:sz w:val="32"/>
          <w:szCs w:val="32"/>
          <w:highlight w:val="none"/>
          <w:lang w:val="en-US" w:eastAsia="zh-CN"/>
        </w:rPr>
        <w:t>3</w:t>
      </w:r>
      <w:r>
        <w:rPr>
          <w:rFonts w:hint="eastAsia" w:eastAsia="仿宋_GB2312"/>
          <w:b w:val="0"/>
          <w:bCs w:val="0"/>
          <w:color w:val="000000"/>
          <w:sz w:val="32"/>
          <w:szCs w:val="32"/>
          <w:highlight w:val="none"/>
        </w:rPr>
        <w:t>年预算执行情况和202</w:t>
      </w:r>
      <w:r>
        <w:rPr>
          <w:rFonts w:hint="eastAsia" w:eastAsia="仿宋_GB2312"/>
          <w:b w:val="0"/>
          <w:bCs w:val="0"/>
          <w:color w:val="000000"/>
          <w:sz w:val="32"/>
          <w:szCs w:val="32"/>
          <w:highlight w:val="none"/>
          <w:lang w:val="en-US" w:eastAsia="zh-CN"/>
        </w:rPr>
        <w:t>4</w:t>
      </w:r>
      <w:r>
        <w:rPr>
          <w:rFonts w:hint="eastAsia" w:eastAsia="仿宋_GB2312"/>
          <w:b w:val="0"/>
          <w:bCs w:val="0"/>
          <w:color w:val="000000"/>
          <w:sz w:val="32"/>
          <w:szCs w:val="32"/>
          <w:highlight w:val="none"/>
        </w:rPr>
        <w:t>年预算（草案）的报告；审查和批准大兴区202</w:t>
      </w:r>
      <w:r>
        <w:rPr>
          <w:rFonts w:hint="eastAsia" w:eastAsia="仿宋_GB2312"/>
          <w:b w:val="0"/>
          <w:bCs w:val="0"/>
          <w:color w:val="000000"/>
          <w:sz w:val="32"/>
          <w:szCs w:val="32"/>
          <w:highlight w:val="none"/>
          <w:lang w:val="en-US" w:eastAsia="zh-CN"/>
        </w:rPr>
        <w:t>3</w:t>
      </w:r>
      <w:r>
        <w:rPr>
          <w:rFonts w:hint="eastAsia" w:eastAsia="仿宋_GB2312"/>
          <w:b w:val="0"/>
          <w:bCs w:val="0"/>
          <w:color w:val="000000"/>
          <w:sz w:val="32"/>
          <w:szCs w:val="32"/>
          <w:highlight w:val="none"/>
        </w:rPr>
        <w:t>年预算执行情况的报告和202</w:t>
      </w:r>
      <w:r>
        <w:rPr>
          <w:rFonts w:hint="eastAsia" w:eastAsia="仿宋_GB2312"/>
          <w:b w:val="0"/>
          <w:bCs w:val="0"/>
          <w:color w:val="000000"/>
          <w:sz w:val="32"/>
          <w:szCs w:val="32"/>
          <w:highlight w:val="none"/>
          <w:lang w:val="en-US" w:eastAsia="zh-CN"/>
        </w:rPr>
        <w:t>4</w:t>
      </w:r>
      <w:r>
        <w:rPr>
          <w:rFonts w:hint="eastAsia" w:eastAsia="仿宋_GB2312"/>
          <w:b w:val="0"/>
          <w:bCs w:val="0"/>
          <w:color w:val="000000"/>
          <w:sz w:val="32"/>
          <w:szCs w:val="32"/>
          <w:highlight w:val="none"/>
        </w:rPr>
        <w:t>年预算（草案）；听取和审议大兴区人大常委会工作报告；听取和审议大兴区人民法院工作报告；听取和审议大兴区人民检察院工作报告；审议大兴区人民代表大会各专门委员会工作报告（书面）</w:t>
      </w:r>
      <w:r>
        <w:rPr>
          <w:rFonts w:hint="eastAsia" w:eastAsia="仿宋_GB2312"/>
          <w:b w:val="0"/>
          <w:bCs w:val="0"/>
          <w:color w:val="000000"/>
          <w:sz w:val="32"/>
          <w:szCs w:val="32"/>
          <w:highlight w:val="none"/>
          <w:lang w:eastAsia="zh-CN"/>
        </w:rPr>
        <w:t>，做出了相关决议决定。</w:t>
      </w:r>
    </w:p>
    <w:p>
      <w:pPr>
        <w:adjustRightInd w:val="0"/>
        <w:spacing w:line="360" w:lineRule="auto"/>
        <w:ind w:firstLine="640"/>
        <w:rPr>
          <w:rFonts w:eastAsia="仿宋_GB2312"/>
          <w:color w:val="000000"/>
          <w:sz w:val="32"/>
          <w:szCs w:val="32"/>
          <w:highlight w:val="none"/>
        </w:rPr>
      </w:pPr>
      <w:r>
        <w:rPr>
          <w:rFonts w:hint="eastAsia" w:eastAsia="仿宋_GB2312"/>
          <w:color w:val="000000"/>
          <w:sz w:val="32"/>
          <w:szCs w:val="32"/>
          <w:highlight w:val="none"/>
        </w:rPr>
        <w:t>3</w:t>
      </w:r>
      <w:r>
        <w:rPr>
          <w:rFonts w:eastAsia="仿宋_GB2312"/>
          <w:color w:val="000000"/>
          <w:sz w:val="32"/>
          <w:szCs w:val="32"/>
          <w:highlight w:val="none"/>
        </w:rPr>
        <w:t>.项目资金</w:t>
      </w:r>
      <w:r>
        <w:rPr>
          <w:rFonts w:hint="eastAsia" w:eastAsia="仿宋_GB2312"/>
          <w:color w:val="000000"/>
          <w:sz w:val="32"/>
          <w:szCs w:val="32"/>
          <w:highlight w:val="none"/>
        </w:rPr>
        <w:t>投入和使用</w:t>
      </w:r>
      <w:r>
        <w:rPr>
          <w:rFonts w:eastAsia="仿宋_GB2312"/>
          <w:color w:val="000000"/>
          <w:sz w:val="32"/>
          <w:szCs w:val="32"/>
          <w:highlight w:val="none"/>
        </w:rPr>
        <w:t>情况</w:t>
      </w:r>
    </w:p>
    <w:p>
      <w:pPr>
        <w:adjustRightInd w:val="0"/>
        <w:spacing w:line="360" w:lineRule="auto"/>
        <w:ind w:firstLine="640"/>
        <w:rPr>
          <w:rFonts w:hint="eastAsia" w:eastAsia="仿宋_GB2312"/>
          <w:color w:val="000000"/>
          <w:sz w:val="32"/>
          <w:szCs w:val="32"/>
          <w:highlight w:val="none"/>
        </w:rPr>
      </w:pPr>
      <w:r>
        <w:rPr>
          <w:rFonts w:hint="eastAsia" w:eastAsia="仿宋_GB2312"/>
          <w:color w:val="000000"/>
          <w:sz w:val="32"/>
          <w:szCs w:val="32"/>
          <w:highlight w:val="none"/>
        </w:rPr>
        <w:t>该项目总预算</w:t>
      </w:r>
      <w:r>
        <w:rPr>
          <w:rFonts w:hint="eastAsia" w:eastAsia="仿宋_GB2312"/>
          <w:color w:val="000000"/>
          <w:sz w:val="32"/>
          <w:szCs w:val="32"/>
          <w:highlight w:val="none"/>
          <w:lang w:val="en-US" w:eastAsia="zh-CN"/>
        </w:rPr>
        <w:t>178.55</w:t>
      </w:r>
      <w:r>
        <w:rPr>
          <w:rFonts w:hint="eastAsia" w:eastAsia="仿宋_GB2312"/>
          <w:color w:val="000000"/>
          <w:sz w:val="32"/>
          <w:szCs w:val="32"/>
          <w:highlight w:val="none"/>
        </w:rPr>
        <w:t>万元。202</w:t>
      </w:r>
      <w:r>
        <w:rPr>
          <w:rFonts w:hint="eastAsia" w:eastAsia="仿宋_GB2312"/>
          <w:color w:val="000000"/>
          <w:sz w:val="32"/>
          <w:szCs w:val="32"/>
          <w:highlight w:val="none"/>
          <w:lang w:val="en-US" w:eastAsia="zh-CN"/>
        </w:rPr>
        <w:t>4</w:t>
      </w:r>
      <w:r>
        <w:rPr>
          <w:rFonts w:hint="eastAsia" w:eastAsia="仿宋_GB2312"/>
          <w:color w:val="000000"/>
          <w:sz w:val="32"/>
          <w:szCs w:val="32"/>
          <w:highlight w:val="none"/>
        </w:rPr>
        <w:t>年1月，大兴区财政局将</w:t>
      </w:r>
      <w:r>
        <w:rPr>
          <w:rFonts w:hint="eastAsia" w:eastAsia="仿宋_GB2312"/>
          <w:color w:val="000000"/>
          <w:sz w:val="32"/>
          <w:szCs w:val="32"/>
          <w:highlight w:val="none"/>
          <w:lang w:val="en-US" w:eastAsia="zh-CN"/>
        </w:rPr>
        <w:t>178.55</w:t>
      </w:r>
      <w:r>
        <w:rPr>
          <w:rFonts w:hint="eastAsia" w:eastAsia="仿宋_GB2312"/>
          <w:color w:val="000000"/>
          <w:sz w:val="32"/>
          <w:szCs w:val="32"/>
          <w:highlight w:val="none"/>
        </w:rPr>
        <w:t>万元的下达至我单位，专项用于六届</w:t>
      </w:r>
      <w:r>
        <w:rPr>
          <w:rFonts w:hint="eastAsia" w:eastAsia="仿宋_GB2312"/>
          <w:color w:val="000000"/>
          <w:sz w:val="32"/>
          <w:szCs w:val="32"/>
          <w:highlight w:val="none"/>
          <w:lang w:val="en-US" w:eastAsia="zh-CN"/>
        </w:rPr>
        <w:t>四</w:t>
      </w:r>
      <w:r>
        <w:rPr>
          <w:rFonts w:hint="eastAsia" w:eastAsia="仿宋_GB2312"/>
          <w:color w:val="000000"/>
          <w:sz w:val="32"/>
          <w:szCs w:val="32"/>
          <w:highlight w:val="none"/>
        </w:rPr>
        <w:t>次人民代表大会及活动经费。我单位按照财政局的要求，严格资金支出管理，完善内部控制制度，严格遵守财务制度要求，落实政府采购程序，确保资金按要求支出。实际到位资金</w:t>
      </w:r>
      <w:r>
        <w:rPr>
          <w:rFonts w:hint="eastAsia" w:eastAsia="仿宋_GB2312"/>
          <w:color w:val="000000"/>
          <w:sz w:val="32"/>
          <w:szCs w:val="32"/>
          <w:highlight w:val="none"/>
          <w:lang w:val="en-US" w:eastAsia="zh-CN"/>
        </w:rPr>
        <w:t>178.55</w:t>
      </w:r>
      <w:r>
        <w:rPr>
          <w:rFonts w:hint="eastAsia" w:eastAsia="仿宋_GB2312"/>
          <w:color w:val="000000"/>
          <w:sz w:val="32"/>
          <w:szCs w:val="32"/>
          <w:highlight w:val="none"/>
        </w:rPr>
        <w:t>万元，资金到位率100%。项目主要用于六届</w:t>
      </w:r>
      <w:r>
        <w:rPr>
          <w:rFonts w:hint="eastAsia" w:eastAsia="仿宋_GB2312"/>
          <w:color w:val="000000"/>
          <w:sz w:val="32"/>
          <w:szCs w:val="32"/>
          <w:highlight w:val="none"/>
          <w:lang w:val="en-US" w:eastAsia="zh-CN"/>
        </w:rPr>
        <w:t>四</w:t>
      </w:r>
      <w:r>
        <w:rPr>
          <w:rFonts w:hint="eastAsia" w:eastAsia="仿宋_GB2312"/>
          <w:color w:val="000000"/>
          <w:sz w:val="32"/>
          <w:szCs w:val="32"/>
          <w:highlight w:val="none"/>
        </w:rPr>
        <w:t>次人代会及活动经费，截至202</w:t>
      </w:r>
      <w:r>
        <w:rPr>
          <w:rFonts w:hint="eastAsia" w:eastAsia="仿宋_GB2312"/>
          <w:color w:val="000000"/>
          <w:sz w:val="32"/>
          <w:szCs w:val="32"/>
          <w:highlight w:val="none"/>
          <w:lang w:val="en-US" w:eastAsia="zh-CN"/>
        </w:rPr>
        <w:t>4</w:t>
      </w:r>
      <w:r>
        <w:rPr>
          <w:rFonts w:hint="eastAsia" w:eastAsia="仿宋_GB2312"/>
          <w:color w:val="000000"/>
          <w:sz w:val="32"/>
          <w:szCs w:val="32"/>
          <w:highlight w:val="none"/>
        </w:rPr>
        <w:t>年底该项目实际支出为</w:t>
      </w:r>
      <w:r>
        <w:rPr>
          <w:rFonts w:hint="eastAsia" w:eastAsia="仿宋_GB2312"/>
          <w:color w:val="000000"/>
          <w:sz w:val="32"/>
          <w:szCs w:val="32"/>
          <w:highlight w:val="none"/>
          <w:lang w:val="en-US" w:eastAsia="zh-CN"/>
        </w:rPr>
        <w:t>178.55</w:t>
      </w:r>
      <w:r>
        <w:rPr>
          <w:rFonts w:hint="eastAsia" w:eastAsia="仿宋_GB2312"/>
          <w:color w:val="000000"/>
          <w:sz w:val="32"/>
          <w:szCs w:val="32"/>
          <w:highlight w:val="none"/>
        </w:rPr>
        <w:t>万元，资金支付率</w:t>
      </w:r>
      <w:r>
        <w:rPr>
          <w:rFonts w:hint="eastAsia" w:eastAsia="仿宋_GB2312"/>
          <w:color w:val="000000"/>
          <w:sz w:val="32"/>
          <w:szCs w:val="32"/>
          <w:highlight w:val="none"/>
          <w:lang w:val="en-US" w:eastAsia="zh-CN"/>
        </w:rPr>
        <w:t>100</w:t>
      </w:r>
      <w:r>
        <w:rPr>
          <w:rFonts w:hint="eastAsia" w:eastAsia="仿宋_GB2312"/>
          <w:color w:val="000000"/>
          <w:sz w:val="32"/>
          <w:szCs w:val="32"/>
          <w:highlight w:val="none"/>
        </w:rPr>
        <w:t>%。</w:t>
      </w:r>
    </w:p>
    <w:p>
      <w:pPr>
        <w:spacing w:line="360" w:lineRule="auto"/>
        <w:ind w:firstLine="640"/>
        <w:outlineLvl w:val="1"/>
        <w:rPr>
          <w:rFonts w:ascii="楷体_GB2312" w:eastAsia="楷体_GB2312"/>
          <w:color w:val="000000"/>
          <w:sz w:val="32"/>
          <w:szCs w:val="32"/>
          <w:highlight w:val="none"/>
        </w:rPr>
      </w:pPr>
      <w:bookmarkStart w:id="1" w:name="_Toc1381"/>
      <w:r>
        <w:rPr>
          <w:rFonts w:ascii="楷体_GB2312" w:eastAsia="楷体_GB2312"/>
          <w:color w:val="000000"/>
          <w:sz w:val="32"/>
          <w:szCs w:val="32"/>
          <w:highlight w:val="none"/>
        </w:rPr>
        <w:t>（二）绩效目标</w:t>
      </w:r>
      <w:bookmarkEnd w:id="1"/>
    </w:p>
    <w:p>
      <w:pPr>
        <w:adjustRightInd w:val="0"/>
        <w:spacing w:line="360" w:lineRule="auto"/>
        <w:ind w:firstLine="640"/>
        <w:rPr>
          <w:rFonts w:hint="eastAsia" w:eastAsia="仿宋_GB2312"/>
          <w:color w:val="000000"/>
          <w:sz w:val="32"/>
          <w:szCs w:val="32"/>
          <w:highlight w:val="none"/>
        </w:rPr>
      </w:pPr>
      <w:r>
        <w:rPr>
          <w:rFonts w:eastAsia="仿宋_GB2312"/>
          <w:color w:val="000000"/>
          <w:sz w:val="32"/>
          <w:szCs w:val="32"/>
          <w:highlight w:val="none"/>
        </w:rPr>
        <w:t>1.</w:t>
      </w:r>
      <w:r>
        <w:rPr>
          <w:rFonts w:hint="eastAsia" w:eastAsia="仿宋_GB2312"/>
          <w:color w:val="000000"/>
          <w:sz w:val="32"/>
          <w:szCs w:val="32"/>
          <w:highlight w:val="none"/>
        </w:rPr>
        <w:t>总体目标</w:t>
      </w:r>
    </w:p>
    <w:p>
      <w:pPr>
        <w:adjustRightInd w:val="0"/>
        <w:spacing w:before="163" w:beforeLines="50" w:line="360" w:lineRule="auto"/>
        <w:ind w:firstLine="640"/>
        <w:rPr>
          <w:rFonts w:hint="eastAsia" w:eastAsia="仿宋_GB2312"/>
          <w:color w:val="000000"/>
          <w:sz w:val="32"/>
          <w:szCs w:val="32"/>
          <w:highlight w:val="none"/>
        </w:rPr>
      </w:pPr>
      <w:r>
        <w:rPr>
          <w:rFonts w:hint="eastAsia" w:eastAsia="仿宋_GB2312"/>
          <w:color w:val="000000"/>
          <w:sz w:val="32"/>
          <w:szCs w:val="32"/>
          <w:highlight w:val="none"/>
        </w:rPr>
        <w:t>高举中国特色社会主义伟大旗帜，以习近平新时代中国特色社会主义思想为指导，全面贯彻党的二十大会议精神，深入贯彻习近平总书记关于坚持和完善人民代表大会制度的重要思想，坚持党的领导、人民当家作主、依法治国有机统一，在区委领导下，切实履行宪法和法律赋予的职责，充分发扬民主，依法审议好各项工作报告，将党的二十大的部署和市委要求落实到大兴区经济社会发展各方面。</w:t>
      </w:r>
    </w:p>
    <w:p>
      <w:pPr>
        <w:adjustRightInd w:val="0"/>
        <w:spacing w:line="360" w:lineRule="auto"/>
        <w:ind w:firstLine="640"/>
        <w:rPr>
          <w:rFonts w:hint="eastAsia" w:eastAsia="仿宋_GB2312"/>
          <w:color w:val="000000"/>
          <w:sz w:val="32"/>
          <w:szCs w:val="32"/>
        </w:rPr>
      </w:pPr>
      <w:r>
        <w:rPr>
          <w:rFonts w:hint="eastAsia" w:eastAsia="仿宋_GB2312"/>
          <w:color w:val="000000"/>
          <w:sz w:val="32"/>
          <w:szCs w:val="32"/>
          <w:lang w:val="en-US" w:eastAsia="zh-CN"/>
        </w:rPr>
        <w:t>2.</w:t>
      </w:r>
      <w:r>
        <w:rPr>
          <w:rFonts w:hint="eastAsia" w:eastAsia="仿宋_GB2312"/>
          <w:color w:val="000000"/>
          <w:sz w:val="32"/>
          <w:szCs w:val="32"/>
        </w:rPr>
        <w:t>具体指标</w:t>
      </w:r>
    </w:p>
    <w:p>
      <w:pPr>
        <w:adjustRightInd w:val="0"/>
        <w:spacing w:line="360" w:lineRule="auto"/>
        <w:ind w:firstLine="640"/>
        <w:rPr>
          <w:rFonts w:hint="eastAsia"/>
        </w:rPr>
      </w:pPr>
      <w:r>
        <w:rPr>
          <w:rFonts w:hint="eastAsia" w:eastAsia="仿宋_GB2312"/>
          <w:color w:val="000000"/>
          <w:sz w:val="32"/>
        </w:rPr>
        <w:t>该</w:t>
      </w:r>
      <w:r>
        <w:rPr>
          <w:rFonts w:hint="eastAsia" w:eastAsia="仿宋_GB2312"/>
          <w:color w:val="000000"/>
          <w:sz w:val="32"/>
          <w:szCs w:val="32"/>
        </w:rPr>
        <w:t>项目绩效指标如下：</w:t>
      </w:r>
    </w:p>
    <w:tbl>
      <w:tblPr>
        <w:tblStyle w:val="11"/>
        <w:tblpPr w:leftFromText="180" w:rightFromText="180" w:vertAnchor="text" w:horzAnchor="page" w:tblpX="1109" w:tblpY="1796"/>
        <w:tblOverlap w:val="never"/>
        <w:tblW w:w="9680" w:type="dxa"/>
        <w:jc w:val="center"/>
        <w:tblInd w:w="0" w:type="dxa"/>
        <w:tblLayout w:type="fixed"/>
        <w:tblCellMar>
          <w:top w:w="15" w:type="dxa"/>
          <w:left w:w="15" w:type="dxa"/>
          <w:bottom w:w="15" w:type="dxa"/>
          <w:right w:w="15" w:type="dxa"/>
        </w:tblCellMar>
      </w:tblPr>
      <w:tblGrid>
        <w:gridCol w:w="551"/>
        <w:gridCol w:w="863"/>
        <w:gridCol w:w="917"/>
        <w:gridCol w:w="1929"/>
        <w:gridCol w:w="1432"/>
        <w:gridCol w:w="1304"/>
        <w:gridCol w:w="734"/>
        <w:gridCol w:w="807"/>
        <w:gridCol w:w="1143"/>
      </w:tblGrid>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绩</w:t>
            </w:r>
          </w:p>
        </w:tc>
        <w:tc>
          <w:tcPr>
            <w:tcW w:w="863" w:type="dxa"/>
            <w:vMerge w:val="restart"/>
            <w:tcBorders>
              <w:bottom w:val="single" w:color="000000" w:sz="12"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一级指标</w:t>
            </w:r>
          </w:p>
        </w:tc>
        <w:tc>
          <w:tcPr>
            <w:tcW w:w="917"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二级指标</w:t>
            </w:r>
          </w:p>
        </w:tc>
        <w:tc>
          <w:tcPr>
            <w:tcW w:w="1929" w:type="dxa"/>
            <w:vMerge w:val="restart"/>
            <w:tcBorders>
              <w:top w:val="single" w:color="000000" w:sz="12" w:space="0"/>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三级指标</w:t>
            </w:r>
          </w:p>
        </w:tc>
        <w:tc>
          <w:tcPr>
            <w:tcW w:w="1432" w:type="dxa"/>
            <w:tcBorders>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年度</w:t>
            </w:r>
          </w:p>
        </w:tc>
        <w:tc>
          <w:tcPr>
            <w:tcW w:w="1304" w:type="dxa"/>
            <w:tcBorders>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实际</w:t>
            </w:r>
          </w:p>
        </w:tc>
        <w:tc>
          <w:tcPr>
            <w:tcW w:w="734"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分值</w:t>
            </w:r>
          </w:p>
        </w:tc>
        <w:tc>
          <w:tcPr>
            <w:tcW w:w="807"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得分</w:t>
            </w:r>
          </w:p>
        </w:tc>
        <w:tc>
          <w:tcPr>
            <w:tcW w:w="1143" w:type="dxa"/>
            <w:vMerge w:val="restart"/>
            <w:tcBorders>
              <w:top w:val="single" w:color="000000" w:sz="12" w:space="0"/>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偏差原因分析及改进措施</w:t>
            </w: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w:t>
            </w:r>
          </w:p>
        </w:tc>
        <w:tc>
          <w:tcPr>
            <w:tcW w:w="863"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vMerge w:val="continue"/>
            <w:tcBorders>
              <w:top w:val="single" w:color="000000" w:sz="12" w:space="0"/>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指标值</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完成值</w:t>
            </w:r>
          </w:p>
        </w:tc>
        <w:tc>
          <w:tcPr>
            <w:tcW w:w="73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continue"/>
            <w:tcBorders>
              <w:top w:val="single" w:color="000000" w:sz="12" w:space="0"/>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shd w:val="clear" w:color="auto" w:fill="auto"/>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w:t>
            </w:r>
          </w:p>
        </w:tc>
        <w:tc>
          <w:tcPr>
            <w:tcW w:w="863" w:type="dxa"/>
            <w:tcBorders>
              <w:right w:val="single" w:color="000000" w:sz="12" w:space="0"/>
            </w:tcBorders>
            <w:shd w:val="clear" w:color="auto" w:fill="auto"/>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产出指标</w:t>
            </w:r>
          </w:p>
        </w:tc>
        <w:tc>
          <w:tcPr>
            <w:tcW w:w="917" w:type="dxa"/>
            <w:vMerge w:val="restart"/>
            <w:tcBorders>
              <w:bottom w:val="single" w:color="000000" w:sz="12" w:space="0"/>
              <w:right w:val="single" w:color="000000" w:sz="12" w:space="0"/>
            </w:tcBorders>
            <w:shd w:val="clear" w:color="auto" w:fill="auto"/>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数量指标</w:t>
            </w:r>
          </w:p>
        </w:tc>
        <w:tc>
          <w:tcPr>
            <w:tcW w:w="1929" w:type="dxa"/>
            <w:tcBorders>
              <w:bottom w:val="single" w:color="000000" w:sz="12" w:space="0"/>
              <w:right w:val="single" w:color="000000" w:sz="12" w:space="0"/>
            </w:tcBorders>
            <w:shd w:val="clear" w:color="auto" w:fill="auto"/>
            <w:noWrap w:val="0"/>
            <w:vAlign w:val="center"/>
          </w:tcPr>
          <w:p>
            <w:pPr>
              <w:widowControl/>
              <w:tabs>
                <w:tab w:val="left" w:pos="333"/>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指标1：代表履职人数</w:t>
            </w:r>
          </w:p>
        </w:tc>
        <w:tc>
          <w:tcPr>
            <w:tcW w:w="1432" w:type="dxa"/>
            <w:tcBorders>
              <w:bottom w:val="single" w:color="000000" w:sz="12" w:space="0"/>
              <w:right w:val="single" w:color="000000" w:sz="12" w:space="0"/>
            </w:tcBorders>
            <w:shd w:val="clear" w:color="auto" w:fill="FFFFFF"/>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w:t>
            </w:r>
            <w:r>
              <w:rPr>
                <w:rFonts w:hint="eastAsia" w:ascii="宋体" w:hAnsi="宋体" w:cs="宋体"/>
                <w:color w:val="000000"/>
                <w:kern w:val="0"/>
                <w:sz w:val="18"/>
                <w:szCs w:val="18"/>
                <w:lang w:val="en-US" w:eastAsia="zh-CN" w:bidi="ar"/>
              </w:rPr>
              <w:t>322</w:t>
            </w:r>
            <w:r>
              <w:rPr>
                <w:rFonts w:hint="eastAsia" w:ascii="宋体" w:hAnsi="宋体" w:cs="宋体"/>
                <w:color w:val="000000"/>
                <w:kern w:val="0"/>
                <w:sz w:val="18"/>
                <w:szCs w:val="18"/>
                <w:lang w:bidi="ar"/>
              </w:rPr>
              <w:t>人</w:t>
            </w:r>
          </w:p>
        </w:tc>
        <w:tc>
          <w:tcPr>
            <w:tcW w:w="1304" w:type="dxa"/>
            <w:tcBorders>
              <w:bottom w:val="single" w:color="000000" w:sz="12" w:space="0"/>
              <w:right w:val="single" w:color="000000" w:sz="12" w:space="0"/>
            </w:tcBorders>
            <w:shd w:val="clear" w:color="auto" w:fill="FFFFFF"/>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297</w:t>
            </w:r>
            <w:r>
              <w:rPr>
                <w:rFonts w:hint="eastAsia" w:ascii="宋体" w:hAnsi="宋体" w:cs="宋体"/>
                <w:color w:val="000000"/>
                <w:kern w:val="0"/>
                <w:sz w:val="18"/>
                <w:szCs w:val="18"/>
                <w:lang w:bidi="ar"/>
              </w:rPr>
              <w:t>人</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4.6</w:t>
            </w:r>
          </w:p>
        </w:tc>
        <w:tc>
          <w:tcPr>
            <w:tcW w:w="1143" w:type="dxa"/>
            <w:tcBorders>
              <w:bottom w:val="single" w:color="000000" w:sz="12"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25</w:t>
            </w:r>
            <w:r>
              <w:rPr>
                <w:rFonts w:hint="eastAsia" w:ascii="宋体" w:hAnsi="宋体" w:cs="宋体"/>
                <w:color w:val="000000"/>
                <w:kern w:val="0"/>
                <w:sz w:val="18"/>
                <w:szCs w:val="18"/>
                <w:lang w:bidi="ar"/>
              </w:rPr>
              <w:t>人辞去代表</w:t>
            </w:r>
          </w:p>
        </w:tc>
      </w:tr>
      <w:tr>
        <w:tblPrEx>
          <w:tblLayout w:type="fixed"/>
          <w:tblCellMar>
            <w:top w:w="15" w:type="dxa"/>
            <w:left w:w="15" w:type="dxa"/>
            <w:bottom w:w="15" w:type="dxa"/>
            <w:right w:w="15" w:type="dxa"/>
          </w:tblCellMar>
        </w:tblPrEx>
        <w:trPr>
          <w:trHeight w:val="742" w:hRule="atLeast"/>
          <w:jc w:val="center"/>
        </w:trPr>
        <w:tc>
          <w:tcPr>
            <w:tcW w:w="551" w:type="dxa"/>
            <w:tcBorders>
              <w:left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标</w:t>
            </w:r>
          </w:p>
        </w:tc>
        <w:tc>
          <w:tcPr>
            <w:tcW w:w="863" w:type="dxa"/>
            <w:tcBorders>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Style w:val="22"/>
                <w:rFonts w:hint="default"/>
                <w:lang w:bidi="ar"/>
              </w:rPr>
              <w:t>（</w:t>
            </w:r>
            <w:r>
              <w:rPr>
                <w:rStyle w:val="22"/>
                <w:rFonts w:hint="eastAsia" w:eastAsia="宋体"/>
                <w:lang w:val="en-US" w:eastAsia="zh-CN" w:bidi="ar"/>
              </w:rPr>
              <w:t>4</w:t>
            </w:r>
            <w:r>
              <w:rPr>
                <w:rStyle w:val="22"/>
                <w:rFonts w:hint="default"/>
                <w:lang w:bidi="ar"/>
              </w:rPr>
              <w:t>0分）</w:t>
            </w: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tcBorders>
              <w:bottom w:val="single" w:color="000000" w:sz="12" w:space="0"/>
              <w:right w:val="single" w:color="000000" w:sz="12" w:space="0"/>
            </w:tcBorders>
            <w:noWrap w:val="0"/>
            <w:vAlign w:val="center"/>
          </w:tcPr>
          <w:p>
            <w:pPr>
              <w:widowControl/>
              <w:tabs>
                <w:tab w:val="left" w:pos="333"/>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指标2：会议天数</w:t>
            </w: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w:t>
            </w:r>
            <w:r>
              <w:rPr>
                <w:rFonts w:hint="eastAsia" w:ascii="宋体" w:hAnsi="宋体" w:cs="宋体"/>
                <w:color w:val="000000"/>
                <w:kern w:val="0"/>
                <w:sz w:val="18"/>
                <w:szCs w:val="18"/>
                <w:lang w:val="en-US" w:eastAsia="zh-CN" w:bidi="ar"/>
              </w:rPr>
              <w:t>5</w:t>
            </w:r>
            <w:r>
              <w:rPr>
                <w:rFonts w:hint="eastAsia" w:ascii="宋体" w:hAnsi="宋体" w:cs="宋体"/>
                <w:color w:val="000000"/>
                <w:kern w:val="0"/>
                <w:sz w:val="18"/>
                <w:szCs w:val="18"/>
                <w:lang w:bidi="ar"/>
              </w:rPr>
              <w:t>天</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4</w:t>
            </w:r>
            <w:r>
              <w:rPr>
                <w:rFonts w:hint="eastAsia" w:ascii="宋体" w:hAnsi="宋体" w:cs="宋体"/>
                <w:color w:val="000000"/>
                <w:kern w:val="0"/>
                <w:sz w:val="18"/>
                <w:szCs w:val="18"/>
                <w:lang w:bidi="ar"/>
              </w:rPr>
              <w:t>天</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4</w:t>
            </w:r>
          </w:p>
        </w:tc>
        <w:tc>
          <w:tcPr>
            <w:tcW w:w="1143" w:type="dxa"/>
            <w:tcBorders>
              <w:bottom w:val="single" w:color="000000" w:sz="12" w:space="0"/>
              <w:right w:val="single" w:color="000000" w:sz="12" w:space="0"/>
            </w:tcBorders>
            <w:noWrap w:val="0"/>
            <w:vAlign w:val="center"/>
          </w:tcPr>
          <w:p>
            <w:pPr>
              <w:ind w:left="0" w:leftChars="0" w:firstLine="0" w:firstLineChars="0"/>
              <w:jc w:val="both"/>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没有选举工作4天</w:t>
            </w: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63" w:type="dxa"/>
            <w:tcBorders>
              <w:right w:val="single" w:color="000000" w:sz="12" w:space="0"/>
            </w:tcBorders>
            <w:noWrap w:val="0"/>
            <w:vAlign w:val="center"/>
          </w:tcPr>
          <w:p>
            <w:pPr>
              <w:ind w:firstLine="360"/>
              <w:jc w:val="center"/>
              <w:rPr>
                <w:rFonts w:hint="eastAsia" w:ascii="宋体" w:hAnsi="宋体" w:cs="宋体"/>
                <w:color w:val="000000"/>
                <w:sz w:val="18"/>
                <w:szCs w:val="18"/>
              </w:rPr>
            </w:pP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tcBorders>
              <w:bottom w:val="single" w:color="000000" w:sz="12" w:space="0"/>
              <w:right w:val="single" w:color="000000" w:sz="12" w:space="0"/>
            </w:tcBorders>
            <w:noWrap w:val="0"/>
            <w:vAlign w:val="center"/>
          </w:tcPr>
          <w:p>
            <w:pPr>
              <w:widowControl/>
              <w:tabs>
                <w:tab w:val="left" w:pos="314"/>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指标3：会议场次</w:t>
            </w: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&gt;=1场次</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1场次</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63" w:type="dxa"/>
            <w:tcBorders>
              <w:right w:val="single" w:color="000000" w:sz="12" w:space="0"/>
            </w:tcBorders>
            <w:noWrap w:val="0"/>
            <w:vAlign w:val="center"/>
          </w:tcPr>
          <w:p>
            <w:pPr>
              <w:ind w:firstLine="360"/>
              <w:jc w:val="center"/>
              <w:rPr>
                <w:rFonts w:hint="eastAsia" w:ascii="宋体" w:hAnsi="宋体" w:cs="宋体"/>
                <w:color w:val="000000"/>
                <w:sz w:val="18"/>
                <w:szCs w:val="18"/>
              </w:rPr>
            </w:pP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tcBorders>
              <w:bottom w:val="single" w:color="000000" w:sz="12" w:space="0"/>
              <w:right w:val="single" w:color="000000" w:sz="12" w:space="0"/>
            </w:tcBorders>
            <w:noWrap w:val="0"/>
            <w:vAlign w:val="center"/>
          </w:tcPr>
          <w:p>
            <w:pPr>
              <w:widowControl/>
              <w:tabs>
                <w:tab w:val="left" w:pos="314"/>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指标4：参会人数</w:t>
            </w: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&gt;=600人</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507</w:t>
            </w:r>
            <w:r>
              <w:rPr>
                <w:rFonts w:hint="eastAsia" w:ascii="宋体" w:hAnsi="宋体" w:cs="宋体"/>
                <w:color w:val="000000"/>
                <w:kern w:val="0"/>
                <w:sz w:val="18"/>
                <w:szCs w:val="18"/>
                <w:lang w:bidi="ar"/>
              </w:rPr>
              <w:t>人</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4</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9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质量指标</w:t>
            </w: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指标1：会议覆盖度</w:t>
            </w: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tcBorders>
              <w:bottom w:val="single" w:color="000000" w:sz="12" w:space="0"/>
              <w:right w:val="single" w:color="000000" w:sz="12" w:space="0"/>
            </w:tcBorders>
            <w:noWrap w:val="0"/>
            <w:vAlign w:val="center"/>
          </w:tcPr>
          <w:p>
            <w:pPr>
              <w:widowControl/>
              <w:tabs>
                <w:tab w:val="left" w:pos="278"/>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指标2：会议参与度</w:t>
            </w:r>
          </w:p>
        </w:tc>
        <w:tc>
          <w:tcPr>
            <w:tcW w:w="1432"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130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505"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时效指标</w:t>
            </w:r>
          </w:p>
        </w:tc>
        <w:tc>
          <w:tcPr>
            <w:tcW w:w="1929" w:type="dxa"/>
            <w:tcBorders>
              <w:bottom w:val="single" w:color="000000" w:sz="12" w:space="0"/>
              <w:right w:val="single" w:color="000000" w:sz="12" w:space="0"/>
            </w:tcBorders>
            <w:noWrap w:val="0"/>
            <w:vAlign w:val="center"/>
          </w:tcPr>
          <w:p>
            <w:pPr>
              <w:widowControl/>
              <w:tabs>
                <w:tab w:val="left" w:pos="314"/>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指标1：会议完成时间</w:t>
            </w:r>
          </w:p>
        </w:tc>
        <w:tc>
          <w:tcPr>
            <w:tcW w:w="1432"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&lt;=当年12月完成</w:t>
            </w:r>
          </w:p>
        </w:tc>
        <w:tc>
          <w:tcPr>
            <w:tcW w:w="1304" w:type="dxa"/>
            <w:tcBorders>
              <w:bottom w:val="single" w:color="000000" w:sz="12"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实际1月完成</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10</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10</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bottom w:val="single" w:color="auto" w:sz="4" w:space="0"/>
              <w:right w:val="single" w:color="000000" w:sz="12" w:space="0"/>
            </w:tcBorders>
            <w:noWrap w:val="0"/>
            <w:vAlign w:val="center"/>
          </w:tcPr>
          <w:p>
            <w:pPr>
              <w:ind w:firstLine="440"/>
              <w:rPr>
                <w:rFonts w:hint="eastAsia" w:ascii="宋体" w:hAnsi="宋体" w:cs="宋体"/>
                <w:color w:val="000000"/>
                <w:sz w:val="22"/>
              </w:rPr>
            </w:pP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tcBorders>
              <w:bottom w:val="single" w:color="000000" w:sz="12" w:space="0"/>
              <w:right w:val="single" w:color="000000" w:sz="12" w:space="0"/>
            </w:tcBorders>
            <w:noWrap w:val="0"/>
            <w:vAlign w:val="center"/>
          </w:tcPr>
          <w:p>
            <w:pPr>
              <w:widowControl/>
              <w:tabs>
                <w:tab w:val="left" w:pos="351"/>
              </w:tabs>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指标2：</w:t>
            </w:r>
          </w:p>
        </w:tc>
        <w:tc>
          <w:tcPr>
            <w:tcW w:w="1432"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top w:val="single" w:color="auto" w:sz="4" w:space="0"/>
              <w:right w:val="single" w:color="000000" w:sz="12" w:space="0"/>
            </w:tcBorders>
            <w:noWrap w:val="0"/>
            <w:vAlign w:val="center"/>
          </w:tcPr>
          <w:p>
            <w:pPr>
              <w:ind w:firstLine="440"/>
              <w:rPr>
                <w:rFonts w:hint="eastAsia" w:ascii="宋体" w:hAnsi="宋体" w:eastAsia="宋体" w:cs="宋体"/>
                <w:color w:val="000000"/>
                <w:sz w:val="22"/>
                <w:lang w:eastAsia="zh-CN"/>
              </w:rPr>
            </w:pPr>
            <w:r>
              <w:rPr>
                <w:rFonts w:hint="eastAsia" w:ascii="宋体" w:hAnsi="宋体" w:cs="宋体"/>
                <w:color w:val="000000"/>
                <w:kern w:val="0"/>
                <w:sz w:val="18"/>
                <w:szCs w:val="18"/>
                <w:lang w:bidi="ar"/>
              </w:rPr>
              <w:t>成本指标</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10分</w:t>
            </w:r>
            <w:r>
              <w:rPr>
                <w:rFonts w:hint="eastAsia" w:ascii="宋体" w:hAnsi="宋体" w:cs="宋体"/>
                <w:color w:val="000000"/>
                <w:kern w:val="0"/>
                <w:sz w:val="18"/>
                <w:szCs w:val="18"/>
                <w:lang w:eastAsia="zh-CN" w:bidi="ar"/>
              </w:rPr>
              <w:t>）</w:t>
            </w: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经济</w:t>
            </w:r>
            <w:r>
              <w:rPr>
                <w:rFonts w:hint="eastAsia" w:ascii="宋体" w:hAnsi="宋体" w:cs="宋体"/>
                <w:color w:val="000000"/>
                <w:kern w:val="0"/>
                <w:sz w:val="18"/>
                <w:szCs w:val="18"/>
                <w:lang w:bidi="ar"/>
              </w:rPr>
              <w:t>成本指标</w:t>
            </w: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bidi="ar"/>
              </w:rPr>
              <w:t>指标1：</w:t>
            </w:r>
            <w:r>
              <w:rPr>
                <w:rFonts w:hint="eastAsia" w:ascii="宋体" w:hAnsi="宋体" w:cs="宋体"/>
                <w:color w:val="000000"/>
                <w:kern w:val="0"/>
                <w:sz w:val="18"/>
                <w:szCs w:val="18"/>
                <w:lang w:val="en-US" w:eastAsia="zh-CN" w:bidi="ar"/>
              </w:rPr>
              <w:t>项目预算控制数</w:t>
            </w:r>
          </w:p>
        </w:tc>
        <w:tc>
          <w:tcPr>
            <w:tcW w:w="1432" w:type="dxa"/>
            <w:tcBorders>
              <w:bottom w:val="single" w:color="000000" w:sz="12" w:space="0"/>
              <w:right w:val="single" w:color="000000" w:sz="12" w:space="0"/>
            </w:tcBorders>
            <w:noWrap w:val="0"/>
            <w:vAlign w:val="center"/>
          </w:tcPr>
          <w:p>
            <w:pPr>
              <w:widowControl/>
              <w:ind w:firstLine="0" w:firstLineChars="0"/>
              <w:jc w:val="both"/>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&lt;=1785479</w:t>
            </w:r>
          </w:p>
        </w:tc>
        <w:tc>
          <w:tcPr>
            <w:tcW w:w="1304" w:type="dxa"/>
            <w:tcBorders>
              <w:bottom w:val="single" w:color="000000" w:sz="12" w:space="0"/>
              <w:right w:val="single" w:color="000000" w:sz="12" w:space="0"/>
            </w:tcBorders>
            <w:noWrap w:val="0"/>
            <w:vAlign w:val="center"/>
          </w:tcPr>
          <w:p>
            <w:pPr>
              <w:widowControl/>
              <w:ind w:firstLine="360" w:firstLineChars="200"/>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1785479元</w:t>
            </w: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w:t>
            </w: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10</w:t>
            </w: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社会</w:t>
            </w:r>
            <w:r>
              <w:rPr>
                <w:rFonts w:hint="eastAsia" w:ascii="宋体" w:hAnsi="宋体" w:cs="宋体"/>
                <w:color w:val="000000"/>
                <w:kern w:val="0"/>
                <w:sz w:val="18"/>
                <w:szCs w:val="18"/>
                <w:lang w:bidi="ar"/>
              </w:rPr>
              <w:t>成本指标</w:t>
            </w: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w:t>
            </w:r>
          </w:p>
        </w:tc>
        <w:tc>
          <w:tcPr>
            <w:tcW w:w="1432"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p>
        </w:tc>
        <w:tc>
          <w:tcPr>
            <w:tcW w:w="1304" w:type="dxa"/>
            <w:tcBorders>
              <w:bottom w:val="single" w:color="000000" w:sz="12"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r>
              <w:rPr>
                <w:sz w:val="22"/>
              </w:rPr>
              <mc:AlternateContent>
                <mc:Choice Requires="wps">
                  <w:drawing>
                    <wp:anchor distT="0" distB="0" distL="114300" distR="114300" simplePos="0" relativeHeight="251660288" behindDoc="0" locked="0" layoutInCell="1" allowOverlap="1">
                      <wp:simplePos x="0" y="0"/>
                      <wp:positionH relativeFrom="column">
                        <wp:posOffset>304800</wp:posOffset>
                      </wp:positionH>
                      <wp:positionV relativeFrom="paragraph">
                        <wp:posOffset>528955</wp:posOffset>
                      </wp:positionV>
                      <wp:extent cx="618490" cy="635"/>
                      <wp:effectExtent l="0" t="0" r="0" b="0"/>
                      <wp:wrapNone/>
                      <wp:docPr id="6" name="直接连接符 6"/>
                      <wp:cNvGraphicFramePr/>
                      <a:graphic xmlns:a="http://schemas.openxmlformats.org/drawingml/2006/main">
                        <a:graphicData uri="http://schemas.microsoft.com/office/word/2010/wordprocessingShape">
                          <wps:wsp>
                            <wps:cNvCnPr/>
                            <wps:spPr>
                              <a:xfrm flipH="1" flipV="1">
                                <a:off x="0" y="0"/>
                                <a:ext cx="618490" cy="635"/>
                              </a:xfrm>
                              <a:prstGeom prst="line">
                                <a:avLst/>
                              </a:prstGeom>
                              <a:ln>
                                <a:noFill/>
                              </a:ln>
                            </wps:spPr>
                            <wps:bodyPr upright="1"/>
                          </wps:wsp>
                        </a:graphicData>
                      </a:graphic>
                    </wp:anchor>
                  </w:drawing>
                </mc:Choice>
                <mc:Fallback>
                  <w:pict>
                    <v:line id="_x0000_s1026" o:spid="_x0000_s1026" o:spt="20" style="position:absolute;left:0pt;flip:x y;margin-left:24pt;margin-top:41.65pt;height:0.05pt;width:48.7pt;z-index:251660288;mso-width-relative:page;mso-height-relative:page;" filled="f" stroked="f" coordsize="21600,21600" o:gfxdata="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&#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BhupBvWAAAACAEAAA8AAAAAAAAAAQAgAAAAIgAAAGRy&#10;cy9kb3ducmV2LnhtbFBLAQIUABQAAAAIAIdO4kCUWUcslQEAAPYCAAAOAAAAAAAAAAEAIAAAACUB&#10;AABkcnMvZTJvRG9jLnhtbFBLBQYAAAAABgAGAFkBAAAsBQAAAAA=&#10;">
                      <v:fill on="f" focussize="0,0"/>
                      <v:stroke on="f"/>
                      <v:imagedata o:title=""/>
                      <o:lock v:ext="edit" aspectratio="f"/>
                    </v:line>
                  </w:pict>
                </mc:Fallback>
              </mc:AlternateContent>
            </w:r>
          </w:p>
        </w:tc>
        <w:tc>
          <w:tcPr>
            <w:tcW w:w="863" w:type="dxa"/>
            <w:tcBorders>
              <w:bottom w:val="single" w:color="auto" w:sz="4" w:space="0"/>
              <w:right w:val="single" w:color="000000" w:sz="12" w:space="0"/>
            </w:tcBorders>
            <w:noWrap w:val="0"/>
            <w:vAlign w:val="center"/>
          </w:tcPr>
          <w:p>
            <w:pPr>
              <w:ind w:firstLine="440"/>
              <w:rPr>
                <w:rFonts w:hint="eastAsia" w:ascii="宋体" w:hAnsi="宋体" w:cs="宋体"/>
                <w:color w:val="000000"/>
                <w:sz w:val="22"/>
              </w:rPr>
            </w:pP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val="en-US" w:eastAsia="zh-CN" w:bidi="ar"/>
              </w:rPr>
              <w:t>生态环境</w:t>
            </w:r>
            <w:r>
              <w:rPr>
                <w:rFonts w:hint="eastAsia" w:ascii="宋体" w:hAnsi="宋体" w:cs="宋体"/>
                <w:color w:val="000000"/>
                <w:kern w:val="0"/>
                <w:sz w:val="18"/>
                <w:szCs w:val="18"/>
                <w:lang w:bidi="ar"/>
              </w:rPr>
              <w:t>成本指标</w:t>
            </w: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w:t>
            </w:r>
          </w:p>
        </w:tc>
        <w:tc>
          <w:tcPr>
            <w:tcW w:w="1432"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p>
        </w:tc>
        <w:tc>
          <w:tcPr>
            <w:tcW w:w="1304" w:type="dxa"/>
            <w:tcBorders>
              <w:bottom w:val="single" w:color="000000" w:sz="12"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p>
        </w:tc>
        <w:tc>
          <w:tcPr>
            <w:tcW w:w="734"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p>
        </w:tc>
        <w:tc>
          <w:tcPr>
            <w:tcW w:w="807" w:type="dxa"/>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top w:val="single" w:color="auto" w:sz="4" w:space="0"/>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效益指标</w:t>
            </w:r>
          </w:p>
        </w:tc>
        <w:tc>
          <w:tcPr>
            <w:tcW w:w="917" w:type="dxa"/>
            <w:tcBorders>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经济效益</w:t>
            </w:r>
          </w:p>
        </w:tc>
        <w:tc>
          <w:tcPr>
            <w:tcW w:w="1929" w:type="dxa"/>
            <w:vMerge w:val="restart"/>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w:t>
            </w:r>
          </w:p>
        </w:tc>
        <w:tc>
          <w:tcPr>
            <w:tcW w:w="1432"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Style w:val="22"/>
                <w:rFonts w:hint="default"/>
                <w:lang w:bidi="ar"/>
              </w:rPr>
              <w:t>（30分）</w:t>
            </w: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w:t>
            </w:r>
          </w:p>
        </w:tc>
        <w:tc>
          <w:tcPr>
            <w:tcW w:w="1929" w:type="dxa"/>
            <w:vMerge w:val="continue"/>
            <w:tcBorders>
              <w:bottom w:val="single" w:color="000000" w:sz="12" w:space="0"/>
              <w:right w:val="single" w:color="000000" w:sz="12" w:space="0"/>
            </w:tcBorders>
            <w:noWrap w:val="0"/>
            <w:vAlign w:val="center"/>
          </w:tcPr>
          <w:p>
            <w:pPr>
              <w:ind w:firstLine="360"/>
              <w:jc w:val="left"/>
              <w:rPr>
                <w:rFonts w:hint="eastAsia" w:ascii="宋体" w:hAnsi="宋体" w:cs="宋体"/>
                <w:color w:val="000000"/>
                <w:sz w:val="18"/>
                <w:szCs w:val="18"/>
              </w:rPr>
            </w:pPr>
          </w:p>
        </w:tc>
        <w:tc>
          <w:tcPr>
            <w:tcW w:w="1432"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社会效益</w:t>
            </w:r>
          </w:p>
        </w:tc>
        <w:tc>
          <w:tcPr>
            <w:tcW w:w="1929" w:type="dxa"/>
            <w:vMerge w:val="restart"/>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指标1：人代会通过各项决议及财政预算，保证本地区经济社会稳定发展</w:t>
            </w:r>
          </w:p>
        </w:tc>
        <w:tc>
          <w:tcPr>
            <w:tcW w:w="1432"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w:t>
            </w:r>
          </w:p>
        </w:tc>
        <w:tc>
          <w:tcPr>
            <w:tcW w:w="1304"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优</w:t>
            </w:r>
          </w:p>
        </w:tc>
        <w:tc>
          <w:tcPr>
            <w:tcW w:w="734"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30</w:t>
            </w:r>
          </w:p>
        </w:tc>
        <w:tc>
          <w:tcPr>
            <w:tcW w:w="807"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30</w:t>
            </w:r>
          </w:p>
        </w:tc>
        <w:tc>
          <w:tcPr>
            <w:tcW w:w="1143"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801"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w:t>
            </w:r>
          </w:p>
        </w:tc>
        <w:tc>
          <w:tcPr>
            <w:tcW w:w="1929" w:type="dxa"/>
            <w:vMerge w:val="continue"/>
            <w:tcBorders>
              <w:bottom w:val="single" w:color="000000" w:sz="12" w:space="0"/>
              <w:right w:val="single" w:color="000000" w:sz="12" w:space="0"/>
            </w:tcBorders>
            <w:noWrap w:val="0"/>
            <w:vAlign w:val="center"/>
          </w:tcPr>
          <w:p>
            <w:pPr>
              <w:ind w:firstLine="360"/>
              <w:jc w:val="left"/>
              <w:rPr>
                <w:rFonts w:hint="eastAsia" w:ascii="宋体" w:hAnsi="宋体" w:cs="宋体"/>
                <w:color w:val="000000"/>
                <w:sz w:val="18"/>
                <w:szCs w:val="18"/>
              </w:rPr>
            </w:pPr>
          </w:p>
        </w:tc>
        <w:tc>
          <w:tcPr>
            <w:tcW w:w="1432"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69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bottom w:val="single" w:color="000000" w:sz="12" w:space="0"/>
              <w:right w:val="single" w:color="000000" w:sz="12" w:space="0"/>
            </w:tcBorders>
            <w:noWrap w:val="0"/>
            <w:vAlign w:val="center"/>
          </w:tcPr>
          <w:p>
            <w:pPr>
              <w:ind w:firstLine="440"/>
              <w:jc w:val="center"/>
              <w:rPr>
                <w:rFonts w:hint="eastAsia" w:ascii="宋体" w:hAnsi="宋体" w:cs="宋体"/>
                <w:color w:val="000000"/>
                <w:sz w:val="22"/>
              </w:rPr>
            </w:pP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指标2：</w:t>
            </w:r>
          </w:p>
        </w:tc>
        <w:tc>
          <w:tcPr>
            <w:tcW w:w="1432"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生态效益</w:t>
            </w:r>
          </w:p>
        </w:tc>
        <w:tc>
          <w:tcPr>
            <w:tcW w:w="1929" w:type="dxa"/>
            <w:vMerge w:val="restart"/>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w:t>
            </w:r>
          </w:p>
        </w:tc>
        <w:tc>
          <w:tcPr>
            <w:tcW w:w="1432"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ind w:firstLine="440"/>
              <w:rPr>
                <w:rFonts w:hint="eastAsia" w:ascii="宋体" w:hAnsi="宋体" w:cs="宋体"/>
                <w:color w:val="000000"/>
                <w:sz w:val="22"/>
              </w:rPr>
            </w:pP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w:t>
            </w:r>
          </w:p>
        </w:tc>
        <w:tc>
          <w:tcPr>
            <w:tcW w:w="1929" w:type="dxa"/>
            <w:vMerge w:val="continue"/>
            <w:tcBorders>
              <w:bottom w:val="single" w:color="000000" w:sz="12" w:space="0"/>
              <w:right w:val="single" w:color="000000" w:sz="12" w:space="0"/>
            </w:tcBorders>
            <w:noWrap w:val="0"/>
            <w:vAlign w:val="center"/>
          </w:tcPr>
          <w:p>
            <w:pPr>
              <w:ind w:firstLine="360"/>
              <w:jc w:val="left"/>
              <w:rPr>
                <w:rFonts w:hint="eastAsia" w:ascii="宋体" w:hAnsi="宋体" w:cs="宋体"/>
                <w:color w:val="000000"/>
                <w:sz w:val="18"/>
                <w:szCs w:val="18"/>
              </w:rPr>
            </w:pPr>
          </w:p>
        </w:tc>
        <w:tc>
          <w:tcPr>
            <w:tcW w:w="1432"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854"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bottom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917" w:type="dxa"/>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可持续影响指标</w:t>
            </w:r>
          </w:p>
        </w:tc>
        <w:tc>
          <w:tcPr>
            <w:tcW w:w="1929" w:type="dxa"/>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w:t>
            </w:r>
          </w:p>
        </w:tc>
        <w:tc>
          <w:tcPr>
            <w:tcW w:w="1432"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482"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widowControl/>
              <w:ind w:firstLine="0" w:firstLineChars="0"/>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满意度</w:t>
            </w:r>
          </w:p>
        </w:tc>
        <w:tc>
          <w:tcPr>
            <w:tcW w:w="917"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服务对象满意度指标</w:t>
            </w:r>
          </w:p>
        </w:tc>
        <w:tc>
          <w:tcPr>
            <w:tcW w:w="1929" w:type="dxa"/>
            <w:vMerge w:val="restart"/>
            <w:tcBorders>
              <w:bottom w:val="single" w:color="000000" w:sz="12" w:space="0"/>
              <w:right w:val="single" w:color="000000" w:sz="12" w:space="0"/>
            </w:tcBorders>
            <w:noWrap w:val="0"/>
            <w:vAlign w:val="center"/>
          </w:tcPr>
          <w:p>
            <w:pPr>
              <w:widowControl/>
              <w:ind w:firstLine="0" w:firstLineChars="0"/>
              <w:jc w:val="lef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指标1：人大代表满意度</w:t>
            </w:r>
          </w:p>
        </w:tc>
        <w:tc>
          <w:tcPr>
            <w:tcW w:w="1432" w:type="dxa"/>
            <w:vMerge w:val="restart"/>
            <w:tcBorders>
              <w:bottom w:val="single" w:color="000000" w:sz="12" w:space="0"/>
              <w:right w:val="single" w:color="000000" w:sz="12" w:space="0"/>
            </w:tcBorders>
            <w:noWrap w:val="0"/>
            <w:vAlign w:val="center"/>
          </w:tcPr>
          <w:p>
            <w:pPr>
              <w:widowControl/>
              <w:ind w:firstLine="0" w:firstLineChars="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&gt;=90%</w:t>
            </w:r>
          </w:p>
        </w:tc>
        <w:tc>
          <w:tcPr>
            <w:tcW w:w="1304"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100%</w:t>
            </w:r>
          </w:p>
        </w:tc>
        <w:tc>
          <w:tcPr>
            <w:tcW w:w="734"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807" w:type="dxa"/>
            <w:vMerge w:val="restart"/>
            <w:tcBorders>
              <w:bottom w:val="single" w:color="000000" w:sz="12" w:space="0"/>
              <w:right w:val="single" w:color="000000" w:sz="12" w:space="0"/>
            </w:tcBorders>
            <w:noWrap w:val="0"/>
            <w:vAlign w:val="center"/>
          </w:tcPr>
          <w:p>
            <w:pPr>
              <w:widowControl/>
              <w:ind w:firstLine="360"/>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1143" w:type="dxa"/>
            <w:vMerge w:val="restart"/>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r>
        <w:tblPrEx>
          <w:tblLayout w:type="fixed"/>
          <w:tblCellMar>
            <w:top w:w="15" w:type="dxa"/>
            <w:left w:w="15" w:type="dxa"/>
            <w:bottom w:w="15" w:type="dxa"/>
            <w:right w:w="15" w:type="dxa"/>
          </w:tblCellMar>
        </w:tblPrEx>
        <w:trPr>
          <w:trHeight w:val="1496" w:hRule="atLeast"/>
          <w:jc w:val="center"/>
        </w:trPr>
        <w:tc>
          <w:tcPr>
            <w:tcW w:w="551" w:type="dxa"/>
            <w:tcBorders>
              <w:left w:val="single" w:color="000000" w:sz="12" w:space="0"/>
              <w:right w:val="single" w:color="000000" w:sz="12" w:space="0"/>
            </w:tcBorders>
            <w:noWrap w:val="0"/>
            <w:vAlign w:val="center"/>
          </w:tcPr>
          <w:p>
            <w:pPr>
              <w:ind w:firstLine="440"/>
              <w:rPr>
                <w:rFonts w:hint="eastAsia" w:ascii="宋体" w:hAnsi="宋体" w:cs="宋体"/>
                <w:color w:val="000000"/>
                <w:sz w:val="22"/>
              </w:rPr>
            </w:pPr>
          </w:p>
        </w:tc>
        <w:tc>
          <w:tcPr>
            <w:tcW w:w="863" w:type="dxa"/>
            <w:tcBorders>
              <w:right w:val="single" w:color="000000" w:sz="12" w:space="0"/>
            </w:tcBorders>
            <w:noWrap w:val="0"/>
            <w:vAlign w:val="center"/>
          </w:tcPr>
          <w:p>
            <w:pPr>
              <w:widowControl/>
              <w:ind w:firstLine="0" w:firstLineChars="0"/>
              <w:textAlignment w:val="center"/>
              <w:rPr>
                <w:rFonts w:hint="eastAsia"/>
                <w:color w:val="000000"/>
                <w:sz w:val="18"/>
                <w:szCs w:val="18"/>
              </w:rPr>
            </w:pPr>
            <w:r>
              <w:rPr>
                <w:rFonts w:hint="eastAsia"/>
                <w:color w:val="000000"/>
                <w:sz w:val="18"/>
                <w:szCs w:val="18"/>
              </w:rPr>
              <w:t>指标</w:t>
            </w:r>
          </w:p>
          <w:p>
            <w:pPr>
              <w:pStyle w:val="2"/>
              <w:ind w:firstLine="0" w:firstLineChars="0"/>
              <w:rPr>
                <w:rFonts w:hint="eastAsia"/>
                <w:b w:val="0"/>
                <w:bCs w:val="0"/>
                <w:color w:val="000000"/>
                <w:sz w:val="18"/>
                <w:szCs w:val="18"/>
              </w:rPr>
            </w:pPr>
            <w:r>
              <w:rPr>
                <w:rFonts w:hint="eastAsia" w:ascii="宋体" w:hAnsi="宋体" w:eastAsia="宋体" w:cs="宋体"/>
                <w:b w:val="0"/>
                <w:bCs w:val="0"/>
                <w:color w:val="000000"/>
                <w:kern w:val="0"/>
                <w:sz w:val="18"/>
                <w:szCs w:val="18"/>
                <w:lang w:bidi="ar"/>
              </w:rPr>
              <w:t>（10分）</w:t>
            </w:r>
          </w:p>
        </w:tc>
        <w:tc>
          <w:tcPr>
            <w:tcW w:w="91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929" w:type="dxa"/>
            <w:vMerge w:val="continue"/>
            <w:tcBorders>
              <w:bottom w:val="single" w:color="000000" w:sz="12" w:space="0"/>
              <w:right w:val="single" w:color="000000" w:sz="12" w:space="0"/>
            </w:tcBorders>
            <w:noWrap w:val="0"/>
            <w:vAlign w:val="center"/>
          </w:tcPr>
          <w:p>
            <w:pPr>
              <w:ind w:firstLine="360"/>
              <w:jc w:val="left"/>
              <w:rPr>
                <w:rFonts w:hint="eastAsia" w:ascii="宋体" w:hAnsi="宋体" w:cs="宋体"/>
                <w:color w:val="000000"/>
                <w:sz w:val="18"/>
                <w:szCs w:val="18"/>
              </w:rPr>
            </w:pPr>
          </w:p>
        </w:tc>
        <w:tc>
          <w:tcPr>
            <w:tcW w:w="1432"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30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734"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807"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c>
          <w:tcPr>
            <w:tcW w:w="1143" w:type="dxa"/>
            <w:vMerge w:val="continue"/>
            <w:tcBorders>
              <w:bottom w:val="single" w:color="000000" w:sz="12" w:space="0"/>
              <w:right w:val="single" w:color="000000" w:sz="12" w:space="0"/>
            </w:tcBorders>
            <w:noWrap w:val="0"/>
            <w:vAlign w:val="center"/>
          </w:tcPr>
          <w:p>
            <w:pPr>
              <w:ind w:firstLine="360"/>
              <w:jc w:val="center"/>
              <w:rPr>
                <w:rFonts w:hint="eastAsia" w:ascii="宋体" w:hAnsi="宋体" w:cs="宋体"/>
                <w:color w:val="000000"/>
                <w:sz w:val="18"/>
                <w:szCs w:val="18"/>
              </w:rPr>
            </w:pPr>
          </w:p>
        </w:tc>
      </w:tr>
    </w:tbl>
    <w:p>
      <w:pPr>
        <w:pStyle w:val="2"/>
        <w:ind w:left="0" w:leftChars="0" w:firstLine="0" w:firstLineChars="0"/>
      </w:pPr>
      <w:bookmarkStart w:id="2" w:name="_Toc23168"/>
    </w:p>
    <w:p>
      <w:pPr>
        <w:spacing w:line="360" w:lineRule="auto"/>
        <w:ind w:firstLine="640"/>
        <w:outlineLvl w:val="0"/>
        <w:rPr>
          <w:rFonts w:ascii="黑体" w:hAnsi="黑体" w:eastAsia="黑体"/>
          <w:color w:val="000000"/>
          <w:sz w:val="32"/>
          <w:szCs w:val="32"/>
        </w:rPr>
      </w:pPr>
    </w:p>
    <w:p>
      <w:pPr>
        <w:spacing w:line="360" w:lineRule="auto"/>
        <w:ind w:firstLine="640"/>
        <w:outlineLvl w:val="0"/>
        <w:rPr>
          <w:rFonts w:ascii="黑体" w:hAnsi="黑体" w:eastAsia="黑体"/>
          <w:color w:val="000000"/>
          <w:sz w:val="32"/>
          <w:szCs w:val="32"/>
        </w:rPr>
      </w:pPr>
    </w:p>
    <w:p>
      <w:pPr>
        <w:spacing w:line="360" w:lineRule="auto"/>
        <w:ind w:firstLine="640"/>
        <w:outlineLvl w:val="0"/>
        <w:rPr>
          <w:rFonts w:ascii="黑体" w:hAnsi="黑体" w:eastAsia="黑体"/>
          <w:color w:val="000000"/>
          <w:sz w:val="32"/>
          <w:szCs w:val="32"/>
        </w:rPr>
      </w:pPr>
    </w:p>
    <w:p>
      <w:pPr>
        <w:spacing w:line="360" w:lineRule="auto"/>
        <w:ind w:firstLine="640"/>
        <w:outlineLvl w:val="0"/>
        <w:rPr>
          <w:rFonts w:ascii="黑体" w:hAnsi="黑体" w:eastAsia="黑体"/>
          <w:color w:val="000000"/>
          <w:sz w:val="32"/>
          <w:szCs w:val="32"/>
        </w:rPr>
      </w:pPr>
    </w:p>
    <w:p>
      <w:pPr>
        <w:spacing w:line="360" w:lineRule="auto"/>
        <w:ind w:firstLine="640"/>
        <w:outlineLvl w:val="0"/>
        <w:rPr>
          <w:rFonts w:ascii="黑体" w:hAnsi="黑体" w:eastAsia="黑体"/>
          <w:color w:val="000000"/>
          <w:sz w:val="32"/>
          <w:szCs w:val="32"/>
        </w:rPr>
      </w:pPr>
    </w:p>
    <w:p>
      <w:pPr>
        <w:spacing w:line="360" w:lineRule="auto"/>
        <w:ind w:firstLine="640"/>
        <w:outlineLvl w:val="0"/>
        <w:rPr>
          <w:rFonts w:ascii="黑体" w:hAnsi="黑体" w:eastAsia="黑体"/>
          <w:color w:val="000000"/>
          <w:sz w:val="32"/>
          <w:szCs w:val="32"/>
        </w:rPr>
      </w:pPr>
      <w:r>
        <w:rPr>
          <w:rFonts w:ascii="黑体" w:hAnsi="黑体" w:eastAsia="黑体"/>
          <w:color w:val="000000"/>
          <w:sz w:val="32"/>
          <w:szCs w:val="32"/>
        </w:rPr>
        <w:t>二、评价工作简述</w:t>
      </w:r>
      <w:bookmarkEnd w:id="2"/>
    </w:p>
    <w:p>
      <w:pPr>
        <w:spacing w:line="360" w:lineRule="auto"/>
        <w:ind w:firstLine="643"/>
        <w:outlineLvl w:val="0"/>
        <w:rPr>
          <w:rFonts w:ascii="仿宋" w:hAnsi="仿宋" w:eastAsia="仿宋" w:cs="仿宋"/>
          <w:b/>
          <w:color w:val="000000"/>
          <w:kern w:val="0"/>
          <w:sz w:val="32"/>
          <w:szCs w:val="32"/>
        </w:rPr>
      </w:pPr>
      <w:bookmarkStart w:id="3" w:name="_Toc27257"/>
      <w:bookmarkStart w:id="4" w:name="_Toc18118"/>
      <w:r>
        <w:rPr>
          <w:rFonts w:hint="eastAsia" w:ascii="仿宋" w:hAnsi="仿宋" w:eastAsia="仿宋" w:cs="仿宋"/>
          <w:b/>
          <w:color w:val="000000"/>
          <w:kern w:val="0"/>
          <w:sz w:val="32"/>
          <w:szCs w:val="32"/>
        </w:rPr>
        <w:t>（一）绩效评价目的、对象和范围</w:t>
      </w:r>
      <w:bookmarkEnd w:id="3"/>
      <w:bookmarkEnd w:id="4"/>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1.绩效评价目的</w:t>
      </w:r>
    </w:p>
    <w:p>
      <w:pPr>
        <w:spacing w:line="360" w:lineRule="auto"/>
        <w:ind w:firstLine="640"/>
        <w:rPr>
          <w:rFonts w:ascii="仿宋_GB2312" w:eastAsia="仿宋_GB2312"/>
          <w:color w:val="000000"/>
          <w:sz w:val="32"/>
          <w:szCs w:val="32"/>
        </w:rPr>
      </w:pPr>
      <w:r>
        <w:rPr>
          <w:rFonts w:hint="eastAsia" w:ascii="仿宋_GB2312" w:eastAsia="仿宋_GB2312"/>
          <w:color w:val="000000"/>
          <w:sz w:val="32"/>
          <w:szCs w:val="32"/>
        </w:rPr>
        <w:t>通过绩效评价，衡量和考核项目单位该项目使用财政资金的绩效，了解、分析、检验资金使用是否达到预期目标，资金管理是否规范，资金使用是否有效。通过总结经验，分析问题，查找不足，采取切实措施进一步改进和加强财政支出项目管理，提高资金配置效率和财政资金使用效益。</w:t>
      </w:r>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2.绩效评价对象及范围</w:t>
      </w:r>
    </w:p>
    <w:p>
      <w:pPr>
        <w:pStyle w:val="23"/>
        <w:spacing w:line="560" w:lineRule="exact"/>
        <w:ind w:firstLine="640"/>
        <w:rPr>
          <w:rFonts w:ascii="仿宋" w:hAnsi="仿宋" w:eastAsia="仿宋_GB2312" w:cs="仿宋"/>
          <w:color w:val="000000"/>
          <w:kern w:val="0"/>
          <w:sz w:val="32"/>
          <w:szCs w:val="32"/>
        </w:rPr>
      </w:pPr>
      <w:r>
        <w:rPr>
          <w:rFonts w:hint="eastAsia" w:ascii="仿宋" w:hAnsi="仿宋" w:eastAsia="仿宋" w:cs="仿宋"/>
          <w:color w:val="000000"/>
          <w:kern w:val="0"/>
          <w:sz w:val="32"/>
          <w:szCs w:val="32"/>
        </w:rPr>
        <w:t>本次绩效评价对象为</w:t>
      </w:r>
      <w:r>
        <w:rPr>
          <w:rFonts w:hint="eastAsia" w:ascii="仿宋_GB2312" w:hAnsi="仿宋" w:eastAsia="仿宋_GB2312"/>
          <w:color w:val="000000"/>
          <w:sz w:val="32"/>
          <w:szCs w:val="32"/>
        </w:rPr>
        <w:t>项目单位</w:t>
      </w:r>
      <w:r>
        <w:rPr>
          <w:rFonts w:hint="eastAsia" w:ascii="仿宋_GB2312" w:eastAsia="仿宋_GB2312"/>
          <w:color w:val="000000"/>
          <w:sz w:val="32"/>
          <w:szCs w:val="32"/>
        </w:rPr>
        <w:t>“召开</w:t>
      </w:r>
      <w:r>
        <w:rPr>
          <w:rFonts w:hint="eastAsia" w:ascii="仿宋_GB2312" w:eastAsia="仿宋_GB2312"/>
          <w:color w:val="000000"/>
          <w:sz w:val="32"/>
          <w:szCs w:val="32"/>
          <w:lang w:val="en-US" w:eastAsia="zh-CN"/>
        </w:rPr>
        <w:t>区</w:t>
      </w:r>
      <w:r>
        <w:rPr>
          <w:rFonts w:hint="eastAsia" w:ascii="仿宋_GB2312" w:eastAsia="仿宋_GB2312"/>
          <w:color w:val="000000"/>
          <w:sz w:val="32"/>
          <w:szCs w:val="32"/>
        </w:rPr>
        <w:t>人民代表大会及活动经费”项目，重点是从项目决策、过程、产出、效益四个方面评价全部项目资金支出的</w:t>
      </w:r>
      <w:r>
        <w:rPr>
          <w:rFonts w:hint="eastAsia" w:ascii="仿宋_GB2312" w:hAnsi="Times New Roman" w:eastAsia="仿宋_GB2312" w:cs="Times New Roman"/>
          <w:color w:val="000000"/>
          <w:sz w:val="32"/>
          <w:szCs w:val="32"/>
        </w:rPr>
        <w:t>决策情况、资金投入管理和使用情况、相关管理制度办法的健全性及执行情况、实现的产出情况以及取得的效益情况。</w:t>
      </w:r>
    </w:p>
    <w:p>
      <w:pPr>
        <w:spacing w:line="360" w:lineRule="auto"/>
        <w:ind w:firstLine="643"/>
        <w:outlineLvl w:val="0"/>
        <w:rPr>
          <w:rFonts w:ascii="仿宋" w:hAnsi="仿宋" w:eastAsia="仿宋" w:cs="仿宋"/>
          <w:b/>
          <w:color w:val="000000"/>
          <w:kern w:val="0"/>
          <w:sz w:val="32"/>
          <w:szCs w:val="32"/>
        </w:rPr>
      </w:pPr>
      <w:bookmarkStart w:id="5" w:name="_Toc2784"/>
      <w:bookmarkStart w:id="6" w:name="_Toc947"/>
      <w:r>
        <w:rPr>
          <w:rFonts w:hint="eastAsia" w:ascii="仿宋" w:hAnsi="仿宋" w:eastAsia="仿宋" w:cs="仿宋"/>
          <w:b/>
          <w:color w:val="000000"/>
          <w:kern w:val="0"/>
          <w:sz w:val="32"/>
          <w:szCs w:val="32"/>
        </w:rPr>
        <w:t>（二）绩效评价原则、评价指标体系、评价方法、评价标准等</w:t>
      </w:r>
      <w:bookmarkEnd w:id="5"/>
      <w:bookmarkEnd w:id="6"/>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1.绩效评价原则</w:t>
      </w:r>
    </w:p>
    <w:p>
      <w:pPr>
        <w:spacing w:line="360" w:lineRule="auto"/>
        <w:ind w:firstLine="640"/>
        <w:rPr>
          <w:rFonts w:ascii="仿宋_GB2312" w:eastAsia="仿宋_GB2312"/>
          <w:color w:val="000000"/>
          <w:sz w:val="32"/>
          <w:szCs w:val="32"/>
        </w:rPr>
      </w:pPr>
      <w:r>
        <w:rPr>
          <w:rFonts w:hint="eastAsia" w:ascii="仿宋_GB2312" w:eastAsia="仿宋_GB2312" w:cs="仿宋_GB2312"/>
          <w:color w:val="000000"/>
          <w:sz w:val="32"/>
          <w:szCs w:val="32"/>
        </w:rPr>
        <w:t>本次评价工作遵循“客观、公正、科学、规范”的原则，</w:t>
      </w:r>
      <w:r>
        <w:rPr>
          <w:rFonts w:hint="eastAsia" w:ascii="仿宋_GB2312" w:eastAsia="仿宋_GB2312"/>
          <w:color w:val="000000"/>
          <w:sz w:val="32"/>
          <w:szCs w:val="32"/>
        </w:rPr>
        <w:t>运用科学、合理的绩效评价指标、评价标准和评价方法，</w:t>
      </w:r>
      <w:r>
        <w:rPr>
          <w:rFonts w:hint="eastAsia" w:ascii="仿宋_GB2312" w:eastAsia="仿宋_GB2312" w:cs="仿宋_GB2312"/>
          <w:color w:val="000000"/>
          <w:sz w:val="32"/>
          <w:szCs w:val="32"/>
        </w:rPr>
        <w:t>对项目的经济性、效率性、效益性</w:t>
      </w:r>
      <w:r>
        <w:rPr>
          <w:rFonts w:hint="eastAsia" w:ascii="仿宋_GB2312" w:eastAsia="仿宋_GB2312"/>
          <w:color w:val="000000"/>
          <w:sz w:val="32"/>
          <w:szCs w:val="32"/>
        </w:rPr>
        <w:t>和公平性以及预算资金的投入、使用过程、产出和效果进行客观、公正的测量、分析和评判。</w:t>
      </w:r>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2.评价指标体系</w:t>
      </w:r>
    </w:p>
    <w:p>
      <w:pPr>
        <w:spacing w:line="360" w:lineRule="auto"/>
        <w:ind w:firstLine="640"/>
        <w:rPr>
          <w:rFonts w:ascii="仿宋_GB2312" w:eastAsia="仿宋_GB2312"/>
          <w:color w:val="000000"/>
          <w:sz w:val="32"/>
          <w:szCs w:val="32"/>
        </w:rPr>
      </w:pPr>
      <w:r>
        <w:rPr>
          <w:rFonts w:hint="eastAsia" w:ascii="仿宋_GB2312" w:eastAsia="仿宋_GB2312" w:cs="仿宋_GB2312"/>
          <w:color w:val="000000"/>
          <w:sz w:val="32"/>
          <w:szCs w:val="32"/>
        </w:rPr>
        <w:t>根据《大兴区项目支出绩效评价管理办法》</w:t>
      </w:r>
      <w:r>
        <w:rPr>
          <w:rFonts w:hint="eastAsia" w:ascii="仿宋_GB2312" w:eastAsia="仿宋_GB2312"/>
          <w:color w:val="000000"/>
          <w:sz w:val="32"/>
          <w:szCs w:val="32"/>
        </w:rPr>
        <w:t>（京兴财〔2021〕58号）</w:t>
      </w:r>
      <w:r>
        <w:rPr>
          <w:rFonts w:hint="eastAsia" w:ascii="仿宋_GB2312" w:eastAsia="仿宋_GB2312" w:cs="仿宋_GB2312"/>
          <w:color w:val="000000"/>
          <w:sz w:val="32"/>
          <w:szCs w:val="32"/>
        </w:rPr>
        <w:t>，评价工作组结合项目的特点，</w:t>
      </w:r>
      <w:r>
        <w:rPr>
          <w:rFonts w:hint="eastAsia" w:ascii="仿宋_GB2312" w:eastAsia="仿宋_GB2312"/>
          <w:color w:val="000000"/>
          <w:sz w:val="32"/>
          <w:szCs w:val="32"/>
        </w:rPr>
        <w:t>突出结果导向</w:t>
      </w:r>
      <w:r>
        <w:rPr>
          <w:rFonts w:hint="eastAsia" w:ascii="仿宋_GB2312" w:eastAsia="仿宋_GB2312" w:cs="仿宋_GB2312"/>
          <w:color w:val="000000"/>
          <w:sz w:val="32"/>
          <w:szCs w:val="32"/>
        </w:rPr>
        <w:t>，参照“北京市财政支出项目绩效评价指标体系”，在充分考虑项目指标重要程序、项目实施阶段等因素，将原则性和灵活性进行有机结合，制定了该项目指标体系。其中</w:t>
      </w:r>
      <w:r>
        <w:rPr>
          <w:rFonts w:hint="eastAsia" w:ascii="仿宋_GB2312" w:eastAsia="仿宋_GB2312"/>
          <w:color w:val="000000"/>
          <w:sz w:val="32"/>
          <w:szCs w:val="32"/>
        </w:rPr>
        <w:t>执行率权重占10%，产出权重占</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0%，</w:t>
      </w:r>
      <w:r>
        <w:rPr>
          <w:rFonts w:hint="eastAsia" w:ascii="仿宋_GB2312" w:eastAsia="仿宋_GB2312"/>
          <w:color w:val="000000"/>
          <w:sz w:val="32"/>
          <w:szCs w:val="32"/>
          <w:lang w:val="en-US" w:eastAsia="zh-CN"/>
        </w:rPr>
        <w:t>成本权重占10%，</w:t>
      </w:r>
      <w:r>
        <w:rPr>
          <w:rFonts w:hint="eastAsia" w:ascii="仿宋_GB2312" w:eastAsia="仿宋_GB2312"/>
          <w:color w:val="000000"/>
          <w:sz w:val="32"/>
          <w:szCs w:val="32"/>
        </w:rPr>
        <w:t>效益权重占30%，服务对象满意度权重占10%。</w:t>
      </w:r>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3.评价方法</w:t>
      </w:r>
    </w:p>
    <w:p>
      <w:pPr>
        <w:spacing w:line="360" w:lineRule="auto"/>
        <w:ind w:firstLine="640"/>
        <w:rPr>
          <w:rFonts w:ascii="仿宋_GB2312" w:eastAsia="仿宋_GB2312" w:cs="仿宋_GB2312"/>
          <w:color w:val="000000"/>
          <w:sz w:val="32"/>
          <w:szCs w:val="32"/>
        </w:rPr>
      </w:pPr>
      <w:r>
        <w:rPr>
          <w:rFonts w:hint="eastAsia" w:ascii="仿宋_GB2312" w:eastAsia="仿宋_GB2312" w:cs="仿宋_GB2312"/>
          <w:color w:val="000000"/>
          <w:sz w:val="32"/>
          <w:szCs w:val="32"/>
        </w:rPr>
        <w:t>评价工作组结合项目特点，主要采用比较法、因素分析法、专家评议等方法开展具体工作，并对预期目标与实施效果进行定性和定量分析。</w:t>
      </w:r>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4.评价标准</w:t>
      </w:r>
    </w:p>
    <w:p>
      <w:pPr>
        <w:ind w:firstLine="640"/>
        <w:rPr>
          <w:rFonts w:ascii="仿宋_GB2312" w:eastAsia="仿宋_GB2312"/>
          <w:color w:val="000000"/>
          <w:sz w:val="32"/>
          <w:szCs w:val="32"/>
        </w:rPr>
      </w:pPr>
      <w:r>
        <w:rPr>
          <w:rFonts w:hint="eastAsia" w:ascii="仿宋_GB2312" w:eastAsia="仿宋_GB2312"/>
          <w:color w:val="000000"/>
          <w:sz w:val="32"/>
          <w:szCs w:val="32"/>
        </w:rPr>
        <w:t>评价工作组按照</w:t>
      </w:r>
      <w:r>
        <w:rPr>
          <w:rFonts w:hint="eastAsia" w:ascii="仿宋_GB2312" w:hAnsi="仿宋" w:eastAsia="仿宋_GB2312"/>
          <w:color w:val="000000"/>
          <w:sz w:val="32"/>
          <w:szCs w:val="32"/>
        </w:rPr>
        <w:t>项目单位</w:t>
      </w:r>
      <w:r>
        <w:rPr>
          <w:rFonts w:hint="eastAsia" w:ascii="仿宋_GB2312" w:eastAsia="仿宋_GB2312"/>
          <w:color w:val="000000"/>
          <w:sz w:val="32"/>
          <w:szCs w:val="32"/>
        </w:rPr>
        <w:t>预先制定的目标、计划、预算等计划标准作为绩效评价标准，对绩效目标完成情况进行比较和分析。</w:t>
      </w:r>
    </w:p>
    <w:p>
      <w:pPr>
        <w:spacing w:line="360" w:lineRule="auto"/>
        <w:ind w:firstLine="643"/>
        <w:outlineLvl w:val="0"/>
        <w:rPr>
          <w:rFonts w:ascii="仿宋" w:hAnsi="仿宋" w:eastAsia="仿宋" w:cs="仿宋"/>
          <w:b/>
          <w:color w:val="000000"/>
          <w:kern w:val="0"/>
          <w:sz w:val="32"/>
          <w:szCs w:val="32"/>
        </w:rPr>
      </w:pPr>
      <w:bookmarkStart w:id="7" w:name="_Toc32292"/>
      <w:bookmarkStart w:id="8" w:name="_Toc15060"/>
      <w:r>
        <w:rPr>
          <w:rFonts w:hint="eastAsia" w:ascii="仿宋" w:hAnsi="仿宋" w:eastAsia="仿宋" w:cs="仿宋"/>
          <w:b/>
          <w:color w:val="000000"/>
          <w:kern w:val="0"/>
          <w:sz w:val="32"/>
          <w:szCs w:val="32"/>
        </w:rPr>
        <w:t>（三）绩效评价工作过程</w:t>
      </w:r>
      <w:bookmarkEnd w:id="7"/>
      <w:bookmarkEnd w:id="8"/>
    </w:p>
    <w:p>
      <w:pPr>
        <w:ind w:firstLine="640"/>
        <w:rPr>
          <w:rFonts w:ascii="仿宋_GB2312" w:eastAsia="仿宋_GB2312"/>
          <w:b/>
          <w:bCs/>
          <w:color w:val="000000"/>
          <w:sz w:val="32"/>
          <w:szCs w:val="32"/>
        </w:rPr>
      </w:pPr>
      <w:r>
        <w:rPr>
          <w:rFonts w:hint="eastAsia" w:ascii="仿宋_GB2312" w:eastAsia="仿宋_GB2312"/>
          <w:b/>
          <w:bCs/>
          <w:color w:val="000000"/>
          <w:sz w:val="32"/>
          <w:szCs w:val="32"/>
        </w:rPr>
        <w:t>1.前期准备情况</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（1）组建绩效评价工作组。</w:t>
      </w:r>
      <w:r>
        <w:rPr>
          <w:rFonts w:eastAsia="仿宋_GB2312"/>
          <w:color w:val="000000"/>
          <w:sz w:val="32"/>
          <w:szCs w:val="32"/>
        </w:rPr>
        <w:t>根据《大兴区预算绩效管理办法（试行）》</w:t>
      </w:r>
      <w:r>
        <w:rPr>
          <w:rFonts w:hint="eastAsia" w:eastAsia="仿宋_GB2312"/>
          <w:color w:val="000000"/>
          <w:sz w:val="32"/>
          <w:szCs w:val="32"/>
        </w:rPr>
        <w:t>等</w:t>
      </w:r>
      <w:r>
        <w:rPr>
          <w:rFonts w:eastAsia="仿宋_GB2312"/>
          <w:color w:val="000000"/>
          <w:sz w:val="32"/>
          <w:szCs w:val="32"/>
        </w:rPr>
        <w:t>文件规定，</w:t>
      </w:r>
      <w:r>
        <w:rPr>
          <w:rFonts w:hint="eastAsia" w:eastAsia="仿宋_GB2312"/>
          <w:color w:val="000000"/>
          <w:sz w:val="32"/>
          <w:szCs w:val="32"/>
        </w:rPr>
        <w:t>我单位组建</w:t>
      </w:r>
      <w:r>
        <w:rPr>
          <w:rFonts w:eastAsia="仿宋_GB2312"/>
          <w:color w:val="000000"/>
          <w:sz w:val="32"/>
          <w:szCs w:val="32"/>
        </w:rPr>
        <w:t>评价工作组，</w:t>
      </w:r>
      <w:r>
        <w:rPr>
          <w:rFonts w:hint="eastAsia" w:ascii="仿宋_GB2312" w:eastAsia="仿宋_GB2312" w:cs="仿宋_GB2312"/>
          <w:color w:val="000000"/>
          <w:kern w:val="0"/>
          <w:sz w:val="32"/>
          <w:szCs w:val="32"/>
        </w:rPr>
        <w:t>明确每名成员的职责及分工，</w:t>
      </w:r>
      <w:r>
        <w:rPr>
          <w:rFonts w:eastAsia="仿宋_GB2312"/>
          <w:color w:val="000000"/>
          <w:sz w:val="32"/>
          <w:szCs w:val="32"/>
        </w:rPr>
        <w:t>对</w:t>
      </w:r>
      <w:r>
        <w:rPr>
          <w:rFonts w:hint="eastAsia" w:eastAsia="仿宋_GB2312"/>
          <w:color w:val="000000"/>
          <w:sz w:val="32"/>
          <w:szCs w:val="32"/>
        </w:rPr>
        <w:t>该</w:t>
      </w:r>
      <w:r>
        <w:rPr>
          <w:rFonts w:eastAsia="仿宋_GB2312"/>
          <w:color w:val="000000"/>
          <w:sz w:val="32"/>
          <w:szCs w:val="32"/>
        </w:rPr>
        <w:t>项目</w:t>
      </w:r>
      <w:r>
        <w:rPr>
          <w:rFonts w:hint="eastAsia" w:eastAsia="仿宋_GB2312"/>
          <w:color w:val="000000"/>
          <w:sz w:val="32"/>
          <w:szCs w:val="32"/>
        </w:rPr>
        <w:t>开展</w:t>
      </w:r>
      <w:r>
        <w:rPr>
          <w:rFonts w:eastAsia="仿宋_GB2312"/>
          <w:color w:val="000000"/>
          <w:sz w:val="32"/>
          <w:szCs w:val="32"/>
        </w:rPr>
        <w:t>绩效评价</w:t>
      </w:r>
      <w:r>
        <w:rPr>
          <w:rFonts w:hint="eastAsia" w:ascii="仿宋_GB2312" w:eastAsia="仿宋_GB2312" w:cs="仿宋_GB2312"/>
          <w:color w:val="000000"/>
          <w:kern w:val="0"/>
          <w:sz w:val="32"/>
          <w:szCs w:val="32"/>
        </w:rPr>
        <w:t>。</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（2）制定项目绩效评价工作方案。确定评价重点、评价方法、评价指标体系框架和评分方法、评价进度等事项。</w:t>
      </w:r>
    </w:p>
    <w:p>
      <w:pPr>
        <w:ind w:firstLine="640"/>
        <w:rPr>
          <w:rFonts w:hint="eastAsia" w:ascii="仿宋_GB2312" w:eastAsia="仿宋_GB2312"/>
          <w:b/>
          <w:bCs/>
          <w:color w:val="000000"/>
          <w:sz w:val="32"/>
          <w:szCs w:val="32"/>
        </w:rPr>
      </w:pPr>
      <w:r>
        <w:rPr>
          <w:rFonts w:hint="eastAsia" w:ascii="仿宋_GB2312" w:eastAsia="仿宋_GB2312"/>
          <w:b/>
          <w:bCs/>
          <w:color w:val="000000"/>
          <w:sz w:val="32"/>
          <w:szCs w:val="32"/>
        </w:rPr>
        <w:t>2.评价实施阶段</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（1）下达绩效评价通知书。绩效评价工作组向办公室明确了绩效评价工作任务、日程安排、评价原则、程序及具体要求等事项。</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（2）收集、复核资料。评价工作组按照“项目支出绩效评价资料准备清单”，收集与该项目绩效评价相关的决策、过程、产出和效益四方面的资料，复核其完整性、准确性、有效性。</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（3）进行评价结论。依据项目执行情况和绩效评价指标体系，评价工作组对该项目的决策、过程、产出和效益等方面进行评价和打分，讨论形成整体评价结论、意见和建议。</w:t>
      </w:r>
    </w:p>
    <w:p>
      <w:pPr>
        <w:ind w:firstLine="640"/>
        <w:rPr>
          <w:rFonts w:hint="eastAsia" w:ascii="仿宋_GB2312" w:eastAsia="仿宋_GB2312"/>
          <w:b/>
          <w:bCs/>
          <w:color w:val="000000"/>
          <w:sz w:val="32"/>
          <w:szCs w:val="32"/>
        </w:rPr>
      </w:pPr>
      <w:r>
        <w:rPr>
          <w:rFonts w:hint="eastAsia" w:ascii="仿宋_GB2312" w:eastAsia="仿宋_GB2312"/>
          <w:b/>
          <w:bCs/>
          <w:color w:val="000000"/>
          <w:sz w:val="32"/>
          <w:szCs w:val="32"/>
        </w:rPr>
        <w:t>3.评价总结阶段</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（1）撰写绩效评价报告。评价工作组结合评价意见，撰写绩效评价报告。</w:t>
      </w:r>
    </w:p>
    <w:p>
      <w:pPr>
        <w:autoSpaceDN w:val="0"/>
        <w:snapToGrid w:val="0"/>
        <w:spacing w:line="360" w:lineRule="auto"/>
        <w:ind w:firstLine="640"/>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（2）修改和完善绩效评价报告。绩效评价工作组向单位主管领导提交绩效报告初稿，由其对报告进行审核，并与绩效评价工作组沟通初步评价意见，核实相关具体问题。</w:t>
      </w:r>
    </w:p>
    <w:p>
      <w:pPr>
        <w:autoSpaceDN w:val="0"/>
        <w:snapToGrid w:val="0"/>
        <w:spacing w:line="360" w:lineRule="auto"/>
        <w:ind w:firstLine="640"/>
        <w:rPr>
          <w:rFonts w:eastAsia="仿宋_GB2312"/>
          <w:color w:val="000000"/>
          <w:sz w:val="32"/>
          <w:szCs w:val="32"/>
        </w:rPr>
      </w:pPr>
      <w:r>
        <w:rPr>
          <w:rFonts w:hint="eastAsia" w:ascii="仿宋_GB2312" w:eastAsia="仿宋_GB2312" w:cs="仿宋_GB2312"/>
          <w:color w:val="000000"/>
          <w:kern w:val="0"/>
          <w:sz w:val="32"/>
          <w:szCs w:val="32"/>
        </w:rPr>
        <w:t>（3）形成正式绩效评价报告。绩效评价工作组在主管领导反馈意见的基础上，对评价报告进行修改和完善，形成正式绩效评价报告。</w:t>
      </w:r>
    </w:p>
    <w:p>
      <w:pPr>
        <w:spacing w:line="360" w:lineRule="auto"/>
        <w:ind w:firstLine="643"/>
        <w:outlineLvl w:val="0"/>
        <w:rPr>
          <w:rFonts w:ascii="仿宋" w:hAnsi="仿宋" w:eastAsia="仿宋" w:cs="仿宋"/>
          <w:b/>
          <w:color w:val="000000"/>
          <w:kern w:val="0"/>
          <w:sz w:val="32"/>
          <w:szCs w:val="32"/>
        </w:rPr>
      </w:pPr>
      <w:bookmarkStart w:id="9" w:name="_Toc5790"/>
      <w:bookmarkStart w:id="10" w:name="_Toc14886"/>
      <w:r>
        <w:rPr>
          <w:rFonts w:hint="eastAsia" w:ascii="仿宋" w:hAnsi="仿宋" w:eastAsia="仿宋" w:cs="仿宋"/>
          <w:b/>
          <w:color w:val="000000"/>
          <w:kern w:val="0"/>
          <w:sz w:val="32"/>
          <w:szCs w:val="32"/>
        </w:rPr>
        <w:t>三、综合评价情况及评价结论</w:t>
      </w:r>
      <w:bookmarkEnd w:id="9"/>
      <w:bookmarkEnd w:id="10"/>
    </w:p>
    <w:p>
      <w:pPr>
        <w:spacing w:line="360" w:lineRule="auto"/>
        <w:ind w:firstLine="643"/>
        <w:outlineLvl w:val="0"/>
        <w:rPr>
          <w:rFonts w:ascii="仿宋" w:hAnsi="仿宋" w:eastAsia="仿宋" w:cs="仿宋"/>
          <w:b/>
          <w:color w:val="000000"/>
          <w:kern w:val="0"/>
          <w:sz w:val="32"/>
          <w:szCs w:val="32"/>
        </w:rPr>
      </w:pPr>
      <w:bookmarkStart w:id="11" w:name="_Toc17087"/>
      <w:bookmarkStart w:id="12" w:name="_Toc26442"/>
      <w:r>
        <w:rPr>
          <w:rFonts w:hint="eastAsia" w:ascii="仿宋" w:hAnsi="仿宋" w:eastAsia="仿宋" w:cs="仿宋"/>
          <w:b/>
          <w:color w:val="000000"/>
          <w:kern w:val="0"/>
          <w:sz w:val="32"/>
          <w:szCs w:val="32"/>
        </w:rPr>
        <w:t>（一）综合评价情况</w:t>
      </w:r>
      <w:bookmarkEnd w:id="11"/>
      <w:bookmarkEnd w:id="12"/>
    </w:p>
    <w:p>
      <w:pPr>
        <w:spacing w:line="360" w:lineRule="auto"/>
        <w:ind w:firstLine="627" w:firstLineChars="196"/>
        <w:rPr>
          <w:rFonts w:ascii="仿宋_GB2312" w:eastAsia="仿宋_GB2312" w:cs="仿宋_GB2312"/>
          <w:color w:val="000000"/>
          <w:kern w:val="0"/>
          <w:sz w:val="32"/>
          <w:szCs w:val="32"/>
        </w:rPr>
      </w:pPr>
      <w:r>
        <w:rPr>
          <w:rFonts w:hint="eastAsia" w:ascii="仿宋_GB2312" w:hAnsi="宋体" w:eastAsia="仿宋_GB2312" w:cs="仿宋_GB2312"/>
          <w:color w:val="000000"/>
          <w:sz w:val="32"/>
          <w:szCs w:val="32"/>
        </w:rPr>
        <w:t>该项目的实施满足了</w:t>
      </w:r>
      <w:r>
        <w:rPr>
          <w:rFonts w:hint="eastAsia" w:ascii="仿宋_GB2312" w:eastAsia="仿宋_GB2312" w:cs="仿宋_GB2312"/>
          <w:color w:val="000000"/>
          <w:kern w:val="0"/>
          <w:sz w:val="32"/>
          <w:szCs w:val="32"/>
        </w:rPr>
        <w:t>人民当家作主、代表依法履职，践行全过程人民民主的要求</w:t>
      </w:r>
      <w:r>
        <w:rPr>
          <w:rFonts w:hint="eastAsia" w:ascii="仿宋_GB2312" w:hAnsi="宋体" w:eastAsia="仿宋_GB2312" w:cs="仿宋_GB2312"/>
          <w:color w:val="000000"/>
          <w:sz w:val="32"/>
          <w:szCs w:val="32"/>
        </w:rPr>
        <w:t>，人代会圆满结束，</w:t>
      </w:r>
      <w:r>
        <w:rPr>
          <w:rFonts w:hint="eastAsia" w:ascii="仿宋_GB2312" w:hAnsi="宋体" w:eastAsia="仿宋_GB2312" w:cs="仿宋_GB2312"/>
          <w:color w:val="000000"/>
          <w:sz w:val="32"/>
          <w:szCs w:val="32"/>
          <w:lang w:val="en-US" w:eastAsia="zh-CN"/>
        </w:rPr>
        <w:t>选举产生了区人大常委会主任、副主任，补选了2名区人大常委会组成人员，</w:t>
      </w:r>
      <w:r>
        <w:rPr>
          <w:rFonts w:hint="eastAsia" w:ascii="仿宋_GB2312" w:eastAsia="仿宋_GB2312" w:cs="仿宋_GB2312"/>
          <w:color w:val="000000"/>
          <w:kern w:val="0"/>
          <w:sz w:val="32"/>
          <w:szCs w:val="32"/>
        </w:rPr>
        <w:t>并进行了宪法宣誓，</w:t>
      </w:r>
      <w:r>
        <w:rPr>
          <w:rFonts w:hint="eastAsia" w:ascii="仿宋_GB2312" w:hAnsi="宋体" w:eastAsia="仿宋_GB2312" w:cs="仿宋_GB2312"/>
          <w:color w:val="000000"/>
          <w:sz w:val="32"/>
          <w:szCs w:val="32"/>
          <w:lang w:val="en-US" w:eastAsia="zh-CN"/>
        </w:rPr>
        <w:t>顺利完成大会各项选举任务，</w:t>
      </w:r>
      <w:r>
        <w:rPr>
          <w:rFonts w:hint="eastAsia" w:ascii="仿宋_GB2312" w:eastAsia="仿宋_GB2312" w:cs="仿宋_GB2312"/>
          <w:color w:val="000000"/>
          <w:kern w:val="0"/>
          <w:sz w:val="32"/>
          <w:szCs w:val="32"/>
        </w:rPr>
        <w:t>全面实现了中央、市委和区委提出的要求，较好地实现了党的主张和人民意志的统一</w:t>
      </w:r>
      <w:r>
        <w:rPr>
          <w:rFonts w:hint="eastAsia" w:ascii="仿宋_GB2312" w:hAnsi="宋体" w:eastAsia="仿宋_GB2312" w:cs="仿宋_GB2312"/>
          <w:color w:val="000000"/>
          <w:sz w:val="32"/>
          <w:szCs w:val="32"/>
        </w:rPr>
        <w:t>。</w:t>
      </w:r>
    </w:p>
    <w:p>
      <w:pPr>
        <w:spacing w:line="360" w:lineRule="auto"/>
        <w:ind w:firstLine="643"/>
        <w:outlineLvl w:val="0"/>
        <w:rPr>
          <w:rFonts w:ascii="仿宋" w:hAnsi="仿宋" w:eastAsia="仿宋" w:cs="仿宋"/>
          <w:b/>
          <w:color w:val="000000"/>
          <w:kern w:val="0"/>
          <w:sz w:val="32"/>
          <w:szCs w:val="32"/>
        </w:rPr>
      </w:pPr>
      <w:bookmarkStart w:id="13" w:name="_Toc5161"/>
      <w:bookmarkStart w:id="14" w:name="_Toc30519"/>
      <w:r>
        <w:rPr>
          <w:rFonts w:hint="eastAsia" w:ascii="仿宋" w:hAnsi="仿宋" w:eastAsia="仿宋" w:cs="仿宋"/>
          <w:b/>
          <w:color w:val="000000"/>
          <w:kern w:val="0"/>
          <w:sz w:val="32"/>
          <w:szCs w:val="32"/>
        </w:rPr>
        <w:t>（二）评价结论</w:t>
      </w:r>
      <w:bookmarkEnd w:id="13"/>
      <w:bookmarkEnd w:id="14"/>
    </w:p>
    <w:p>
      <w:pPr>
        <w:spacing w:line="360" w:lineRule="auto"/>
        <w:ind w:firstLine="627" w:firstLineChars="196"/>
        <w:rPr>
          <w:color w:val="000000"/>
        </w:rPr>
      </w:pPr>
      <w:r>
        <w:rPr>
          <w:rFonts w:hint="eastAsia" w:ascii="仿宋_GB2312" w:eastAsia="仿宋_GB2312" w:cs="仿宋_GB2312"/>
          <w:color w:val="000000"/>
          <w:sz w:val="32"/>
          <w:szCs w:val="32"/>
        </w:rPr>
        <w:t>经综合评议</w:t>
      </w:r>
      <w:r>
        <w:rPr>
          <w:rFonts w:hint="eastAsia" w:ascii="仿宋_GB2312" w:hAnsi="宋体" w:eastAsia="仿宋_GB2312" w:cs="仿宋_GB2312"/>
          <w:color w:val="000000"/>
          <w:sz w:val="32"/>
          <w:szCs w:val="32"/>
        </w:rPr>
        <w:t>，</w:t>
      </w:r>
      <w:r>
        <w:rPr>
          <w:rFonts w:hint="eastAsia" w:ascii="仿宋_GB2312" w:hAnsi="仿宋_GB2312" w:eastAsia="仿宋_GB2312" w:cs="仿宋_GB2312"/>
          <w:color w:val="000000"/>
          <w:sz w:val="32"/>
          <w:szCs w:val="32"/>
        </w:rPr>
        <w:t>项目单位该</w:t>
      </w:r>
      <w:r>
        <w:rPr>
          <w:rFonts w:hint="eastAsia" w:ascii="仿宋_GB2312" w:hAnsi="宋体" w:eastAsia="仿宋_GB2312"/>
          <w:bCs/>
          <w:color w:val="000000"/>
          <w:sz w:val="32"/>
          <w:szCs w:val="32"/>
        </w:rPr>
        <w:t>项目综合得分</w:t>
      </w:r>
      <w:r>
        <w:rPr>
          <w:rFonts w:hint="eastAsia" w:ascii="仿宋_GB2312" w:hAnsi="仿宋_GB2312" w:eastAsia="仿宋_GB2312" w:cs="仿宋_GB2312"/>
          <w:color w:val="000000"/>
          <w:sz w:val="32"/>
          <w:szCs w:val="32"/>
          <w:lang w:val="en-US" w:eastAsia="zh-CN"/>
        </w:rPr>
        <w:t>97.60</w:t>
      </w:r>
      <w:r>
        <w:rPr>
          <w:rFonts w:hint="eastAsia" w:ascii="仿宋_GB2312" w:hAnsi="宋体" w:eastAsia="仿宋_GB2312"/>
          <w:bCs/>
          <w:color w:val="000000"/>
          <w:sz w:val="32"/>
          <w:szCs w:val="32"/>
        </w:rPr>
        <w:t>分，其中执行率</w:t>
      </w:r>
      <w:r>
        <w:rPr>
          <w:rFonts w:hint="eastAsia" w:ascii="仿宋_GB2312" w:hAnsi="宋体" w:eastAsia="仿宋_GB2312"/>
          <w:bCs/>
          <w:color w:val="000000"/>
          <w:sz w:val="32"/>
          <w:szCs w:val="32"/>
          <w:lang w:val="en-US" w:eastAsia="zh-CN"/>
        </w:rPr>
        <w:t>10</w:t>
      </w:r>
      <w:r>
        <w:rPr>
          <w:rFonts w:hint="eastAsia" w:ascii="仿宋_GB2312" w:hAnsi="宋体" w:eastAsia="仿宋_GB2312"/>
          <w:bCs/>
          <w:color w:val="000000"/>
          <w:sz w:val="32"/>
          <w:szCs w:val="32"/>
        </w:rPr>
        <w:t>分、产出</w:t>
      </w:r>
      <w:r>
        <w:rPr>
          <w:rFonts w:hint="eastAsia" w:ascii="仿宋_GB2312" w:hAnsi="宋体" w:eastAsia="仿宋_GB2312"/>
          <w:bCs/>
          <w:color w:val="000000"/>
          <w:sz w:val="32"/>
          <w:szCs w:val="32"/>
          <w:lang w:val="en-US" w:eastAsia="zh-CN"/>
        </w:rPr>
        <w:t>37.6</w:t>
      </w:r>
      <w:r>
        <w:rPr>
          <w:rFonts w:hint="eastAsia" w:ascii="仿宋_GB2312" w:hAnsi="宋体" w:eastAsia="仿宋_GB2312"/>
          <w:bCs/>
          <w:color w:val="000000"/>
          <w:sz w:val="32"/>
          <w:szCs w:val="32"/>
        </w:rPr>
        <w:t>分、效益30分、</w:t>
      </w:r>
      <w:r>
        <w:rPr>
          <w:rFonts w:hint="eastAsia" w:ascii="仿宋_GB2312" w:hAnsi="宋体" w:eastAsia="仿宋_GB2312"/>
          <w:bCs/>
          <w:color w:val="000000"/>
          <w:sz w:val="32"/>
          <w:szCs w:val="32"/>
          <w:lang w:val="en-US" w:eastAsia="zh-CN"/>
        </w:rPr>
        <w:t>成本10分</w:t>
      </w:r>
      <w:r>
        <w:rPr>
          <w:rFonts w:hint="eastAsia" w:ascii="仿宋_GB2312" w:hAnsi="宋体" w:eastAsia="仿宋_GB2312"/>
          <w:bCs/>
          <w:color w:val="000000"/>
          <w:sz w:val="32"/>
          <w:szCs w:val="32"/>
        </w:rPr>
        <w:t>服务对象满意度10分，绩效评定结论为“</w:t>
      </w:r>
      <w:r>
        <w:rPr>
          <w:rFonts w:hint="eastAsia" w:ascii="仿宋_GB2312" w:hAnsi="仿宋_GB2312" w:eastAsia="仿宋_GB2312" w:cs="仿宋_GB2312"/>
          <w:color w:val="000000"/>
          <w:sz w:val="32"/>
          <w:szCs w:val="32"/>
          <w:lang w:val="en-US" w:eastAsia="zh-CN"/>
        </w:rPr>
        <w:t>97.60</w:t>
      </w:r>
      <w:r>
        <w:rPr>
          <w:rFonts w:hint="eastAsia" w:ascii="仿宋_GB2312" w:hAnsi="宋体" w:eastAsia="仿宋_GB2312"/>
          <w:bCs/>
          <w:color w:val="000000"/>
          <w:sz w:val="32"/>
          <w:szCs w:val="32"/>
        </w:rPr>
        <w:t>”。</w:t>
      </w:r>
    </w:p>
    <w:p>
      <w:pPr>
        <w:spacing w:line="360" w:lineRule="auto"/>
        <w:ind w:firstLine="643"/>
        <w:outlineLvl w:val="0"/>
        <w:rPr>
          <w:rFonts w:ascii="仿宋" w:hAnsi="仿宋" w:eastAsia="仿宋" w:cs="仿宋"/>
          <w:b/>
          <w:color w:val="000000"/>
          <w:kern w:val="0"/>
          <w:sz w:val="32"/>
          <w:szCs w:val="32"/>
        </w:rPr>
      </w:pPr>
      <w:bookmarkStart w:id="15" w:name="_Toc2363"/>
      <w:bookmarkStart w:id="16" w:name="_Toc10579"/>
      <w:r>
        <w:rPr>
          <w:rFonts w:hint="eastAsia" w:ascii="仿宋" w:hAnsi="仿宋" w:eastAsia="仿宋" w:cs="仿宋"/>
          <w:b/>
          <w:color w:val="000000"/>
          <w:kern w:val="0"/>
          <w:sz w:val="32"/>
          <w:szCs w:val="32"/>
        </w:rPr>
        <w:t>四、绩效评价指标分析</w:t>
      </w:r>
      <w:bookmarkEnd w:id="15"/>
      <w:bookmarkEnd w:id="16"/>
    </w:p>
    <w:p>
      <w:pPr>
        <w:spacing w:line="360" w:lineRule="auto"/>
        <w:ind w:firstLine="643"/>
        <w:outlineLvl w:val="0"/>
        <w:rPr>
          <w:rFonts w:ascii="仿宋" w:hAnsi="仿宋" w:eastAsia="仿宋" w:cs="仿宋"/>
          <w:b/>
          <w:color w:val="000000"/>
          <w:kern w:val="0"/>
          <w:sz w:val="32"/>
          <w:szCs w:val="32"/>
        </w:rPr>
      </w:pPr>
      <w:bookmarkStart w:id="17" w:name="_Toc27954"/>
      <w:bookmarkStart w:id="18" w:name="_Toc13909"/>
      <w:r>
        <w:rPr>
          <w:rFonts w:hint="eastAsia" w:ascii="仿宋" w:hAnsi="仿宋" w:eastAsia="仿宋" w:cs="仿宋"/>
          <w:b/>
          <w:color w:val="000000"/>
          <w:kern w:val="0"/>
          <w:sz w:val="32"/>
          <w:szCs w:val="32"/>
        </w:rPr>
        <w:t>（一）项目决策情况分析</w:t>
      </w:r>
      <w:bookmarkEnd w:id="17"/>
      <w:bookmarkEnd w:id="18"/>
    </w:p>
    <w:p>
      <w:pPr>
        <w:spacing w:line="360" w:lineRule="auto"/>
        <w:ind w:firstLine="640"/>
        <w:rPr>
          <w:rFonts w:ascii="仿宋_GB2312" w:eastAsia="仿宋_GB2312" w:cs="仿宋_GB2312"/>
          <w:b/>
          <w:bCs/>
          <w:color w:val="000000"/>
          <w:sz w:val="32"/>
          <w:szCs w:val="32"/>
          <w:lang w:bidi="ar"/>
        </w:rPr>
      </w:pPr>
      <w:r>
        <w:rPr>
          <w:rFonts w:hint="eastAsia" w:ascii="仿宋_GB2312" w:eastAsia="仿宋_GB2312" w:cs="仿宋_GB2312"/>
          <w:b/>
          <w:bCs/>
          <w:color w:val="000000"/>
          <w:sz w:val="32"/>
          <w:szCs w:val="32"/>
          <w:lang w:bidi="ar"/>
        </w:rPr>
        <w:t>1.项目立项分析</w:t>
      </w:r>
    </w:p>
    <w:p>
      <w:pPr>
        <w:spacing w:line="360" w:lineRule="auto"/>
        <w:ind w:firstLine="640"/>
        <w:rPr>
          <w:rFonts w:ascii="仿宋_GB2312" w:eastAsia="仿宋_GB2312" w:cs="仿宋_GB2312"/>
          <w:color w:val="000000"/>
          <w:sz w:val="32"/>
          <w:szCs w:val="32"/>
          <w:lang w:bidi="ar"/>
        </w:rPr>
      </w:pPr>
      <w:r>
        <w:rPr>
          <w:rFonts w:hint="eastAsia" w:ascii="仿宋_GB2312" w:eastAsia="仿宋_GB2312" w:cs="仿宋_GB2312"/>
          <w:color w:val="000000"/>
          <w:sz w:val="32"/>
          <w:szCs w:val="32"/>
          <w:lang w:bidi="ar"/>
        </w:rPr>
        <w:t>该项目政策依据主要包括《中华人民共和国地方各级人民代表大会和地方各级人民政府组织法》《北京市大兴区人大常委会关于召开北京市大兴区第六届人民代表大会第</w:t>
      </w:r>
      <w:r>
        <w:rPr>
          <w:rFonts w:hint="eastAsia" w:ascii="仿宋_GB2312" w:eastAsia="仿宋_GB2312" w:cs="仿宋_GB2312"/>
          <w:color w:val="000000"/>
          <w:sz w:val="32"/>
          <w:szCs w:val="32"/>
          <w:lang w:val="en-US" w:eastAsia="zh-CN" w:bidi="ar"/>
        </w:rPr>
        <w:t>四</w:t>
      </w:r>
      <w:r>
        <w:rPr>
          <w:rFonts w:hint="eastAsia" w:ascii="仿宋_GB2312" w:eastAsia="仿宋_GB2312" w:cs="仿宋_GB2312"/>
          <w:color w:val="000000"/>
          <w:sz w:val="32"/>
          <w:szCs w:val="32"/>
          <w:lang w:bidi="ar"/>
        </w:rPr>
        <w:t>次会议的决定》等文件。</w:t>
      </w:r>
    </w:p>
    <w:p>
      <w:pPr>
        <w:spacing w:line="360" w:lineRule="auto"/>
        <w:ind w:firstLine="640"/>
        <w:rPr>
          <w:rFonts w:hint="eastAsia" w:ascii="仿宋_GB2312" w:eastAsia="仿宋_GB2312"/>
          <w:bCs/>
          <w:color w:val="000000"/>
          <w:kern w:val="44"/>
          <w:sz w:val="32"/>
          <w:szCs w:val="32"/>
        </w:rPr>
      </w:pPr>
      <w:r>
        <w:rPr>
          <w:rFonts w:hint="eastAsia" w:ascii="仿宋_GB2312" w:eastAsia="仿宋_GB2312" w:cs="仿宋_GB2312"/>
          <w:b/>
          <w:bCs/>
          <w:color w:val="000000"/>
          <w:sz w:val="32"/>
          <w:szCs w:val="32"/>
          <w:lang w:bidi="ar"/>
        </w:rPr>
        <w:t>通过综合分析，</w:t>
      </w:r>
      <w:r>
        <w:rPr>
          <w:rFonts w:hint="eastAsia" w:ascii="仿宋_GB2312" w:eastAsia="仿宋_GB2312"/>
          <w:bCs/>
          <w:color w:val="000000"/>
          <w:kern w:val="44"/>
          <w:sz w:val="32"/>
          <w:szCs w:val="32"/>
        </w:rPr>
        <w:t>立项依据较为充分，符合项目政策要求，立项程序较规范。</w:t>
      </w:r>
    </w:p>
    <w:p>
      <w:pPr>
        <w:spacing w:line="360" w:lineRule="auto"/>
        <w:ind w:firstLine="640"/>
        <w:rPr>
          <w:rFonts w:ascii="仿宋_GB2312" w:eastAsia="仿宋_GB2312" w:cs="仿宋_GB2312"/>
          <w:b/>
          <w:bCs/>
          <w:color w:val="000000"/>
          <w:sz w:val="32"/>
          <w:szCs w:val="32"/>
          <w:lang w:bidi="ar"/>
        </w:rPr>
      </w:pPr>
      <w:r>
        <w:rPr>
          <w:rFonts w:hint="eastAsia" w:ascii="仿宋_GB2312" w:eastAsia="仿宋_GB2312" w:cs="仿宋_GB2312"/>
          <w:b/>
          <w:bCs/>
          <w:color w:val="000000"/>
          <w:sz w:val="32"/>
          <w:szCs w:val="32"/>
          <w:lang w:bidi="ar"/>
        </w:rPr>
        <w:t>2.绩效目标分析</w:t>
      </w:r>
    </w:p>
    <w:p>
      <w:pPr>
        <w:spacing w:line="360" w:lineRule="auto"/>
        <w:ind w:firstLine="640"/>
        <w:rPr>
          <w:rFonts w:ascii="仿宋_GB2312" w:eastAsia="仿宋_GB2312" w:cs="仿宋_GB2312"/>
          <w:color w:val="000000"/>
          <w:sz w:val="32"/>
          <w:szCs w:val="32"/>
          <w:lang w:bidi="ar"/>
        </w:rPr>
      </w:pPr>
      <w:r>
        <w:rPr>
          <w:rFonts w:hint="eastAsia" w:ascii="仿宋_GB2312" w:eastAsia="仿宋_GB2312" w:cs="仿宋_GB2312"/>
          <w:color w:val="000000"/>
          <w:sz w:val="32"/>
          <w:szCs w:val="32"/>
          <w:lang w:bidi="ar"/>
        </w:rPr>
        <w:t>该项目设定的绩效目标为“依法听取审议政府、人大常委会、法院、检察院等工作报告，批准区级预算，</w:t>
      </w:r>
      <w:r>
        <w:rPr>
          <w:rFonts w:hint="eastAsia" w:ascii="仿宋_GB2312" w:eastAsia="仿宋_GB2312" w:cs="仿宋_GB2312"/>
          <w:color w:val="000000"/>
          <w:sz w:val="32"/>
          <w:szCs w:val="32"/>
          <w:lang w:val="en-US" w:eastAsia="zh-CN" w:bidi="ar"/>
        </w:rPr>
        <w:t>新当选的区人大常委会主任、副主任，2名区人大常委会组成人员现场进行了宪法宣誓</w:t>
      </w:r>
      <w:r>
        <w:rPr>
          <w:rFonts w:hint="eastAsia" w:ascii="仿宋_GB2312" w:eastAsia="仿宋_GB2312" w:cs="仿宋_GB2312"/>
          <w:color w:val="000000"/>
          <w:sz w:val="32"/>
          <w:szCs w:val="32"/>
          <w:lang w:bidi="ar"/>
        </w:rPr>
        <w:t>。</w:t>
      </w:r>
    </w:p>
    <w:p>
      <w:pPr>
        <w:adjustRightInd w:val="0"/>
        <w:spacing w:line="360" w:lineRule="auto"/>
        <w:ind w:firstLine="640" w:firstLineChars="0"/>
        <w:rPr>
          <w:rFonts w:hint="eastAsia" w:ascii="仿宋_GB2312" w:hAnsi="仿宋_GB2312" w:eastAsia="仿宋_GB2312" w:cs="仿宋_GB2312"/>
          <w:bCs/>
          <w:color w:val="000000"/>
          <w:sz w:val="32"/>
          <w:szCs w:val="32"/>
        </w:rPr>
      </w:pPr>
      <w:r>
        <w:rPr>
          <w:rFonts w:hint="eastAsia" w:ascii="仿宋_GB2312" w:eastAsia="仿宋_GB2312" w:cs="仿宋_GB2312"/>
          <w:b/>
          <w:bCs/>
          <w:color w:val="000000"/>
          <w:sz w:val="32"/>
          <w:szCs w:val="32"/>
          <w:lang w:bidi="ar"/>
        </w:rPr>
        <w:t>通过综合分析，</w:t>
      </w:r>
      <w:r>
        <w:rPr>
          <w:rFonts w:hint="eastAsia" w:ascii="仿宋_GB2312" w:hAnsi="仿宋_GB2312" w:eastAsia="仿宋_GB2312" w:cs="仿宋_GB2312"/>
          <w:bCs/>
          <w:color w:val="000000"/>
          <w:sz w:val="32"/>
          <w:szCs w:val="32"/>
        </w:rPr>
        <w:t>该项目的绩效目标整体填报科学规范，产出数量指标略有欠缺，质量指标对应程度较好，</w:t>
      </w:r>
      <w:r>
        <w:rPr>
          <w:rFonts w:hint="eastAsia" w:ascii="仿宋_GB2312" w:hAnsi="仿宋_GB2312" w:eastAsia="仿宋_GB2312" w:cs="仿宋_GB2312"/>
          <w:color w:val="000000"/>
          <w:sz w:val="32"/>
          <w:szCs w:val="32"/>
        </w:rPr>
        <w:t>服务对象满意度指标可衡量，</w:t>
      </w:r>
      <w:r>
        <w:rPr>
          <w:rFonts w:hint="eastAsia" w:ascii="仿宋_GB2312" w:hAnsi="仿宋_GB2312" w:eastAsia="仿宋_GB2312" w:cs="仿宋_GB2312"/>
          <w:bCs/>
          <w:color w:val="000000"/>
          <w:sz w:val="32"/>
          <w:szCs w:val="32"/>
        </w:rPr>
        <w:t>效益指标明确性较好。</w:t>
      </w:r>
    </w:p>
    <w:p>
      <w:pPr>
        <w:spacing w:line="360" w:lineRule="auto"/>
        <w:ind w:firstLine="640"/>
        <w:rPr>
          <w:rFonts w:ascii="仿宋_GB2312" w:eastAsia="仿宋_GB2312" w:cs="仿宋_GB2312"/>
          <w:b/>
          <w:bCs/>
          <w:color w:val="000000"/>
          <w:sz w:val="32"/>
          <w:szCs w:val="32"/>
          <w:lang w:bidi="ar"/>
        </w:rPr>
      </w:pPr>
      <w:r>
        <w:rPr>
          <w:rFonts w:ascii="仿宋_GB2312" w:eastAsia="仿宋_GB2312" w:cs="仿宋_GB2312"/>
          <w:b/>
          <w:bCs/>
          <w:color w:val="000000"/>
          <w:sz w:val="32"/>
          <w:szCs w:val="32"/>
          <w:lang w:bidi="ar"/>
        </w:rPr>
        <w:t>3</w:t>
      </w:r>
      <w:r>
        <w:rPr>
          <w:rFonts w:hint="eastAsia" w:ascii="仿宋_GB2312" w:eastAsia="仿宋_GB2312" w:cs="仿宋_GB2312"/>
          <w:b/>
          <w:bCs/>
          <w:color w:val="000000"/>
          <w:sz w:val="32"/>
          <w:szCs w:val="32"/>
          <w:lang w:bidi="ar"/>
        </w:rPr>
        <w:t>.资金投入分析</w:t>
      </w:r>
    </w:p>
    <w:p>
      <w:pPr>
        <w:spacing w:line="360" w:lineRule="auto"/>
        <w:ind w:firstLine="640"/>
        <w:rPr>
          <w:rFonts w:ascii="仿宋_GB2312" w:eastAsia="仿宋_GB2312" w:cs="仿宋_GB2312"/>
          <w:color w:val="000000"/>
          <w:sz w:val="32"/>
          <w:szCs w:val="32"/>
          <w:lang w:bidi="ar"/>
        </w:rPr>
      </w:pPr>
      <w:r>
        <w:rPr>
          <w:rFonts w:hint="eastAsia" w:ascii="仿宋_GB2312" w:eastAsia="仿宋_GB2312" w:cs="仿宋_GB2312"/>
          <w:color w:val="000000"/>
          <w:sz w:val="32"/>
          <w:szCs w:val="32"/>
          <w:lang w:bidi="ar"/>
        </w:rPr>
        <w:t>项目资金进行了前期调研分析工作，预算内容与项目内容基本一致。</w:t>
      </w:r>
    </w:p>
    <w:p>
      <w:pPr>
        <w:spacing w:line="360" w:lineRule="auto"/>
        <w:ind w:firstLine="640"/>
        <w:rPr>
          <w:rFonts w:hint="eastAsia" w:ascii="仿宋_GB2312" w:eastAsia="仿宋_GB2312"/>
          <w:bCs/>
          <w:color w:val="000000"/>
          <w:kern w:val="44"/>
          <w:sz w:val="32"/>
          <w:szCs w:val="32"/>
        </w:rPr>
      </w:pPr>
      <w:r>
        <w:rPr>
          <w:rFonts w:hint="eastAsia" w:ascii="仿宋_GB2312" w:eastAsia="仿宋_GB2312" w:cs="仿宋_GB2312"/>
          <w:b/>
          <w:bCs/>
          <w:color w:val="000000"/>
          <w:sz w:val="32"/>
          <w:szCs w:val="32"/>
          <w:lang w:bidi="ar"/>
        </w:rPr>
        <w:t>通过综合分析，</w:t>
      </w:r>
      <w:r>
        <w:rPr>
          <w:rFonts w:hint="eastAsia" w:ascii="仿宋_GB2312" w:hAnsi="仿宋_GB2312" w:eastAsia="仿宋_GB2312" w:cs="仿宋_GB2312"/>
          <w:color w:val="000000"/>
          <w:sz w:val="32"/>
          <w:szCs w:val="32"/>
        </w:rPr>
        <w:t>项目预算编制</w:t>
      </w:r>
      <w:r>
        <w:rPr>
          <w:rFonts w:hint="eastAsia" w:ascii="仿宋_GB2312" w:eastAsia="仿宋_GB2312" w:cs="仿宋_GB2312"/>
          <w:color w:val="000000"/>
          <w:sz w:val="32"/>
          <w:szCs w:val="32"/>
          <w:lang w:bidi="ar"/>
        </w:rPr>
        <w:t>较合理，</w:t>
      </w:r>
      <w:r>
        <w:rPr>
          <w:rFonts w:hint="eastAsia" w:ascii="仿宋_GB2312" w:eastAsia="仿宋_GB2312"/>
          <w:bCs/>
          <w:color w:val="000000"/>
          <w:kern w:val="44"/>
          <w:sz w:val="32"/>
          <w:szCs w:val="32"/>
        </w:rPr>
        <w:t>但由于不可控的因素（疫情影响），在组织实施程序方面还需要进一步理顺，确保下次会议的顺利。</w:t>
      </w:r>
    </w:p>
    <w:p>
      <w:pPr>
        <w:spacing w:line="360" w:lineRule="auto"/>
        <w:ind w:firstLine="643"/>
        <w:outlineLvl w:val="0"/>
        <w:rPr>
          <w:rFonts w:ascii="仿宋" w:hAnsi="仿宋" w:eastAsia="仿宋" w:cs="仿宋"/>
          <w:b/>
          <w:color w:val="000000"/>
          <w:kern w:val="0"/>
          <w:sz w:val="32"/>
          <w:szCs w:val="32"/>
        </w:rPr>
      </w:pPr>
      <w:bookmarkStart w:id="19" w:name="_Toc21355"/>
      <w:bookmarkStart w:id="20" w:name="_Toc28994"/>
      <w:r>
        <w:rPr>
          <w:rFonts w:hint="eastAsia" w:ascii="仿宋" w:hAnsi="仿宋" w:eastAsia="仿宋" w:cs="仿宋"/>
          <w:b/>
          <w:color w:val="000000"/>
          <w:kern w:val="0"/>
          <w:sz w:val="32"/>
          <w:szCs w:val="32"/>
        </w:rPr>
        <w:t>（二）项目过程情况分析</w:t>
      </w:r>
      <w:bookmarkEnd w:id="19"/>
      <w:bookmarkEnd w:id="20"/>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1.资金管理分析</w:t>
      </w:r>
    </w:p>
    <w:p>
      <w:pPr>
        <w:spacing w:line="480" w:lineRule="auto"/>
        <w:ind w:firstLine="640"/>
        <w:rPr>
          <w:rFonts w:ascii="仿宋" w:hAnsi="仿宋" w:eastAsia="仿宋" w:cs="仿宋"/>
          <w:color w:val="000000"/>
          <w:kern w:val="0"/>
          <w:sz w:val="32"/>
          <w:szCs w:val="32"/>
        </w:rPr>
      </w:pPr>
      <w:r>
        <w:rPr>
          <w:rFonts w:hint="eastAsia" w:ascii="仿宋_GB2312" w:eastAsia="仿宋_GB2312"/>
          <w:bCs/>
          <w:color w:val="000000"/>
          <w:kern w:val="44"/>
          <w:sz w:val="32"/>
          <w:szCs w:val="32"/>
        </w:rPr>
        <w:t>项目预算资金</w:t>
      </w:r>
      <w:r>
        <w:rPr>
          <w:rFonts w:hint="eastAsia" w:ascii="仿宋_GB2312" w:eastAsia="仿宋_GB2312"/>
          <w:bCs/>
          <w:color w:val="000000"/>
          <w:kern w:val="44"/>
          <w:sz w:val="32"/>
          <w:szCs w:val="32"/>
          <w:lang w:val="en-US" w:eastAsia="zh-CN"/>
        </w:rPr>
        <w:t>178.55</w:t>
      </w:r>
      <w:r>
        <w:rPr>
          <w:rFonts w:hint="eastAsia" w:ascii="仿宋_GB2312" w:eastAsia="仿宋_GB2312"/>
          <w:bCs/>
          <w:color w:val="000000"/>
          <w:kern w:val="44"/>
          <w:sz w:val="32"/>
          <w:szCs w:val="32"/>
        </w:rPr>
        <w:t>万元，实际到位</w:t>
      </w:r>
      <w:r>
        <w:rPr>
          <w:rFonts w:hint="eastAsia" w:ascii="仿宋_GB2312" w:eastAsia="仿宋_GB2312"/>
          <w:bCs/>
          <w:color w:val="000000"/>
          <w:kern w:val="44"/>
          <w:sz w:val="32"/>
          <w:szCs w:val="32"/>
          <w:lang w:val="en-US" w:eastAsia="zh-CN"/>
        </w:rPr>
        <w:t>178.55</w:t>
      </w:r>
      <w:r>
        <w:rPr>
          <w:rFonts w:hint="eastAsia" w:ascii="仿宋_GB2312" w:eastAsia="仿宋_GB2312"/>
          <w:bCs/>
          <w:color w:val="000000"/>
          <w:kern w:val="44"/>
          <w:sz w:val="32"/>
          <w:szCs w:val="32"/>
        </w:rPr>
        <w:t>万元，资金到位率1</w:t>
      </w:r>
      <w:r>
        <w:rPr>
          <w:rFonts w:ascii="仿宋_GB2312" w:eastAsia="仿宋_GB2312"/>
          <w:bCs/>
          <w:color w:val="000000"/>
          <w:kern w:val="44"/>
          <w:sz w:val="32"/>
          <w:szCs w:val="32"/>
        </w:rPr>
        <w:t>00</w:t>
      </w:r>
      <w:r>
        <w:rPr>
          <w:rFonts w:hint="eastAsia" w:ascii="仿宋_GB2312" w:eastAsia="仿宋_GB2312"/>
          <w:bCs/>
          <w:color w:val="000000"/>
          <w:kern w:val="44"/>
          <w:sz w:val="32"/>
          <w:szCs w:val="32"/>
        </w:rPr>
        <w:t>%，支出金额</w:t>
      </w:r>
      <w:r>
        <w:rPr>
          <w:rFonts w:hint="eastAsia" w:ascii="仿宋_GB2312" w:eastAsia="仿宋_GB2312"/>
          <w:bCs/>
          <w:color w:val="000000"/>
          <w:kern w:val="44"/>
          <w:sz w:val="32"/>
          <w:szCs w:val="32"/>
          <w:lang w:val="en-US" w:eastAsia="zh-CN"/>
        </w:rPr>
        <w:t>178.55</w:t>
      </w:r>
      <w:r>
        <w:rPr>
          <w:rFonts w:hint="eastAsia" w:ascii="仿宋_GB2312" w:eastAsia="仿宋_GB2312"/>
          <w:bCs/>
          <w:color w:val="000000"/>
          <w:kern w:val="44"/>
          <w:sz w:val="32"/>
          <w:szCs w:val="32"/>
        </w:rPr>
        <w:t>万元，执行率</w:t>
      </w:r>
      <w:r>
        <w:rPr>
          <w:rFonts w:hint="eastAsia" w:ascii="仿宋_GB2312" w:eastAsia="仿宋_GB2312"/>
          <w:bCs/>
          <w:color w:val="000000"/>
          <w:kern w:val="44"/>
          <w:sz w:val="32"/>
          <w:szCs w:val="32"/>
          <w:lang w:val="en-US" w:eastAsia="zh-CN"/>
        </w:rPr>
        <w:t>100</w:t>
      </w:r>
      <w:r>
        <w:rPr>
          <w:rFonts w:hint="eastAsia" w:ascii="仿宋_GB2312" w:eastAsia="仿宋_GB2312"/>
          <w:bCs/>
          <w:color w:val="000000"/>
          <w:kern w:val="44"/>
          <w:sz w:val="32"/>
          <w:szCs w:val="32"/>
        </w:rPr>
        <w:t>%。</w:t>
      </w:r>
    </w:p>
    <w:p>
      <w:pPr>
        <w:spacing w:line="528" w:lineRule="auto"/>
        <w:ind w:firstLine="640"/>
        <w:rPr>
          <w:rFonts w:ascii="仿宋_GB2312" w:eastAsia="仿宋_GB2312" w:cs="仿宋_GB2312"/>
          <w:b/>
          <w:bCs/>
          <w:color w:val="000000"/>
          <w:sz w:val="32"/>
          <w:szCs w:val="32"/>
          <w:lang w:bidi="ar"/>
        </w:rPr>
      </w:pPr>
      <w:r>
        <w:rPr>
          <w:rFonts w:hint="eastAsia" w:ascii="仿宋_GB2312" w:eastAsia="仿宋_GB2312" w:cs="仿宋_GB2312"/>
          <w:b/>
          <w:bCs/>
          <w:color w:val="000000"/>
          <w:sz w:val="32"/>
          <w:szCs w:val="32"/>
          <w:lang w:bidi="ar"/>
        </w:rPr>
        <w:t>通过综合分析，</w:t>
      </w:r>
      <w:r>
        <w:rPr>
          <w:rFonts w:hint="eastAsia" w:ascii="仿宋_GB2312" w:eastAsia="仿宋_GB2312"/>
          <w:bCs/>
          <w:color w:val="000000"/>
          <w:kern w:val="44"/>
          <w:sz w:val="32"/>
          <w:szCs w:val="32"/>
        </w:rPr>
        <w:t>项目资金全部到位1</w:t>
      </w:r>
      <w:r>
        <w:rPr>
          <w:rFonts w:ascii="仿宋_GB2312" w:eastAsia="仿宋_GB2312"/>
          <w:bCs/>
          <w:color w:val="000000"/>
          <w:kern w:val="44"/>
          <w:sz w:val="32"/>
          <w:szCs w:val="32"/>
        </w:rPr>
        <w:t>00</w:t>
      </w:r>
      <w:r>
        <w:rPr>
          <w:rFonts w:hint="eastAsia" w:ascii="仿宋_GB2312" w:eastAsia="仿宋_GB2312"/>
          <w:bCs/>
          <w:color w:val="000000"/>
          <w:kern w:val="44"/>
          <w:sz w:val="32"/>
          <w:szCs w:val="32"/>
        </w:rPr>
        <w:t>%、执行率</w:t>
      </w:r>
      <w:r>
        <w:rPr>
          <w:rFonts w:hint="eastAsia" w:ascii="仿宋_GB2312" w:eastAsia="仿宋_GB2312"/>
          <w:bCs/>
          <w:color w:val="000000"/>
          <w:kern w:val="44"/>
          <w:sz w:val="32"/>
          <w:szCs w:val="32"/>
          <w:lang w:val="en-US" w:eastAsia="zh-CN"/>
        </w:rPr>
        <w:t>100</w:t>
      </w:r>
      <w:r>
        <w:rPr>
          <w:rFonts w:hint="eastAsia" w:ascii="仿宋_GB2312" w:eastAsia="仿宋_GB2312"/>
          <w:bCs/>
          <w:color w:val="000000"/>
          <w:kern w:val="44"/>
          <w:sz w:val="32"/>
          <w:szCs w:val="32"/>
        </w:rPr>
        <w:t>%，项目资金使用较合理，支付程序较规范。</w:t>
      </w:r>
    </w:p>
    <w:p>
      <w:pPr>
        <w:spacing w:line="528"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2.组织实施分析</w:t>
      </w:r>
    </w:p>
    <w:p>
      <w:pPr>
        <w:spacing w:line="528" w:lineRule="auto"/>
        <w:ind w:firstLine="640"/>
        <w:rPr>
          <w:rFonts w:hint="eastAsia" w:ascii="仿宋_GB2312" w:eastAsia="仿宋_GB2312" w:cs="仿宋_GB2312"/>
          <w:color w:val="000000"/>
          <w:sz w:val="32"/>
          <w:szCs w:val="32"/>
          <w:lang w:bidi="ar"/>
        </w:rPr>
      </w:pPr>
      <w:r>
        <w:rPr>
          <w:rFonts w:hint="eastAsia" w:ascii="仿宋_GB2312" w:eastAsia="仿宋_GB2312" w:cs="仿宋_GB2312"/>
          <w:color w:val="000000"/>
          <w:sz w:val="32"/>
          <w:szCs w:val="32"/>
          <w:lang w:bidi="ar"/>
        </w:rPr>
        <w:t>经费支出均按照预算管理制度、资金管理制度、收支管理制度等财务管理制度或相关要求严格把控。</w:t>
      </w:r>
    </w:p>
    <w:p>
      <w:pPr>
        <w:spacing w:line="360" w:lineRule="auto"/>
        <w:ind w:firstLine="640"/>
        <w:rPr>
          <w:rFonts w:hint="eastAsia" w:eastAsia="仿宋_GB2312"/>
          <w:color w:val="000000"/>
          <w:sz w:val="32"/>
          <w:szCs w:val="32"/>
        </w:rPr>
      </w:pPr>
      <w:r>
        <w:rPr>
          <w:rFonts w:hint="eastAsia" w:eastAsia="仿宋_GB2312"/>
          <w:color w:val="000000"/>
          <w:sz w:val="32"/>
          <w:szCs w:val="32"/>
        </w:rPr>
        <w:t>成立区六届人大</w:t>
      </w:r>
      <w:r>
        <w:rPr>
          <w:rFonts w:hint="eastAsia" w:eastAsia="仿宋_GB2312"/>
          <w:color w:val="000000"/>
          <w:sz w:val="32"/>
          <w:szCs w:val="32"/>
          <w:lang w:val="en-US" w:eastAsia="zh-CN"/>
        </w:rPr>
        <w:t>四</w:t>
      </w:r>
      <w:r>
        <w:rPr>
          <w:rFonts w:hint="eastAsia" w:eastAsia="仿宋_GB2312"/>
          <w:color w:val="000000"/>
          <w:sz w:val="32"/>
          <w:szCs w:val="32"/>
        </w:rPr>
        <w:t>次会议秘书处，区人大常委会党组副书记任秘书长，区人大各工作机构及相关单位负责人为成员，列入各工作组，抓好日常工作。一是提前谋划。各工作组按照分工，结合实际制定本组方案，确保目标一致。二是建立机制。建立了定期会商机制，结合主任会议，定期汇报各组工作进展，常委会领导针对各组作出提示，加强工作督导，掌握进度、把控方向。三是协调配合。大会期间，各工作组抽调精兵强将，互相配合共同为大会胜利召开出谋划策，贯彻落实秘书处各项指令。四是全程监督。成立督导组，配合市委组织部对大会期间控烟情况及选举程序进行全程监督，确保风清气正。。</w:t>
      </w:r>
    </w:p>
    <w:p>
      <w:pPr>
        <w:spacing w:line="360" w:lineRule="auto"/>
        <w:ind w:firstLine="640"/>
        <w:rPr>
          <w:rFonts w:hint="eastAsia" w:ascii="仿宋_GB2312" w:eastAsia="仿宋_GB2312" w:cs="仿宋_GB2312"/>
          <w:color w:val="000000"/>
          <w:sz w:val="32"/>
          <w:szCs w:val="32"/>
          <w:lang w:bidi="ar"/>
        </w:rPr>
      </w:pPr>
      <w:r>
        <w:rPr>
          <w:rFonts w:hint="eastAsia" w:eastAsia="仿宋_GB2312"/>
          <w:color w:val="000000"/>
          <w:sz w:val="32"/>
          <w:szCs w:val="32"/>
        </w:rPr>
        <w:t>在项目组织实施过程中能够加强项目管理制度及工作模式的建设以及日常监督管理工作，加强对项目资金的申报、立项、分配、使用、验收等整个管理过程的监督检查，参与项目事前、事中、事后的管理工作，做到日常监督与专项检查相结合，重点检查、交叉检查相结合，严把“项目关”和“资金关”，确保资金及时、足额到位和按项目实施方案使用，确保项目的完成。明确界定项目经费支持内容，合理选择资金保障渠道，并完善项目实施方案。严格按照财务支出规范要求、会计制度要求落实资金使用</w:t>
      </w:r>
      <w:r>
        <w:rPr>
          <w:rFonts w:hint="eastAsia" w:ascii="仿宋_GB2312" w:eastAsia="仿宋_GB2312" w:cs="仿宋_GB2312"/>
          <w:color w:val="000000"/>
          <w:sz w:val="32"/>
          <w:szCs w:val="32"/>
          <w:lang w:bidi="ar"/>
        </w:rPr>
        <w:t>执行。</w:t>
      </w:r>
    </w:p>
    <w:p>
      <w:pPr>
        <w:spacing w:line="360" w:lineRule="auto"/>
        <w:ind w:firstLine="640"/>
        <w:rPr>
          <w:rFonts w:ascii="仿宋_GB2312" w:hAnsi="宋体" w:eastAsia="仿宋_GB2312"/>
          <w:snapToGrid w:val="0"/>
          <w:color w:val="000000"/>
          <w:kern w:val="0"/>
          <w:sz w:val="32"/>
          <w:szCs w:val="32"/>
        </w:rPr>
      </w:pPr>
      <w:r>
        <w:rPr>
          <w:rFonts w:hint="eastAsia" w:ascii="仿宋_GB2312" w:eastAsia="仿宋_GB2312" w:cs="仿宋_GB2312"/>
          <w:b/>
          <w:bCs/>
          <w:color w:val="000000"/>
          <w:sz w:val="32"/>
          <w:szCs w:val="32"/>
          <w:lang w:bidi="ar"/>
        </w:rPr>
        <w:t>通过综合分析，</w:t>
      </w:r>
      <w:r>
        <w:rPr>
          <w:rFonts w:hint="eastAsia" w:ascii="仿宋_GB2312" w:eastAsia="仿宋_GB2312"/>
          <w:color w:val="000000"/>
          <w:kern w:val="44"/>
          <w:sz w:val="32"/>
          <w:szCs w:val="32"/>
        </w:rPr>
        <w:t>相关制度</w:t>
      </w:r>
      <w:r>
        <w:rPr>
          <w:rFonts w:hint="eastAsia" w:ascii="仿宋_GB2312" w:hAnsi="宋体" w:eastAsia="仿宋_GB2312"/>
          <w:snapToGrid w:val="0"/>
          <w:color w:val="000000"/>
          <w:kern w:val="0"/>
          <w:sz w:val="32"/>
          <w:szCs w:val="32"/>
        </w:rPr>
        <w:t>建设较健全，该项目实施过程管理较为规范，严格按要求时间完成</w:t>
      </w:r>
      <w:r>
        <w:rPr>
          <w:rFonts w:hint="eastAsia" w:ascii="仿宋_GB2312" w:eastAsia="仿宋_GB2312"/>
          <w:color w:val="000000"/>
          <w:kern w:val="44"/>
          <w:sz w:val="32"/>
          <w:szCs w:val="32"/>
        </w:rPr>
        <w:t>。</w:t>
      </w:r>
    </w:p>
    <w:p>
      <w:pPr>
        <w:spacing w:line="360" w:lineRule="auto"/>
        <w:ind w:firstLine="643"/>
        <w:outlineLvl w:val="0"/>
        <w:rPr>
          <w:rFonts w:ascii="仿宋" w:hAnsi="仿宋" w:eastAsia="仿宋" w:cs="仿宋"/>
          <w:b/>
          <w:color w:val="000000"/>
          <w:kern w:val="0"/>
          <w:sz w:val="32"/>
          <w:szCs w:val="32"/>
        </w:rPr>
      </w:pPr>
      <w:bookmarkStart w:id="21" w:name="_Toc6002"/>
      <w:bookmarkStart w:id="22" w:name="_Toc30397"/>
      <w:r>
        <w:rPr>
          <w:rFonts w:hint="eastAsia" w:ascii="仿宋" w:hAnsi="仿宋" w:eastAsia="仿宋" w:cs="仿宋"/>
          <w:b/>
          <w:color w:val="000000"/>
          <w:kern w:val="0"/>
          <w:sz w:val="32"/>
          <w:szCs w:val="32"/>
        </w:rPr>
        <w:t>（三）项目产出情况分析</w:t>
      </w:r>
      <w:bookmarkEnd w:id="21"/>
      <w:bookmarkEnd w:id="22"/>
    </w:p>
    <w:p>
      <w:pPr>
        <w:spacing w:line="360" w:lineRule="auto"/>
        <w:ind w:firstLine="643"/>
        <w:rPr>
          <w:rFonts w:ascii="仿宋" w:hAnsi="仿宋" w:eastAsia="仿宋" w:cs="仿宋"/>
          <w:b/>
          <w:bCs/>
          <w:color w:val="000000"/>
          <w:kern w:val="0"/>
          <w:sz w:val="32"/>
          <w:szCs w:val="32"/>
          <w:highlight w:val="none"/>
        </w:rPr>
      </w:pPr>
      <w:bookmarkStart w:id="23" w:name="_Toc22573"/>
      <w:r>
        <w:rPr>
          <w:rFonts w:hint="eastAsia" w:ascii="仿宋" w:hAnsi="仿宋" w:eastAsia="仿宋" w:cs="仿宋"/>
          <w:b/>
          <w:bCs/>
          <w:color w:val="000000"/>
          <w:kern w:val="0"/>
          <w:sz w:val="32"/>
          <w:szCs w:val="32"/>
          <w:highlight w:val="none"/>
        </w:rPr>
        <w:t>1.产出数量分析</w:t>
      </w:r>
      <w:bookmarkEnd w:id="23"/>
    </w:p>
    <w:p>
      <w:pPr>
        <w:spacing w:line="360" w:lineRule="auto"/>
        <w:ind w:firstLine="640"/>
        <w:rPr>
          <w:rFonts w:ascii="仿宋_GB2312" w:eastAsia="仿宋_GB2312" w:cs="仿宋_GB2312"/>
          <w:color w:val="000000"/>
          <w:sz w:val="32"/>
          <w:szCs w:val="32"/>
          <w:highlight w:val="none"/>
          <w:lang w:bidi="ar"/>
        </w:rPr>
      </w:pPr>
      <w:r>
        <w:rPr>
          <w:rFonts w:hint="eastAsia" w:ascii="仿宋_GB2312" w:eastAsia="仿宋_GB2312" w:cs="仿宋_GB2312"/>
          <w:color w:val="000000"/>
          <w:sz w:val="32"/>
          <w:szCs w:val="32"/>
          <w:highlight w:val="none"/>
          <w:lang w:val="en-US" w:eastAsia="zh-CN" w:bidi="ar"/>
        </w:rPr>
        <w:t>区人代会上听取审议了</w:t>
      </w:r>
      <w:r>
        <w:rPr>
          <w:rFonts w:hint="eastAsia" w:ascii="仿宋_GB2312" w:eastAsia="仿宋_GB2312" w:cs="仿宋_GB2312"/>
          <w:color w:val="000000"/>
          <w:sz w:val="32"/>
          <w:szCs w:val="32"/>
          <w:highlight w:val="none"/>
          <w:lang w:bidi="ar"/>
        </w:rPr>
        <w:t>“一府一委两院”</w:t>
      </w:r>
      <w:r>
        <w:rPr>
          <w:rFonts w:hint="eastAsia" w:ascii="仿宋_GB2312" w:eastAsia="仿宋_GB2312" w:cs="仿宋_GB2312"/>
          <w:color w:val="000000"/>
          <w:sz w:val="32"/>
          <w:szCs w:val="32"/>
          <w:highlight w:val="none"/>
          <w:lang w:val="en-US" w:eastAsia="zh-CN" w:bidi="ar"/>
        </w:rPr>
        <w:t>工作报告稿并</w:t>
      </w:r>
      <w:r>
        <w:rPr>
          <w:rFonts w:hint="eastAsia" w:eastAsia="仿宋_GB2312"/>
          <w:b w:val="0"/>
          <w:bCs w:val="0"/>
          <w:color w:val="000000"/>
          <w:sz w:val="32"/>
          <w:szCs w:val="32"/>
          <w:highlight w:val="none"/>
          <w:lang w:eastAsia="zh-CN"/>
        </w:rPr>
        <w:t>做出了相关决议决定。</w:t>
      </w:r>
    </w:p>
    <w:p>
      <w:pPr>
        <w:spacing w:line="360" w:lineRule="auto"/>
        <w:ind w:firstLine="640"/>
        <w:rPr>
          <w:rFonts w:ascii="仿宋_GB2312" w:eastAsia="仿宋_GB2312" w:cs="仿宋_GB2312"/>
          <w:color w:val="000000"/>
          <w:sz w:val="32"/>
          <w:szCs w:val="32"/>
          <w:highlight w:val="none"/>
          <w:lang w:bidi="ar"/>
        </w:rPr>
      </w:pPr>
      <w:r>
        <w:rPr>
          <w:rFonts w:hint="eastAsia" w:ascii="仿宋_GB2312" w:eastAsia="仿宋_GB2312" w:cs="仿宋_GB2312"/>
          <w:b/>
          <w:bCs/>
          <w:color w:val="000000"/>
          <w:sz w:val="32"/>
          <w:szCs w:val="32"/>
          <w:highlight w:val="none"/>
          <w:lang w:bidi="ar"/>
        </w:rPr>
        <w:t>通过综合分析，</w:t>
      </w:r>
      <w:r>
        <w:rPr>
          <w:rFonts w:hint="eastAsia" w:ascii="仿宋_GB2312" w:eastAsia="仿宋_GB2312" w:cs="仿宋_GB2312"/>
          <w:color w:val="000000"/>
          <w:sz w:val="32"/>
          <w:szCs w:val="32"/>
          <w:highlight w:val="none"/>
          <w:lang w:bidi="ar"/>
        </w:rPr>
        <w:t>实际完成数量与计划数量一致。但项目绩效报告内对效果描述不够清晰。</w:t>
      </w:r>
    </w:p>
    <w:p>
      <w:pPr>
        <w:spacing w:line="360" w:lineRule="auto"/>
        <w:ind w:firstLine="643"/>
        <w:rPr>
          <w:rFonts w:ascii="仿宋" w:hAnsi="仿宋" w:eastAsia="仿宋" w:cs="仿宋"/>
          <w:b/>
          <w:bCs/>
          <w:color w:val="000000"/>
          <w:kern w:val="0"/>
          <w:sz w:val="32"/>
          <w:szCs w:val="32"/>
          <w:highlight w:val="none"/>
        </w:rPr>
      </w:pPr>
      <w:bookmarkStart w:id="24" w:name="_Toc861"/>
      <w:r>
        <w:rPr>
          <w:rFonts w:hint="eastAsia" w:ascii="仿宋" w:hAnsi="仿宋" w:eastAsia="仿宋" w:cs="仿宋"/>
          <w:b/>
          <w:bCs/>
          <w:color w:val="000000"/>
          <w:kern w:val="0"/>
          <w:sz w:val="32"/>
          <w:szCs w:val="32"/>
          <w:highlight w:val="none"/>
        </w:rPr>
        <w:t>2.产出质量分析</w:t>
      </w:r>
      <w:bookmarkEnd w:id="24"/>
    </w:p>
    <w:p>
      <w:pPr>
        <w:spacing w:line="360" w:lineRule="auto"/>
        <w:ind w:firstLine="640"/>
        <w:rPr>
          <w:rFonts w:hint="eastAsia" w:ascii="仿宋_GB2312" w:eastAsia="仿宋_GB2312"/>
          <w:color w:val="000000"/>
          <w:kern w:val="44"/>
          <w:sz w:val="32"/>
          <w:szCs w:val="32"/>
          <w:highlight w:val="none"/>
        </w:rPr>
      </w:pPr>
      <w:r>
        <w:rPr>
          <w:rFonts w:hint="eastAsia" w:ascii="仿宋_GB2312" w:eastAsia="仿宋_GB2312" w:cs="仿宋_GB2312"/>
          <w:color w:val="000000"/>
          <w:sz w:val="32"/>
          <w:szCs w:val="32"/>
          <w:highlight w:val="none"/>
          <w:lang w:bidi="ar"/>
        </w:rPr>
        <w:t>预期</w:t>
      </w:r>
      <w:r>
        <w:rPr>
          <w:rFonts w:hint="eastAsia" w:ascii="仿宋_GB2312" w:eastAsia="仿宋_GB2312"/>
          <w:color w:val="000000"/>
          <w:kern w:val="44"/>
          <w:sz w:val="32"/>
          <w:szCs w:val="32"/>
          <w:highlight w:val="none"/>
        </w:rPr>
        <w:t>质量指标为区人大</w:t>
      </w:r>
      <w:r>
        <w:rPr>
          <w:rFonts w:hint="eastAsia" w:ascii="仿宋_GB2312" w:eastAsia="仿宋_GB2312"/>
          <w:color w:val="000000"/>
          <w:kern w:val="44"/>
          <w:sz w:val="32"/>
          <w:szCs w:val="32"/>
          <w:highlight w:val="none"/>
          <w:lang w:val="en-US" w:eastAsia="zh-CN"/>
        </w:rPr>
        <w:t>代表</w:t>
      </w:r>
      <w:r>
        <w:rPr>
          <w:rFonts w:hint="eastAsia" w:ascii="仿宋_GB2312" w:eastAsia="仿宋_GB2312"/>
          <w:color w:val="000000"/>
          <w:kern w:val="44"/>
          <w:sz w:val="32"/>
          <w:szCs w:val="32"/>
          <w:highlight w:val="none"/>
        </w:rPr>
        <w:t>会议参与度100%、会议覆盖率100%。</w:t>
      </w:r>
    </w:p>
    <w:p>
      <w:pPr>
        <w:spacing w:line="360" w:lineRule="auto"/>
        <w:ind w:firstLine="640"/>
        <w:rPr>
          <w:rFonts w:ascii="仿宋_GB2312" w:eastAsia="仿宋_GB2312" w:cs="仿宋_GB2312"/>
          <w:color w:val="000000"/>
          <w:sz w:val="32"/>
          <w:szCs w:val="32"/>
          <w:highlight w:val="none"/>
          <w:lang w:bidi="ar"/>
        </w:rPr>
      </w:pPr>
      <w:r>
        <w:rPr>
          <w:rFonts w:hint="eastAsia" w:ascii="仿宋_GB2312" w:eastAsia="仿宋_GB2312" w:cs="仿宋_GB2312"/>
          <w:b/>
          <w:bCs/>
          <w:color w:val="000000"/>
          <w:sz w:val="32"/>
          <w:szCs w:val="32"/>
          <w:highlight w:val="none"/>
          <w:lang w:bidi="ar"/>
        </w:rPr>
        <w:t>通过综合分析</w:t>
      </w:r>
      <w:r>
        <w:rPr>
          <w:rFonts w:hint="eastAsia" w:ascii="仿宋_GB2312" w:eastAsia="仿宋_GB2312" w:cs="仿宋_GB2312"/>
          <w:color w:val="000000"/>
          <w:sz w:val="32"/>
          <w:szCs w:val="32"/>
          <w:highlight w:val="none"/>
          <w:lang w:bidi="ar"/>
        </w:rPr>
        <w:t>，</w:t>
      </w:r>
      <w:bookmarkStart w:id="25" w:name="_Hlk66182103"/>
      <w:r>
        <w:rPr>
          <w:rFonts w:hint="eastAsia" w:ascii="仿宋_GB2312" w:eastAsia="仿宋_GB2312" w:cs="仿宋_GB2312"/>
          <w:color w:val="000000"/>
          <w:sz w:val="32"/>
          <w:szCs w:val="32"/>
          <w:highlight w:val="none"/>
          <w:lang w:bidi="ar"/>
        </w:rPr>
        <w:t>202</w:t>
      </w:r>
      <w:r>
        <w:rPr>
          <w:rFonts w:hint="eastAsia" w:ascii="仿宋_GB2312" w:eastAsia="仿宋_GB2312" w:cs="仿宋_GB2312"/>
          <w:color w:val="000000"/>
          <w:sz w:val="32"/>
          <w:szCs w:val="32"/>
          <w:highlight w:val="none"/>
          <w:lang w:val="en-US" w:eastAsia="zh-CN" w:bidi="ar"/>
        </w:rPr>
        <w:t>4</w:t>
      </w:r>
      <w:r>
        <w:rPr>
          <w:rFonts w:hint="eastAsia" w:ascii="仿宋_GB2312" w:eastAsia="仿宋_GB2312" w:cs="仿宋_GB2312"/>
          <w:color w:val="000000"/>
          <w:sz w:val="32"/>
          <w:szCs w:val="32"/>
          <w:highlight w:val="none"/>
          <w:lang w:bidi="ar"/>
        </w:rPr>
        <w:t>年</w:t>
      </w:r>
      <w:r>
        <w:rPr>
          <w:rFonts w:hint="eastAsia" w:ascii="仿宋_GB2312" w:eastAsia="仿宋_GB2312" w:cs="仿宋_GB2312"/>
          <w:color w:val="000000"/>
          <w:sz w:val="32"/>
          <w:szCs w:val="32"/>
          <w:highlight w:val="none"/>
          <w:lang w:val="en-US" w:eastAsia="zh-CN" w:bidi="ar"/>
        </w:rPr>
        <w:t>1</w:t>
      </w:r>
      <w:r>
        <w:rPr>
          <w:rFonts w:hint="eastAsia" w:ascii="仿宋_GB2312" w:eastAsia="仿宋_GB2312" w:cs="仿宋_GB2312"/>
          <w:color w:val="000000"/>
          <w:sz w:val="32"/>
          <w:szCs w:val="32"/>
          <w:highlight w:val="none"/>
          <w:lang w:bidi="ar"/>
        </w:rPr>
        <w:t>月</w:t>
      </w:r>
      <w:r>
        <w:rPr>
          <w:rFonts w:hint="eastAsia" w:ascii="仿宋_GB2312" w:eastAsia="仿宋_GB2312" w:cs="仿宋_GB2312"/>
          <w:color w:val="000000"/>
          <w:sz w:val="32"/>
          <w:szCs w:val="32"/>
          <w:highlight w:val="none"/>
          <w:lang w:val="en-US" w:eastAsia="zh-CN" w:bidi="ar"/>
        </w:rPr>
        <w:t>8</w:t>
      </w:r>
      <w:r>
        <w:rPr>
          <w:rFonts w:hint="eastAsia" w:ascii="仿宋_GB2312" w:eastAsia="仿宋_GB2312" w:cs="仿宋_GB2312"/>
          <w:color w:val="000000"/>
          <w:sz w:val="32"/>
          <w:szCs w:val="32"/>
          <w:highlight w:val="none"/>
          <w:lang w:bidi="ar"/>
        </w:rPr>
        <w:t>日至</w:t>
      </w:r>
      <w:r>
        <w:rPr>
          <w:rFonts w:hint="eastAsia" w:ascii="仿宋_GB2312" w:eastAsia="仿宋_GB2312" w:cs="仿宋_GB2312"/>
          <w:color w:val="000000"/>
          <w:sz w:val="32"/>
          <w:szCs w:val="32"/>
          <w:highlight w:val="none"/>
          <w:lang w:val="en-US" w:eastAsia="zh-CN" w:bidi="ar"/>
        </w:rPr>
        <w:t>11</w:t>
      </w:r>
      <w:r>
        <w:rPr>
          <w:rFonts w:hint="eastAsia" w:ascii="仿宋_GB2312" w:eastAsia="仿宋_GB2312" w:cs="仿宋_GB2312"/>
          <w:color w:val="000000"/>
          <w:sz w:val="32"/>
          <w:szCs w:val="32"/>
          <w:highlight w:val="none"/>
          <w:lang w:bidi="ar"/>
        </w:rPr>
        <w:t>日，各项结果均符合预期。</w:t>
      </w:r>
    </w:p>
    <w:bookmarkEnd w:id="25"/>
    <w:p>
      <w:pPr>
        <w:spacing w:line="360" w:lineRule="auto"/>
        <w:ind w:firstLine="643"/>
        <w:rPr>
          <w:rFonts w:ascii="仿宋" w:hAnsi="仿宋" w:eastAsia="仿宋" w:cs="仿宋"/>
          <w:b/>
          <w:bCs/>
          <w:color w:val="000000"/>
          <w:kern w:val="0"/>
          <w:sz w:val="32"/>
          <w:szCs w:val="32"/>
          <w:highlight w:val="none"/>
        </w:rPr>
      </w:pPr>
      <w:bookmarkStart w:id="26" w:name="_Toc20306"/>
      <w:r>
        <w:rPr>
          <w:rFonts w:hint="eastAsia" w:ascii="仿宋" w:hAnsi="仿宋" w:eastAsia="仿宋" w:cs="仿宋"/>
          <w:b/>
          <w:bCs/>
          <w:color w:val="000000"/>
          <w:kern w:val="0"/>
          <w:sz w:val="32"/>
          <w:szCs w:val="32"/>
          <w:highlight w:val="none"/>
        </w:rPr>
        <w:t>3.产出时效分析</w:t>
      </w:r>
      <w:bookmarkEnd w:id="26"/>
    </w:p>
    <w:p>
      <w:pPr>
        <w:spacing w:line="360" w:lineRule="auto"/>
        <w:ind w:firstLine="640"/>
        <w:rPr>
          <w:rFonts w:ascii="仿宋" w:hAnsi="仿宋" w:eastAsia="仿宋" w:cs="仿宋"/>
          <w:color w:val="000000"/>
          <w:kern w:val="0"/>
          <w:sz w:val="32"/>
          <w:szCs w:val="32"/>
          <w:highlight w:val="none"/>
        </w:rPr>
      </w:pPr>
      <w:r>
        <w:rPr>
          <w:rFonts w:hint="eastAsia" w:ascii="仿宋_GB2312" w:eastAsia="仿宋_GB2312"/>
          <w:color w:val="000000"/>
          <w:kern w:val="44"/>
          <w:sz w:val="32"/>
          <w:szCs w:val="32"/>
          <w:highlight w:val="none"/>
        </w:rPr>
        <w:t>截至202</w:t>
      </w:r>
      <w:r>
        <w:rPr>
          <w:rFonts w:hint="eastAsia" w:ascii="仿宋_GB2312" w:eastAsia="仿宋_GB2312"/>
          <w:color w:val="000000"/>
          <w:kern w:val="44"/>
          <w:sz w:val="32"/>
          <w:szCs w:val="32"/>
          <w:highlight w:val="none"/>
          <w:lang w:val="en-US" w:eastAsia="zh-CN"/>
        </w:rPr>
        <w:t>4</w:t>
      </w:r>
      <w:r>
        <w:rPr>
          <w:rFonts w:hint="eastAsia" w:ascii="仿宋_GB2312" w:eastAsia="仿宋_GB2312"/>
          <w:color w:val="000000"/>
          <w:kern w:val="44"/>
          <w:sz w:val="32"/>
          <w:szCs w:val="32"/>
          <w:highlight w:val="none"/>
        </w:rPr>
        <w:t>年</w:t>
      </w:r>
      <w:r>
        <w:rPr>
          <w:rFonts w:hint="eastAsia" w:ascii="仿宋_GB2312" w:eastAsia="仿宋_GB2312"/>
          <w:color w:val="000000"/>
          <w:kern w:val="44"/>
          <w:sz w:val="32"/>
          <w:szCs w:val="32"/>
          <w:highlight w:val="none"/>
          <w:lang w:val="en-US" w:eastAsia="zh-CN"/>
        </w:rPr>
        <w:t>1</w:t>
      </w:r>
      <w:r>
        <w:rPr>
          <w:rFonts w:hint="eastAsia" w:ascii="仿宋_GB2312" w:eastAsia="仿宋_GB2312"/>
          <w:color w:val="000000"/>
          <w:kern w:val="44"/>
          <w:sz w:val="32"/>
          <w:szCs w:val="32"/>
          <w:highlight w:val="none"/>
        </w:rPr>
        <w:t>月</w:t>
      </w:r>
      <w:r>
        <w:rPr>
          <w:rFonts w:hint="eastAsia" w:ascii="仿宋_GB2312" w:eastAsia="仿宋_GB2312"/>
          <w:color w:val="000000"/>
          <w:kern w:val="44"/>
          <w:sz w:val="32"/>
          <w:szCs w:val="32"/>
          <w:highlight w:val="none"/>
          <w:lang w:val="en-US" w:eastAsia="zh-CN"/>
        </w:rPr>
        <w:t>11</w:t>
      </w:r>
      <w:r>
        <w:rPr>
          <w:rFonts w:hint="eastAsia" w:ascii="仿宋_GB2312" w:eastAsia="仿宋_GB2312"/>
          <w:color w:val="000000"/>
          <w:kern w:val="44"/>
          <w:sz w:val="32"/>
          <w:szCs w:val="32"/>
          <w:highlight w:val="none"/>
        </w:rPr>
        <w:t>日，该项目完成。</w:t>
      </w:r>
    </w:p>
    <w:p>
      <w:pPr>
        <w:spacing w:line="360" w:lineRule="auto"/>
        <w:ind w:firstLine="640"/>
        <w:rPr>
          <w:rFonts w:ascii="仿宋_GB2312" w:eastAsia="仿宋_GB2312" w:cs="仿宋_GB2312"/>
          <w:color w:val="000000"/>
          <w:sz w:val="32"/>
          <w:szCs w:val="32"/>
          <w:lang w:bidi="ar"/>
        </w:rPr>
      </w:pPr>
      <w:r>
        <w:rPr>
          <w:rFonts w:hint="eastAsia" w:ascii="仿宋_GB2312" w:eastAsia="仿宋_GB2312" w:cs="仿宋_GB2312"/>
          <w:b/>
          <w:bCs/>
          <w:color w:val="000000"/>
          <w:sz w:val="32"/>
          <w:szCs w:val="32"/>
          <w:lang w:bidi="ar"/>
        </w:rPr>
        <w:t>通过综合分析，</w:t>
      </w:r>
      <w:r>
        <w:rPr>
          <w:rFonts w:hint="eastAsia" w:ascii="仿宋_GB2312" w:eastAsia="仿宋_GB2312" w:cs="仿宋_GB2312"/>
          <w:color w:val="000000"/>
          <w:sz w:val="32"/>
          <w:szCs w:val="32"/>
          <w:lang w:bidi="ar"/>
        </w:rPr>
        <w:t>项目完成时间符合预期目标</w:t>
      </w:r>
      <w:r>
        <w:rPr>
          <w:rFonts w:hint="eastAsia" w:ascii="仿宋_GB2312" w:eastAsia="仿宋_GB2312"/>
          <w:color w:val="000000"/>
          <w:kern w:val="44"/>
          <w:sz w:val="32"/>
          <w:szCs w:val="32"/>
        </w:rPr>
        <w:t>。</w:t>
      </w:r>
    </w:p>
    <w:p>
      <w:pPr>
        <w:spacing w:line="360" w:lineRule="auto"/>
        <w:ind w:firstLine="643"/>
        <w:rPr>
          <w:rFonts w:ascii="仿宋" w:hAnsi="仿宋" w:eastAsia="仿宋" w:cs="仿宋"/>
          <w:b/>
          <w:bCs/>
          <w:color w:val="000000"/>
          <w:kern w:val="0"/>
          <w:sz w:val="32"/>
          <w:szCs w:val="32"/>
        </w:rPr>
      </w:pPr>
      <w:bookmarkStart w:id="27" w:name="_Toc13529"/>
      <w:r>
        <w:rPr>
          <w:rFonts w:hint="eastAsia" w:ascii="仿宋" w:hAnsi="仿宋" w:eastAsia="仿宋" w:cs="仿宋"/>
          <w:b/>
          <w:bCs/>
          <w:color w:val="000000"/>
          <w:kern w:val="0"/>
          <w:sz w:val="32"/>
          <w:szCs w:val="32"/>
        </w:rPr>
        <w:t>4.产出成本分析</w:t>
      </w:r>
      <w:bookmarkEnd w:id="27"/>
    </w:p>
    <w:p>
      <w:pPr>
        <w:spacing w:line="360" w:lineRule="auto"/>
        <w:ind w:firstLine="640"/>
        <w:rPr>
          <w:rFonts w:ascii="仿宋" w:hAnsi="仿宋" w:eastAsia="仿宋" w:cs="仿宋"/>
          <w:color w:val="000000"/>
          <w:kern w:val="0"/>
          <w:sz w:val="32"/>
          <w:szCs w:val="32"/>
        </w:rPr>
      </w:pPr>
      <w:r>
        <w:rPr>
          <w:rFonts w:hint="eastAsia" w:ascii="仿宋" w:hAnsi="仿宋" w:eastAsia="仿宋" w:cs="仿宋"/>
          <w:color w:val="000000"/>
          <w:kern w:val="0"/>
          <w:sz w:val="32"/>
          <w:szCs w:val="32"/>
        </w:rPr>
        <w:t>计划总成本控制数为</w:t>
      </w:r>
      <w:r>
        <w:rPr>
          <w:rFonts w:hint="eastAsia" w:ascii="仿宋_GB2312" w:eastAsia="仿宋_GB2312"/>
          <w:bCs/>
          <w:kern w:val="44"/>
          <w:sz w:val="32"/>
          <w:szCs w:val="32"/>
          <w:lang w:val="en-US" w:eastAsia="zh-CN"/>
        </w:rPr>
        <w:t>178.55</w:t>
      </w:r>
      <w:r>
        <w:rPr>
          <w:rFonts w:hint="eastAsia" w:ascii="仿宋_GB2312" w:eastAsia="仿宋_GB2312"/>
          <w:bCs/>
          <w:kern w:val="44"/>
          <w:sz w:val="32"/>
          <w:szCs w:val="32"/>
        </w:rPr>
        <w:t>万元，实际支出</w:t>
      </w:r>
      <w:r>
        <w:rPr>
          <w:rFonts w:hint="eastAsia" w:ascii="仿宋_GB2312" w:eastAsia="仿宋_GB2312"/>
          <w:bCs/>
          <w:kern w:val="44"/>
          <w:sz w:val="32"/>
          <w:szCs w:val="32"/>
          <w:lang w:val="en-US" w:eastAsia="zh-CN"/>
        </w:rPr>
        <w:t>178.55</w:t>
      </w:r>
      <w:r>
        <w:rPr>
          <w:rFonts w:hint="eastAsia" w:ascii="仿宋_GB2312" w:eastAsia="仿宋_GB2312"/>
          <w:bCs/>
          <w:kern w:val="44"/>
          <w:sz w:val="32"/>
          <w:szCs w:val="32"/>
        </w:rPr>
        <w:t>万元。</w:t>
      </w:r>
    </w:p>
    <w:p>
      <w:pPr>
        <w:spacing w:line="360" w:lineRule="auto"/>
        <w:ind w:firstLine="640"/>
        <w:rPr>
          <w:rFonts w:ascii="仿宋_GB2312" w:eastAsia="仿宋_GB2312" w:cs="仿宋_GB2312"/>
          <w:sz w:val="32"/>
          <w:szCs w:val="32"/>
          <w:lang w:bidi="ar"/>
        </w:rPr>
      </w:pPr>
      <w:r>
        <w:rPr>
          <w:rFonts w:hint="eastAsia" w:ascii="仿宋_GB2312" w:eastAsia="仿宋_GB2312" w:cs="仿宋_GB2312"/>
          <w:b/>
          <w:bCs/>
          <w:sz w:val="32"/>
          <w:szCs w:val="32"/>
          <w:lang w:bidi="ar"/>
        </w:rPr>
        <w:t>通过综合分析，</w:t>
      </w:r>
      <w:r>
        <w:rPr>
          <w:rFonts w:hint="eastAsia" w:ascii="仿宋_GB2312" w:eastAsia="仿宋_GB2312" w:cs="仿宋_GB2312"/>
          <w:sz w:val="32"/>
          <w:szCs w:val="32"/>
          <w:lang w:bidi="ar"/>
        </w:rPr>
        <w:t>实际执行与计划</w:t>
      </w:r>
      <w:r>
        <w:rPr>
          <w:rFonts w:hint="eastAsia" w:ascii="仿宋_GB2312" w:eastAsia="仿宋_GB2312" w:cs="仿宋_GB2312"/>
          <w:sz w:val="32"/>
          <w:szCs w:val="32"/>
          <w:lang w:val="en-US" w:eastAsia="zh-CN" w:bidi="ar"/>
        </w:rPr>
        <w:t>相差0</w:t>
      </w:r>
      <w:r>
        <w:rPr>
          <w:rFonts w:hint="eastAsia" w:ascii="仿宋_GB2312" w:eastAsia="仿宋_GB2312" w:cs="仿宋_GB2312"/>
          <w:sz w:val="32"/>
          <w:szCs w:val="32"/>
          <w:lang w:bidi="ar"/>
        </w:rPr>
        <w:t>万元。</w:t>
      </w:r>
    </w:p>
    <w:p>
      <w:pPr>
        <w:spacing w:line="360" w:lineRule="auto"/>
        <w:ind w:firstLine="643"/>
        <w:outlineLvl w:val="0"/>
        <w:rPr>
          <w:rFonts w:ascii="仿宋" w:hAnsi="仿宋" w:eastAsia="仿宋" w:cs="仿宋"/>
          <w:b/>
          <w:color w:val="000000"/>
          <w:kern w:val="0"/>
          <w:sz w:val="32"/>
          <w:szCs w:val="32"/>
        </w:rPr>
      </w:pPr>
      <w:bookmarkStart w:id="28" w:name="_Toc3259"/>
      <w:bookmarkStart w:id="29" w:name="_Toc700"/>
      <w:r>
        <w:rPr>
          <w:rFonts w:hint="eastAsia" w:ascii="仿宋" w:hAnsi="仿宋" w:eastAsia="仿宋" w:cs="仿宋"/>
          <w:b/>
          <w:color w:val="000000"/>
          <w:kern w:val="0"/>
          <w:sz w:val="32"/>
          <w:szCs w:val="32"/>
        </w:rPr>
        <w:t>（四）项目效益情况分析</w:t>
      </w:r>
      <w:bookmarkEnd w:id="28"/>
      <w:bookmarkEnd w:id="29"/>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1.项目实施效益分析</w:t>
      </w:r>
    </w:p>
    <w:p>
      <w:pPr>
        <w:spacing w:line="360" w:lineRule="auto"/>
        <w:ind w:firstLine="640"/>
        <w:rPr>
          <w:rFonts w:ascii="仿宋_GB2312" w:eastAsia="仿宋_GB2312" w:cs="仿宋_GB2312"/>
          <w:color w:val="0000FF"/>
          <w:sz w:val="32"/>
          <w:szCs w:val="32"/>
          <w:lang w:bidi="ar"/>
        </w:rPr>
      </w:pPr>
      <w:r>
        <w:rPr>
          <w:rFonts w:hint="eastAsia" w:ascii="仿宋_GB2312" w:hAnsi="仿宋_GB2312" w:eastAsia="仿宋_GB2312" w:cs="仿宋_GB2312"/>
          <w:sz w:val="32"/>
          <w:szCs w:val="32"/>
        </w:rPr>
        <w:t>召开区六届人大</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次会议，是推进全面依法治区的重要制度平台，有利于保证全区人民当家作主，有利于动员全区人民积极参与全区经济社会建设，有利于大力弘扬社会主义法治精神。有利于人大及其常委会依法履行职责，实现全区各项工作法治化。</w:t>
      </w:r>
    </w:p>
    <w:p>
      <w:pPr>
        <w:spacing w:line="360" w:lineRule="auto"/>
        <w:ind w:firstLine="643"/>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2.项目满意度分析</w:t>
      </w:r>
    </w:p>
    <w:p>
      <w:pPr>
        <w:spacing w:line="360" w:lineRule="auto"/>
        <w:ind w:firstLine="640"/>
        <w:rPr>
          <w:rFonts w:hint="eastAsia" w:ascii="仿宋_GB2312" w:hAnsi="仿宋" w:eastAsia="仿宋_GB2312" w:cs="仿宋"/>
          <w:color w:val="000000"/>
          <w:kern w:val="0"/>
          <w:sz w:val="32"/>
          <w:szCs w:val="32"/>
        </w:rPr>
      </w:pPr>
      <w:r>
        <w:rPr>
          <w:rFonts w:hint="eastAsia" w:ascii="仿宋_GB2312" w:hAnsi="仿宋" w:eastAsia="仿宋_GB2312" w:cs="仿宋"/>
          <w:color w:val="000000"/>
          <w:kern w:val="0"/>
          <w:sz w:val="32"/>
          <w:szCs w:val="32"/>
        </w:rPr>
        <w:t>对参会代表进行了满意度调查问卷及总结，均认为本次人代会体现了全过程人民民主，充分体现了发扬民主和严格依法办事的有机统一。</w:t>
      </w:r>
    </w:p>
    <w:p>
      <w:pPr>
        <w:spacing w:line="360" w:lineRule="auto"/>
        <w:ind w:firstLine="640"/>
        <w:rPr>
          <w:rFonts w:hint="eastAsia" w:ascii="仿宋_GB2312" w:hAnsi="仿宋" w:eastAsia="仿宋_GB2312" w:cs="仿宋"/>
          <w:color w:val="000000"/>
          <w:kern w:val="0"/>
          <w:sz w:val="32"/>
          <w:szCs w:val="32"/>
        </w:rPr>
      </w:pPr>
      <w:r>
        <w:rPr>
          <w:rFonts w:hint="eastAsia" w:ascii="仿宋_GB2312" w:hAnsi="仿宋" w:eastAsia="仿宋_GB2312" w:cs="仿宋"/>
          <w:b/>
          <w:bCs/>
          <w:color w:val="000000"/>
          <w:kern w:val="0"/>
          <w:sz w:val="32"/>
          <w:szCs w:val="32"/>
        </w:rPr>
        <w:t>通过综合分析，</w:t>
      </w:r>
      <w:r>
        <w:rPr>
          <w:rFonts w:hint="eastAsia" w:ascii="仿宋_GB2312" w:hAnsi="仿宋" w:eastAsia="仿宋_GB2312" w:cs="仿宋"/>
          <w:color w:val="000000"/>
          <w:kern w:val="0"/>
          <w:sz w:val="32"/>
          <w:szCs w:val="32"/>
        </w:rPr>
        <w:t>项目单位开展了满意度调查，但调查的方式方法还需进一步明确细化。</w:t>
      </w:r>
    </w:p>
    <w:p>
      <w:pPr>
        <w:spacing w:line="360" w:lineRule="auto"/>
        <w:ind w:firstLine="643"/>
        <w:outlineLvl w:val="0"/>
        <w:rPr>
          <w:rFonts w:ascii="仿宋" w:hAnsi="仿宋" w:eastAsia="仿宋" w:cs="仿宋"/>
          <w:b/>
          <w:color w:val="000000"/>
          <w:kern w:val="0"/>
          <w:sz w:val="32"/>
          <w:szCs w:val="32"/>
        </w:rPr>
      </w:pPr>
      <w:bookmarkStart w:id="30" w:name="_Toc2158"/>
      <w:bookmarkStart w:id="31" w:name="_Toc15333"/>
      <w:r>
        <w:rPr>
          <w:rFonts w:hint="eastAsia" w:ascii="仿宋" w:hAnsi="仿宋" w:eastAsia="仿宋" w:cs="仿宋"/>
          <w:b/>
          <w:color w:val="000000"/>
          <w:kern w:val="0"/>
          <w:sz w:val="32"/>
          <w:szCs w:val="32"/>
        </w:rPr>
        <w:t>五、主要经验及做法、存在的问题及原因分析</w:t>
      </w:r>
      <w:bookmarkEnd w:id="30"/>
      <w:bookmarkEnd w:id="31"/>
    </w:p>
    <w:p>
      <w:pPr>
        <w:spacing w:line="360" w:lineRule="auto"/>
        <w:ind w:firstLine="643"/>
        <w:outlineLvl w:val="0"/>
        <w:rPr>
          <w:rFonts w:ascii="仿宋" w:hAnsi="仿宋" w:eastAsia="仿宋" w:cs="仿宋"/>
          <w:b/>
          <w:color w:val="000000"/>
          <w:kern w:val="0"/>
          <w:sz w:val="32"/>
          <w:szCs w:val="32"/>
        </w:rPr>
      </w:pPr>
      <w:bookmarkStart w:id="32" w:name="_Toc6037"/>
      <w:bookmarkStart w:id="33" w:name="_Toc28072"/>
      <w:r>
        <w:rPr>
          <w:rFonts w:hint="eastAsia" w:ascii="仿宋" w:hAnsi="仿宋" w:eastAsia="仿宋" w:cs="仿宋"/>
          <w:b/>
          <w:color w:val="000000"/>
          <w:kern w:val="0"/>
          <w:sz w:val="32"/>
          <w:szCs w:val="32"/>
        </w:rPr>
        <w:t>（一）主要经验及做法</w:t>
      </w:r>
      <w:bookmarkEnd w:id="32"/>
      <w:bookmarkEnd w:id="33"/>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1.提前动手，早作安排。结合换届后的新情况 ，提早谋划，针对新代表新情况，</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月就成立秘书处，在秘书处领导下，各工作组制定了工作方案，办公室起草向区委的请示，初步拟定会议议程草案、各项名单草案，经常委会党组研究后提请了区委常委会研究通过，体现了党的领导作用。</w:t>
      </w:r>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2.加强领导，定期调度。</w:t>
      </w:r>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大会秘书长每周召开协调推进会，调度各工作组工作进展，对推进过程中的问题困难，结合换届后的实际，提出解决办法，统筹人代会筹备工作全面落实。</w:t>
      </w:r>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3.广泛宣传，创新形式。</w:t>
      </w:r>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秘书处宣传组结合网络传播新形势，推出代表履职</w:t>
      </w:r>
      <w:r>
        <w:rPr>
          <w:rFonts w:hint="eastAsia" w:ascii="仿宋_GB2312" w:hAnsi="仿宋_GB2312" w:eastAsia="仿宋_GB2312" w:cs="仿宋_GB2312"/>
          <w:color w:val="000000"/>
          <w:sz w:val="32"/>
          <w:szCs w:val="32"/>
          <w:lang w:val="en-US" w:eastAsia="zh-CN"/>
        </w:rPr>
        <w:t>记录</w:t>
      </w:r>
      <w:r>
        <w:rPr>
          <w:rFonts w:hint="eastAsia" w:ascii="仿宋_GB2312" w:hAnsi="仿宋_GB2312" w:eastAsia="仿宋_GB2312" w:cs="仿宋_GB2312"/>
          <w:color w:val="000000"/>
          <w:sz w:val="32"/>
          <w:szCs w:val="32"/>
        </w:rPr>
        <w:t>，通过第一人称的视角，跟踪拍摄代表人代会的全程纪实，真实反映代表依法履职的实际情况，为选民了解代表工作、了解人代会工作提供了展现的平台，有效促进工作开展。</w:t>
      </w:r>
    </w:p>
    <w:p>
      <w:pPr>
        <w:spacing w:line="360" w:lineRule="auto"/>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4.排查隐患，化解矛盾。</w:t>
      </w:r>
    </w:p>
    <w:p>
      <w:pPr>
        <w:spacing w:line="360" w:lineRule="auto"/>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由区委政法部门牵头，整合公、检、法、司、信访、网信、维稳等多方面力量，制定周密详细的应急处置工作预案，主动查找容易引发社会矛盾和影响人代会的各种潜在性、苗头性、倾向性问题，做好大会的安全保障工作，在做好防疫的情况下，圆满完成了大会各项议程。</w:t>
      </w:r>
    </w:p>
    <w:p>
      <w:pPr>
        <w:spacing w:line="360" w:lineRule="auto"/>
        <w:ind w:firstLine="643"/>
        <w:outlineLvl w:val="0"/>
        <w:rPr>
          <w:rFonts w:hint="eastAsia" w:ascii="仿宋" w:hAnsi="仿宋" w:eastAsia="仿宋" w:cs="仿宋"/>
          <w:b/>
          <w:color w:val="000000"/>
          <w:kern w:val="0"/>
          <w:sz w:val="32"/>
          <w:szCs w:val="32"/>
        </w:rPr>
      </w:pPr>
      <w:bookmarkStart w:id="34" w:name="_Toc25753"/>
      <w:bookmarkStart w:id="35" w:name="_Toc8843"/>
      <w:r>
        <w:rPr>
          <w:rFonts w:hint="eastAsia" w:ascii="仿宋" w:hAnsi="仿宋" w:eastAsia="仿宋" w:cs="仿宋"/>
          <w:b/>
          <w:color w:val="000000"/>
          <w:kern w:val="0"/>
          <w:sz w:val="32"/>
          <w:szCs w:val="32"/>
        </w:rPr>
        <w:t>（二）存在的问题及原因分析</w:t>
      </w:r>
      <w:bookmarkEnd w:id="34"/>
      <w:bookmarkEnd w:id="35"/>
    </w:p>
    <w:p>
      <w:pPr>
        <w:spacing w:line="360" w:lineRule="auto"/>
        <w:ind w:firstLine="643"/>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1.决策方面</w:t>
      </w:r>
    </w:p>
    <w:p>
      <w:pPr>
        <w:spacing w:line="360" w:lineRule="auto"/>
        <w:ind w:firstLine="640"/>
        <w:rPr>
          <w:rFonts w:ascii="仿宋_GB2312" w:eastAsia="仿宋_GB2312" w:cs="仿宋_GB2312"/>
          <w:b/>
          <w:bCs/>
          <w:sz w:val="32"/>
          <w:szCs w:val="32"/>
          <w:lang w:bidi="ar"/>
        </w:rPr>
      </w:pPr>
      <w:r>
        <w:rPr>
          <w:rFonts w:hint="eastAsia" w:ascii="仿宋_GB2312" w:eastAsia="仿宋_GB2312"/>
          <w:bCs/>
          <w:kern w:val="44"/>
          <w:sz w:val="32"/>
          <w:szCs w:val="32"/>
        </w:rPr>
        <w:t>可行性分析或需求调研不完善，针对人代会全过程准备还不够充分，根据</w:t>
      </w:r>
      <w:r>
        <w:rPr>
          <w:rFonts w:hint="eastAsia" w:ascii="仿宋_GB2312" w:eastAsia="仿宋_GB2312"/>
          <w:bCs/>
          <w:kern w:val="44"/>
          <w:sz w:val="32"/>
          <w:szCs w:val="32"/>
          <w:lang w:val="en-US" w:eastAsia="zh-CN"/>
        </w:rPr>
        <w:t>实际情况</w:t>
      </w:r>
      <w:r>
        <w:rPr>
          <w:rFonts w:hint="eastAsia" w:ascii="仿宋_GB2312" w:eastAsia="仿宋_GB2312"/>
          <w:bCs/>
          <w:kern w:val="44"/>
          <w:sz w:val="32"/>
          <w:szCs w:val="32"/>
        </w:rPr>
        <w:t>对大会召开形式、规模的影响，做出两套方案，影响实施效果。</w:t>
      </w:r>
    </w:p>
    <w:p>
      <w:pPr>
        <w:spacing w:line="360" w:lineRule="auto"/>
        <w:ind w:firstLine="643"/>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2.过程方面</w:t>
      </w:r>
    </w:p>
    <w:p>
      <w:pPr>
        <w:spacing w:line="360" w:lineRule="auto"/>
        <w:ind w:firstLine="640"/>
      </w:pPr>
      <w:r>
        <w:rPr>
          <w:rFonts w:hint="eastAsia" w:ascii="仿宋_GB2312" w:eastAsia="仿宋_GB2312"/>
          <w:bCs/>
          <w:kern w:val="44"/>
          <w:sz w:val="32"/>
          <w:szCs w:val="32"/>
        </w:rPr>
        <w:t>（1）在组织各环节时可进一步深化完善。</w:t>
      </w:r>
    </w:p>
    <w:p>
      <w:pPr>
        <w:spacing w:line="360" w:lineRule="auto"/>
        <w:ind w:firstLine="640"/>
        <w:rPr>
          <w:rFonts w:hint="eastAsia" w:ascii="仿宋_GB2312" w:hAnsi="宋体" w:eastAsia="仿宋_GB2312"/>
          <w:snapToGrid w:val="0"/>
          <w:kern w:val="0"/>
          <w:sz w:val="32"/>
          <w:szCs w:val="32"/>
        </w:rPr>
      </w:pPr>
      <w:r>
        <w:rPr>
          <w:rFonts w:hint="eastAsia" w:ascii="仿宋_GB2312" w:hAnsi="宋体" w:eastAsia="仿宋_GB2312"/>
          <w:snapToGrid w:val="0"/>
          <w:kern w:val="0"/>
          <w:sz w:val="32"/>
          <w:szCs w:val="32"/>
        </w:rPr>
        <w:t>（2）需进一步加强督促指导。</w:t>
      </w:r>
    </w:p>
    <w:p>
      <w:pPr>
        <w:spacing w:line="360" w:lineRule="auto"/>
        <w:ind w:firstLine="643"/>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3.效益方面</w:t>
      </w:r>
    </w:p>
    <w:p>
      <w:pPr>
        <w:spacing w:line="360" w:lineRule="auto"/>
        <w:ind w:firstLine="640"/>
        <w:rPr>
          <w:rFonts w:hint="eastAsia" w:ascii="仿宋_GB2312" w:eastAsia="仿宋_GB2312"/>
          <w:bCs/>
          <w:kern w:val="44"/>
          <w:sz w:val="32"/>
          <w:szCs w:val="32"/>
        </w:rPr>
      </w:pPr>
      <w:r>
        <w:rPr>
          <w:rFonts w:hint="eastAsia" w:ascii="仿宋_GB2312" w:eastAsia="仿宋_GB2312"/>
          <w:bCs/>
          <w:kern w:val="44"/>
          <w:sz w:val="32"/>
          <w:szCs w:val="32"/>
        </w:rPr>
        <w:t>效益方面难以从数据上体现。</w:t>
      </w:r>
    </w:p>
    <w:p>
      <w:pPr>
        <w:spacing w:line="360" w:lineRule="auto"/>
        <w:ind w:firstLine="643"/>
        <w:outlineLvl w:val="0"/>
        <w:rPr>
          <w:rFonts w:ascii="仿宋" w:hAnsi="仿宋" w:eastAsia="仿宋" w:cs="仿宋"/>
          <w:b/>
          <w:color w:val="000000"/>
          <w:kern w:val="0"/>
          <w:sz w:val="32"/>
          <w:szCs w:val="32"/>
        </w:rPr>
      </w:pPr>
      <w:bookmarkStart w:id="36" w:name="_Toc15508"/>
      <w:bookmarkStart w:id="37" w:name="_Toc19853"/>
      <w:r>
        <w:rPr>
          <w:rFonts w:hint="eastAsia" w:ascii="仿宋" w:hAnsi="仿宋" w:eastAsia="仿宋" w:cs="仿宋"/>
          <w:b/>
          <w:color w:val="000000"/>
          <w:kern w:val="0"/>
          <w:sz w:val="32"/>
          <w:szCs w:val="32"/>
        </w:rPr>
        <w:t>六、有关建议</w:t>
      </w:r>
      <w:bookmarkEnd w:id="36"/>
      <w:bookmarkEnd w:id="37"/>
    </w:p>
    <w:p>
      <w:pPr>
        <w:spacing w:line="360" w:lineRule="auto"/>
        <w:ind w:firstLine="643"/>
        <w:outlineLvl w:val="0"/>
        <w:rPr>
          <w:rFonts w:ascii="仿宋" w:hAnsi="仿宋" w:eastAsia="仿宋" w:cs="仿宋"/>
          <w:b/>
          <w:color w:val="000000"/>
          <w:kern w:val="0"/>
          <w:sz w:val="32"/>
          <w:szCs w:val="32"/>
        </w:rPr>
      </w:pPr>
      <w:bookmarkStart w:id="38" w:name="_Toc11329"/>
      <w:bookmarkStart w:id="39" w:name="_Toc14068"/>
      <w:r>
        <w:rPr>
          <w:rFonts w:hint="eastAsia" w:ascii="仿宋" w:hAnsi="仿宋" w:eastAsia="仿宋" w:cs="仿宋"/>
          <w:b/>
          <w:color w:val="000000"/>
          <w:kern w:val="0"/>
          <w:sz w:val="32"/>
          <w:szCs w:val="32"/>
        </w:rPr>
        <w:t>（一）项目决策方面</w:t>
      </w:r>
      <w:bookmarkEnd w:id="38"/>
      <w:bookmarkEnd w:id="39"/>
    </w:p>
    <w:p>
      <w:pPr>
        <w:spacing w:line="360" w:lineRule="auto"/>
        <w:ind w:firstLine="640"/>
        <w:rPr>
          <w:rFonts w:ascii="仿宋_GB2312" w:eastAsia="仿宋_GB2312"/>
          <w:bCs/>
          <w:kern w:val="44"/>
          <w:sz w:val="32"/>
          <w:szCs w:val="32"/>
        </w:rPr>
      </w:pPr>
      <w:r>
        <w:rPr>
          <w:rFonts w:hint="eastAsia" w:ascii="仿宋_GB2312" w:eastAsia="仿宋_GB2312"/>
          <w:bCs/>
          <w:kern w:val="44"/>
          <w:sz w:val="32"/>
          <w:szCs w:val="32"/>
        </w:rPr>
        <w:t>疫情形势严峻复杂，对大会筹备工作提出了诸多挑战，大会秘书处工作组要提高预见性，增强主动性，加强应急能力建设，针对大会覆盖面、参与人数规模，重点调查研究，制定出不同形势下的具体方案，规范可行性论证，加强风险识别及防控措施。</w:t>
      </w:r>
    </w:p>
    <w:p>
      <w:pPr>
        <w:spacing w:line="360" w:lineRule="auto"/>
        <w:ind w:firstLine="643"/>
        <w:outlineLvl w:val="0"/>
        <w:rPr>
          <w:rFonts w:ascii="仿宋" w:hAnsi="仿宋" w:eastAsia="仿宋" w:cs="仿宋"/>
          <w:b/>
          <w:color w:val="000000"/>
          <w:kern w:val="0"/>
          <w:sz w:val="32"/>
          <w:szCs w:val="32"/>
        </w:rPr>
      </w:pPr>
      <w:bookmarkStart w:id="40" w:name="_Toc9508"/>
      <w:bookmarkStart w:id="41" w:name="_Toc6219"/>
      <w:r>
        <w:rPr>
          <w:rFonts w:hint="eastAsia" w:ascii="仿宋" w:hAnsi="仿宋" w:eastAsia="仿宋" w:cs="仿宋"/>
          <w:b/>
          <w:color w:val="000000"/>
          <w:kern w:val="0"/>
          <w:sz w:val="32"/>
          <w:szCs w:val="32"/>
        </w:rPr>
        <w:t>（二）项目过程方面</w:t>
      </w:r>
      <w:bookmarkEnd w:id="40"/>
      <w:bookmarkEnd w:id="41"/>
    </w:p>
    <w:p>
      <w:pPr>
        <w:spacing w:line="360" w:lineRule="auto"/>
        <w:ind w:firstLine="640"/>
        <w:rPr>
          <w:rFonts w:ascii="仿宋_GB2312" w:eastAsia="仿宋_GB2312"/>
          <w:bCs/>
          <w:kern w:val="44"/>
          <w:sz w:val="32"/>
          <w:szCs w:val="32"/>
        </w:rPr>
      </w:pPr>
      <w:r>
        <w:rPr>
          <w:rFonts w:hint="eastAsia" w:ascii="仿宋_GB2312" w:eastAsia="仿宋_GB2312"/>
          <w:bCs/>
          <w:kern w:val="44"/>
          <w:sz w:val="32"/>
          <w:szCs w:val="32"/>
        </w:rPr>
        <w:t>1.进一步完善</w:t>
      </w:r>
      <w:r>
        <w:rPr>
          <w:rFonts w:hint="eastAsia" w:ascii="仿宋_GB2312" w:hAnsi="宋体" w:eastAsia="仿宋_GB2312"/>
          <w:sz w:val="32"/>
          <w:szCs w:val="32"/>
        </w:rPr>
        <w:t>实施方案，应全面反映对整个项目从立项、可行性研究等全过程的组织和策划，其中的工作步骤应具体而又明确，以使实施方案具有指导性和可操作性。</w:t>
      </w:r>
    </w:p>
    <w:p>
      <w:pPr>
        <w:spacing w:line="360" w:lineRule="auto"/>
        <w:ind w:firstLine="640"/>
        <w:rPr>
          <w:rFonts w:ascii="仿宋_GB2312" w:eastAsia="仿宋_GB2312"/>
          <w:bCs/>
          <w:kern w:val="44"/>
          <w:sz w:val="32"/>
          <w:szCs w:val="32"/>
        </w:rPr>
      </w:pPr>
      <w:r>
        <w:rPr>
          <w:rFonts w:hint="eastAsia" w:ascii="仿宋_GB2312" w:eastAsia="仿宋_GB2312"/>
          <w:bCs/>
          <w:kern w:val="44"/>
          <w:sz w:val="32"/>
          <w:szCs w:val="32"/>
        </w:rPr>
        <w:t>2.在监管到位的基础上，加强对全体工作人员的指导，对工作任务不同，分别加强指导和培训，确保充分反映领导和指导的作用</w:t>
      </w:r>
      <w:r>
        <w:rPr>
          <w:rFonts w:hint="eastAsia" w:ascii="仿宋_GB2312" w:hAnsi="宋体" w:eastAsia="仿宋_GB2312"/>
          <w:snapToGrid w:val="0"/>
          <w:kern w:val="0"/>
          <w:sz w:val="32"/>
          <w:szCs w:val="32"/>
        </w:rPr>
        <w:t>。</w:t>
      </w:r>
    </w:p>
    <w:p>
      <w:pPr>
        <w:spacing w:line="360" w:lineRule="auto"/>
        <w:ind w:firstLine="643"/>
        <w:outlineLvl w:val="0"/>
        <w:rPr>
          <w:rFonts w:ascii="仿宋" w:hAnsi="仿宋" w:eastAsia="仿宋" w:cs="仿宋"/>
          <w:b/>
          <w:color w:val="000000"/>
          <w:kern w:val="0"/>
          <w:sz w:val="32"/>
          <w:szCs w:val="32"/>
        </w:rPr>
      </w:pPr>
      <w:bookmarkStart w:id="42" w:name="_Toc32044"/>
      <w:bookmarkStart w:id="43" w:name="_Toc24154"/>
      <w:r>
        <w:rPr>
          <w:rFonts w:hint="eastAsia" w:ascii="仿宋" w:hAnsi="仿宋" w:eastAsia="仿宋" w:cs="仿宋"/>
          <w:b/>
          <w:color w:val="000000"/>
          <w:kern w:val="0"/>
          <w:sz w:val="32"/>
          <w:szCs w:val="32"/>
        </w:rPr>
        <w:t>（三）</w:t>
      </w:r>
      <w:bookmarkEnd w:id="42"/>
      <w:bookmarkEnd w:id="43"/>
      <w:bookmarkStart w:id="44" w:name="_Toc1280"/>
      <w:bookmarkStart w:id="45" w:name="_Toc24218"/>
      <w:r>
        <w:rPr>
          <w:rFonts w:hint="eastAsia" w:ascii="仿宋" w:hAnsi="仿宋" w:eastAsia="仿宋" w:cs="仿宋"/>
          <w:b/>
          <w:color w:val="000000"/>
          <w:kern w:val="0"/>
          <w:sz w:val="32"/>
          <w:szCs w:val="32"/>
        </w:rPr>
        <w:t>项目效益方面</w:t>
      </w:r>
      <w:bookmarkEnd w:id="44"/>
      <w:bookmarkEnd w:id="45"/>
    </w:p>
    <w:p>
      <w:pPr>
        <w:spacing w:line="360" w:lineRule="auto"/>
        <w:ind w:firstLine="640"/>
        <w:rPr>
          <w:rFonts w:ascii="仿宋_GB2312" w:eastAsia="仿宋_GB2312"/>
          <w:b/>
          <w:kern w:val="44"/>
          <w:sz w:val="32"/>
          <w:szCs w:val="32"/>
        </w:rPr>
      </w:pPr>
      <w:r>
        <w:rPr>
          <w:rFonts w:hint="eastAsia" w:ascii="仿宋_GB2312" w:eastAsia="仿宋_GB2312"/>
          <w:bCs/>
          <w:kern w:val="44"/>
          <w:sz w:val="32"/>
          <w:szCs w:val="32"/>
        </w:rPr>
        <w:t>针对产生的效益，应用好结果导向，从法律、社会等多维度分析出换届选举的效益，列出细化指标，提高解决问题的指向性、目标性。</w:t>
      </w:r>
    </w:p>
    <w:p>
      <w:pPr>
        <w:spacing w:line="360" w:lineRule="auto"/>
        <w:ind w:firstLine="643"/>
        <w:outlineLvl w:val="0"/>
        <w:rPr>
          <w:rFonts w:ascii="仿宋" w:hAnsi="仿宋" w:eastAsia="仿宋" w:cs="仿宋"/>
          <w:b/>
          <w:color w:val="000000"/>
          <w:kern w:val="0"/>
          <w:sz w:val="32"/>
          <w:szCs w:val="32"/>
        </w:rPr>
      </w:pPr>
      <w:bookmarkStart w:id="46" w:name="_Toc30158"/>
      <w:bookmarkStart w:id="47" w:name="_Toc29854"/>
      <w:r>
        <w:rPr>
          <w:rFonts w:hint="eastAsia" w:ascii="仿宋" w:hAnsi="仿宋" w:eastAsia="仿宋" w:cs="仿宋"/>
          <w:b/>
          <w:color w:val="000000"/>
          <w:kern w:val="0"/>
          <w:sz w:val="32"/>
          <w:szCs w:val="32"/>
        </w:rPr>
        <w:t>七、其他需要说明的问题</w:t>
      </w:r>
      <w:bookmarkEnd w:id="46"/>
      <w:bookmarkEnd w:id="47"/>
    </w:p>
    <w:p>
      <w:pPr>
        <w:ind w:firstLine="480"/>
        <w:rPr>
          <w:rFonts w:hint="eastAsia"/>
        </w:rPr>
      </w:pPr>
      <w:r>
        <w:rPr>
          <w:rFonts w:hint="eastAsia"/>
        </w:rPr>
        <w:t>无</w:t>
      </w:r>
    </w:p>
    <w:p>
      <w:pPr>
        <w:pStyle w:val="2"/>
        <w:rPr>
          <w:rFonts w:hint="eastAsia"/>
        </w:rPr>
      </w:pPr>
    </w:p>
    <w:p>
      <w:pPr>
        <w:pStyle w:val="2"/>
        <w:numPr>
          <w:ilvl w:val="0"/>
          <w:numId w:val="0"/>
        </w:numPr>
        <w:ind w:leftChars="200"/>
        <w:rPr>
          <w:rFonts w:hint="eastAsia" w:eastAsia="黑体"/>
          <w:lang w:val="en-US" w:eastAsia="zh-CN"/>
        </w:rPr>
      </w:pPr>
    </w:p>
    <w:p>
      <w:pPr>
        <w:numPr>
          <w:ilvl w:val="0"/>
          <w:numId w:val="1"/>
        </w:numPr>
        <w:ind w:left="0" w:leftChars="0"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tbl>
      <w:tblPr>
        <w:tblStyle w:val="11"/>
        <w:tblW w:w="116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929"/>
        <w:gridCol w:w="1066"/>
        <w:gridCol w:w="1065"/>
        <w:gridCol w:w="1066"/>
        <w:gridCol w:w="689"/>
        <w:gridCol w:w="1346"/>
        <w:gridCol w:w="1244"/>
        <w:gridCol w:w="372"/>
        <w:gridCol w:w="413"/>
        <w:gridCol w:w="413"/>
        <w:gridCol w:w="240"/>
        <w:gridCol w:w="1067"/>
        <w:gridCol w:w="12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08" w:hRule="atLeast"/>
        </w:trPr>
        <w:tc>
          <w:tcPr>
            <w:tcW w:w="1161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610"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255"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市代表活动和代表联络处一般转移支付经费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1355"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232"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07"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355"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232"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407"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355"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17.24</w:t>
            </w: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32.68</w:t>
            </w: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33.35%</w:t>
            </w: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17.24</w:t>
            </w: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32.68</w:t>
            </w: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33.35%</w:t>
            </w: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355"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1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61"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023"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61" w:type="dxa"/>
            <w:gridSpan w:val="6"/>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为加强市代表工作，市人大每年按照每个联络处5万元、每名代表3400元的标准，直接向区人大办公室拨付经费。按照市财政要求，上述两项经费将由市财政通过转移支付方式拨付各区财政。</w:t>
            </w:r>
          </w:p>
        </w:tc>
        <w:tc>
          <w:tcPr>
            <w:tcW w:w="5023" w:type="dxa"/>
            <w:gridSpan w:val="7"/>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为更好的保障市人大代表履职，为市人大代表参加各项会议购置办公用品及学习材料，进一步提升代表履职水平，增强代表履职能力，强化代表履职担当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00"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161" w:type="dxa"/>
            <w:gridSpan w:val="6"/>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5023" w:type="dxa"/>
            <w:gridSpan w:val="7"/>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92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20"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244"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341" w:type="dxa"/>
            <w:gridSpan w:val="2"/>
            <w:vMerge w:val="restart"/>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92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20"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24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指标1：市代表人数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&gt;=36人</w:t>
            </w:r>
          </w:p>
        </w:tc>
        <w:tc>
          <w:tcPr>
            <w:tcW w:w="124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36人</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41"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w:t>
            </w: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指标1：每名市代表活动经费标准</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&lt;=3400元/人</w:t>
            </w:r>
          </w:p>
        </w:tc>
        <w:tc>
          <w:tcPr>
            <w:tcW w:w="124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3400元/人</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341"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24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当年11月完成</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41"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&lt;=326767.2元</w:t>
            </w:r>
          </w:p>
        </w:tc>
        <w:tc>
          <w:tcPr>
            <w:tcW w:w="124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109038.9元</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4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820"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820"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820"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指标1：提升市代表履职</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244"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341"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820"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2820"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820"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20"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20"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指标1市代表满意度</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244"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341"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20"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29"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20"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4"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41"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7831"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93.34</w:t>
            </w:r>
          </w:p>
        </w:tc>
        <w:tc>
          <w:tcPr>
            <w:tcW w:w="2341"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numPr>
          <w:ilvl w:val="0"/>
          <w:numId w:val="0"/>
        </w:numPr>
        <w:ind w:leftChars="200"/>
        <w:rPr>
          <w:rFonts w:hint="eastAsia" w:ascii="仿宋_GB2312" w:eastAsia="仿宋_GB2312"/>
          <w:sz w:val="28"/>
          <w:szCs w:val="28"/>
          <w:highlight w:val="none"/>
        </w:rPr>
      </w:pPr>
    </w:p>
    <w:tbl>
      <w:tblPr>
        <w:tblStyle w:val="11"/>
        <w:tblW w:w="175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7"/>
        <w:gridCol w:w="1066"/>
        <w:gridCol w:w="1169"/>
        <w:gridCol w:w="1066"/>
        <w:gridCol w:w="1066"/>
        <w:gridCol w:w="959"/>
        <w:gridCol w:w="1364"/>
        <w:gridCol w:w="1346"/>
        <w:gridCol w:w="533"/>
        <w:gridCol w:w="375"/>
        <w:gridCol w:w="413"/>
        <w:gridCol w:w="240"/>
        <w:gridCol w:w="1050"/>
        <w:gridCol w:w="1005"/>
        <w:gridCol w:w="1547"/>
        <w:gridCol w:w="1067"/>
        <w:gridCol w:w="1280"/>
        <w:gridCol w:w="15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2079"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2079"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586"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召开区人民代表大会及活动经费</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624"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083"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624"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08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9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223.3</w:t>
            </w: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178.55</w:t>
            </w: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178.55</w:t>
            </w: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2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223.3</w:t>
            </w: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178.55</w:t>
            </w: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178.55</w:t>
            </w: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2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7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690"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962"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90" w:type="dxa"/>
            <w:gridSpan w:val="6"/>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根据《中华人民共和国地方各级人民代表大会和地方各级人民政府组织法》第十一条“地方各级人民代表大会会议每年至少举行一次”的规定。区财政预算必须经人代会批准通过才能执行。人代会期间，为全体人大代表发放履职补助、为农民代表发放误工补助，为了确保大兴区人民代表大会顺利召开，在宣传、医药、办公、车辆租赁、防控等方面需要投入的经费</w:t>
            </w:r>
          </w:p>
        </w:tc>
        <w:tc>
          <w:tcPr>
            <w:tcW w:w="4962"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以习近平新时代中国特色社会主义思想为指导，深入贯彻落实党的精神，坚持党的领导、人民当家作主、依法治国有机统一，在区委领导下，切实履行宪法和法律的职责，充分发挥民主，保障人大代表依法行使权利。</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80"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90" w:type="dxa"/>
            <w:gridSpan w:val="6"/>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962"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6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91"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64"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34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08"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55" w:type="dxa"/>
            <w:gridSpan w:val="2"/>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6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指标1：代表履职人数</w:t>
            </w:r>
          </w:p>
        </w:tc>
        <w:tc>
          <w:tcPr>
            <w:tcW w:w="1364"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&gt;=322人</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297人</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25人辞去代表</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指标2：会议天数</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&gt;=5天</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4天</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没有选举工作4天</w:t>
            </w: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指标3：会议场次</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&gt;=1场次</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1场次</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指标4：参会人数</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&gt;=600人</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507</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指标1：会议覆盖度</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指标2：会议参与度</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指标1：会议完成时间</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实际1月完成</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&lt;=1785479元</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1785479元</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6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09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6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09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6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09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指标1：人代会通过各项决议及财政预算，保证本地区经济社会稳定发展</w:t>
            </w:r>
          </w:p>
        </w:tc>
        <w:tc>
          <w:tcPr>
            <w:tcW w:w="136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908"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5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09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6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09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6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09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6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9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6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169"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9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指标1：人大代表满意度</w:t>
            </w:r>
          </w:p>
        </w:tc>
        <w:tc>
          <w:tcPr>
            <w:tcW w:w="136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8"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5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6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169"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09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6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08"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8463"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0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97.6</w:t>
            </w:r>
          </w:p>
        </w:tc>
        <w:tc>
          <w:tcPr>
            <w:tcW w:w="2055"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8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pStyle w:val="2"/>
        <w:rPr>
          <w:rFonts w:hint="eastAsia"/>
        </w:rPr>
      </w:pPr>
    </w:p>
    <w:tbl>
      <w:tblPr>
        <w:tblStyle w:val="11"/>
        <w:tblW w:w="146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1066"/>
        <w:gridCol w:w="1184"/>
        <w:gridCol w:w="1066"/>
        <w:gridCol w:w="1066"/>
        <w:gridCol w:w="1066"/>
        <w:gridCol w:w="1346"/>
        <w:gridCol w:w="1306"/>
        <w:gridCol w:w="347"/>
        <w:gridCol w:w="413"/>
        <w:gridCol w:w="413"/>
        <w:gridCol w:w="240"/>
        <w:gridCol w:w="1066"/>
        <w:gridCol w:w="1066"/>
        <w:gridCol w:w="1067"/>
        <w:gridCol w:w="15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2071"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2071"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579"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代表活动经费及代表联系网络费</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72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98"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72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19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6"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98.69%</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9.87</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22.6</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98.69%</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794"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851"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94" w:type="dxa"/>
            <w:gridSpan w:val="6"/>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加强闭会期间区代表小组活动，保障代表依法履职，根据区人大常委会《关于人大代表履职活动经费的管理办法》，每年下拨代表小组年度活动经费。为进一步畅通常委会联系代表、代表联系选民、代表相互交流的即时通讯渠道，推动代表联系选民网络运行机制创新，区人大构建了微信公众平台。</w:t>
            </w:r>
          </w:p>
        </w:tc>
        <w:tc>
          <w:tcPr>
            <w:tcW w:w="4851"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为镇街发放代表活动经费，通过开展活动使镇街代表依法履职，发挥重要作用，通过即时通讯渠道，发布人大工作信息和动态，增强人大宣传效果</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0"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94" w:type="dxa"/>
            <w:gridSpan w:val="6"/>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851"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8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98"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30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6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2" w:type="dxa"/>
            <w:gridSpan w:val="2"/>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8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指标1：代表人数</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&gt;=322人</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297人</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18.45</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25人辞去代表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7"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指标2：网络工作站数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指标3：微信发送信息数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&gt;=1000条</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1200条</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指标1：支付进度</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实际9月完成</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18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指标1：微信平台运营费</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&lt;=210000元</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210000元</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指标2：代表活动经费</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&lt;=19000元</w:t>
            </w: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16000元</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84"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198"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8"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198"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指标1：代表联系选民得到提升</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30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6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8"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198"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8"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8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98"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184"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98"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指标1：代表满意度</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30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6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184"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8"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0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8526"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98.32</w:t>
            </w:r>
          </w:p>
        </w:tc>
        <w:tc>
          <w:tcPr>
            <w:tcW w:w="2132"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spacing w:line="580" w:lineRule="exact"/>
        <w:ind w:firstLine="560" w:firstLineChars="200"/>
        <w:rPr>
          <w:rFonts w:hint="eastAsia" w:ascii="仿宋_GB2312" w:hAnsi="仿宋_GB2312" w:eastAsia="仿宋_GB2312" w:cs="仿宋_GB2312"/>
          <w:sz w:val="28"/>
          <w:szCs w:val="28"/>
          <w:highlight w:val="none"/>
        </w:rPr>
      </w:pPr>
    </w:p>
    <w:tbl>
      <w:tblPr>
        <w:tblStyle w:val="11"/>
        <w:tblW w:w="12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7"/>
        <w:gridCol w:w="1066"/>
        <w:gridCol w:w="1168"/>
        <w:gridCol w:w="1065"/>
        <w:gridCol w:w="1065"/>
        <w:gridCol w:w="1065"/>
        <w:gridCol w:w="1346"/>
        <w:gridCol w:w="1358"/>
        <w:gridCol w:w="439"/>
        <w:gridCol w:w="320"/>
        <w:gridCol w:w="413"/>
        <w:gridCol w:w="240"/>
        <w:gridCol w:w="1067"/>
        <w:gridCol w:w="10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210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2105"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612"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计报刊杂志费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709"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06"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709"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106"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10.96</w:t>
            </w: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60.89%</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10.96</w:t>
            </w: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60.89%</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9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775"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903"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75" w:type="dxa"/>
            <w:gridSpan w:val="6"/>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更好的推动人大工作的开展，需要定购机关报纸和刊物。为区人大代表、各镇街人大订阅《中国人大》、《北京人大》、《人民代表报》等。</w:t>
            </w:r>
          </w:p>
        </w:tc>
        <w:tc>
          <w:tcPr>
            <w:tcW w:w="4903"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按时为区人大全体代表、人大机关、服务中心和机关退休人员订阅《人民代表报》、《中国人大》、《北京人大》等报纸、刊物，为认真履行人大职责提供了正确的理论政策参考，从不同侧面促进了新时代人大工作的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60"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75" w:type="dxa"/>
            <w:gridSpan w:val="6"/>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903"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16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95"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358"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59"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3" w:type="dxa"/>
            <w:gridSpan w:val="2"/>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5"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指标1：报刊订阅人数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&gt;=345人</w:t>
            </w: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351</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指标1：订阅人员覆盖率</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当年11月完成</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指标1：订阅总成本</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&lt;=180000元</w:t>
            </w: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109559元</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68"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195"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5"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195"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指标1：及时了解 国家大事，思想与时俱进</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3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59"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5"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195"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5"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16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95"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16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95"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指标1：订阅人员满意度</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358"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59"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16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5"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16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5"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58"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8560"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96.09</w:t>
            </w:r>
          </w:p>
        </w:tc>
        <w:tc>
          <w:tcPr>
            <w:tcW w:w="2133"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pStyle w:val="2"/>
        <w:rPr>
          <w:rFonts w:hint="eastAsia"/>
        </w:rPr>
      </w:pPr>
    </w:p>
    <w:tbl>
      <w:tblPr>
        <w:tblStyle w:val="11"/>
        <w:tblW w:w="119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1066"/>
        <w:gridCol w:w="1067"/>
        <w:gridCol w:w="1066"/>
        <w:gridCol w:w="1067"/>
        <w:gridCol w:w="810"/>
        <w:gridCol w:w="1455"/>
        <w:gridCol w:w="1440"/>
        <w:gridCol w:w="373"/>
        <w:gridCol w:w="413"/>
        <w:gridCol w:w="413"/>
        <w:gridCol w:w="240"/>
        <w:gridCol w:w="1067"/>
        <w:gridCol w:w="10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1970"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970"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478"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任书记、委员的离退休干部党员工作补贴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465"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00"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465"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200"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531"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013"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1" w:type="dxa"/>
            <w:gridSpan w:val="6"/>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根据中共北京市大兴区委组织部、中共北京市大兴区委老干部局、北京市大兴区财政局关于印发《关于为我区基层党组织中担任书记、副书记、委员的离退休干部党员发放工作补贴的实施办法》的通知 （京兴组通（2019）54号），为基层党组织中担任书记、副书记、委员的离退休干部发放工作补贴。</w:t>
            </w:r>
          </w:p>
        </w:tc>
        <w:tc>
          <w:tcPr>
            <w:tcW w:w="5013"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依据政策按月及时发放，全年符合政策发放工作补贴的书记1人，委员1人。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00" w:hRule="atLeast"/>
        </w:trPr>
        <w:tc>
          <w:tcPr>
            <w:tcW w:w="42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1" w:type="dxa"/>
            <w:gridSpan w:val="6"/>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13"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43"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440"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4" w:type="dxa"/>
            <w:gridSpan w:val="2"/>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43"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指标1：发放工作补贴人数</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指标1：补贴对象合格率</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指标1：补贴发放进度</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450元/月</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450元/月</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指标1：任书记补贴标准</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300元/月</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300元/月</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指标1：任委员补贴标准</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150元/月</w:t>
            </w: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150元/月</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943"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943"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5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943"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指标1：工作补贴覆盖率</w:t>
            </w:r>
          </w:p>
        </w:tc>
        <w:tc>
          <w:tcPr>
            <w:tcW w:w="145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4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4"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943"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5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2943"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943"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5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43"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43"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指标1：补贴对象满意度</w:t>
            </w:r>
          </w:p>
        </w:tc>
        <w:tc>
          <w:tcPr>
            <w:tcW w:w="145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44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4"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43"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5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943"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5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8397"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34"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rPr>
          <w:rFonts w:hint="eastAsia"/>
        </w:rPr>
      </w:pPr>
    </w:p>
    <w:p>
      <w:pPr>
        <w:spacing w:line="580" w:lineRule="exact"/>
        <w:ind w:firstLine="560" w:firstLineChars="200"/>
        <w:rPr>
          <w:rFonts w:hint="eastAsia" w:ascii="仿宋_GB2312" w:hAnsi="仿宋_GB2312" w:eastAsia="仿宋_GB2312" w:cs="仿宋_GB2312"/>
          <w:sz w:val="28"/>
          <w:szCs w:val="28"/>
          <w:highlight w:val="none"/>
        </w:rPr>
      </w:pPr>
    </w:p>
    <w:tbl>
      <w:tblPr>
        <w:tblStyle w:val="11"/>
        <w:tblW w:w="155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7"/>
        <w:gridCol w:w="1066"/>
        <w:gridCol w:w="1066"/>
        <w:gridCol w:w="1065"/>
        <w:gridCol w:w="1066"/>
        <w:gridCol w:w="1065"/>
        <w:gridCol w:w="1346"/>
        <w:gridCol w:w="1199"/>
        <w:gridCol w:w="466"/>
        <w:gridCol w:w="293"/>
        <w:gridCol w:w="413"/>
        <w:gridCol w:w="240"/>
        <w:gridCol w:w="1066"/>
        <w:gridCol w:w="1066"/>
        <w:gridCol w:w="1067"/>
        <w:gridCol w:w="1067"/>
        <w:gridCol w:w="15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1844"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844"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351"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区、镇人大代表履职培训经费</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60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078"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60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07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6"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32.15</w:t>
            </w: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78.41%</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7.84</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32.15</w:t>
            </w: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78.41%</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3"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674" w:type="dxa"/>
            <w:gridSpan w:val="6"/>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743" w:type="dxa"/>
            <w:gridSpan w:val="7"/>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74" w:type="dxa"/>
            <w:gridSpan w:val="6"/>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区人大常委会委员、专委会委员、区镇人大代表、各镇人大主席、各街道副书记及人大机关、各镇街人大工作人员，开展履职培训。确保人大代表依法行使权力，履行职责，切实提高代表依法履职能力和工作水平。</w:t>
            </w:r>
          </w:p>
        </w:tc>
        <w:tc>
          <w:tcPr>
            <w:tcW w:w="4743" w:type="dxa"/>
            <w:gridSpan w:val="7"/>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区、镇人大代表培训工作，因工作原因，减少天数。</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00" w:hRule="atLeast"/>
        </w:trPr>
        <w:tc>
          <w:tcPr>
            <w:tcW w:w="427"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74" w:type="dxa"/>
            <w:gridSpan w:val="6"/>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4743" w:type="dxa"/>
            <w:gridSpan w:val="7"/>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96" w:type="dxa"/>
            <w:gridSpan w:val="3"/>
            <w:vMerge w:val="restart"/>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199"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59"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2" w:type="dxa"/>
            <w:gridSpan w:val="2"/>
            <w:vMerge w:val="restart"/>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6" w:type="dxa"/>
            <w:gridSpan w:val="3"/>
            <w:vMerge w:val="continue"/>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96"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指标2：培训人员</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&gt;=1300人次</w:t>
            </w: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1315人次</w:t>
            </w:r>
          </w:p>
        </w:tc>
        <w:tc>
          <w:tcPr>
            <w:tcW w:w="759"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3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96"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指标1：聘请权威专家讲课</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优 </w:t>
            </w:r>
          </w:p>
        </w:tc>
        <w:tc>
          <w:tcPr>
            <w:tcW w:w="759"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3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96"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实际10月</w:t>
            </w:r>
          </w:p>
        </w:tc>
        <w:tc>
          <w:tcPr>
            <w:tcW w:w="759"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96"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指标1：培训成本</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&lt;=410000元</w:t>
            </w: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321472.36元</w:t>
            </w:r>
          </w:p>
        </w:tc>
        <w:tc>
          <w:tcPr>
            <w:tcW w:w="759"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96"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96"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196" w:type="dxa"/>
            <w:gridSpan w:val="3"/>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6" w:type="dxa"/>
            <w:gridSpan w:val="3"/>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single" w:color="000000" w:sz="8" w:space="0"/>
              <w:left w:val="single" w:color="000000" w:sz="8" w:space="0"/>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196" w:type="dxa"/>
            <w:gridSpan w:val="3"/>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指标1：确保新当选镇人大代表依法履职，更好地代表人民行使权力</w:t>
            </w:r>
          </w:p>
        </w:tc>
        <w:tc>
          <w:tcPr>
            <w:tcW w:w="134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199"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59"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6" w:type="dxa"/>
            <w:gridSpan w:val="3"/>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196" w:type="dxa"/>
            <w:gridSpan w:val="3"/>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6" w:type="dxa"/>
            <w:gridSpan w:val="3"/>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FFFFFF"/>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96" w:type="dxa"/>
            <w:gridSpan w:val="3"/>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96" w:type="dxa"/>
            <w:gridSpan w:val="3"/>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指标1：参训人员满意率</w:t>
            </w:r>
          </w:p>
        </w:tc>
        <w:tc>
          <w:tcPr>
            <w:tcW w:w="134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199"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59"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6" w:type="dxa"/>
            <w:gridSpan w:val="3"/>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7"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6" w:type="dxa"/>
            <w:gridSpan w:val="3"/>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99"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59"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8300"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59"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97.84</w:t>
            </w:r>
          </w:p>
        </w:tc>
        <w:tc>
          <w:tcPr>
            <w:tcW w:w="2132"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54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spacing w:line="580" w:lineRule="exact"/>
        <w:ind w:firstLine="560" w:firstLineChars="200"/>
        <w:rPr>
          <w:rFonts w:hint="eastAsia" w:ascii="仿宋_GB2312" w:hAnsi="仿宋_GB2312" w:eastAsia="仿宋_GB2312" w:cs="仿宋_GB2312"/>
          <w:sz w:val="28"/>
          <w:szCs w:val="28"/>
          <w:highlight w:val="none"/>
        </w:rPr>
      </w:pPr>
    </w:p>
    <w:p>
      <w:pPr>
        <w:pStyle w:val="2"/>
        <w:rPr>
          <w:rFonts w:hint="eastAsia" w:ascii="仿宋_GB2312" w:hAnsi="仿宋_GB2312" w:eastAsia="仿宋_GB2312" w:cs="仿宋_GB2312"/>
          <w:sz w:val="28"/>
          <w:szCs w:val="28"/>
          <w:highlight w:val="none"/>
        </w:rPr>
      </w:pPr>
    </w:p>
    <w:p>
      <w:pPr>
        <w:rPr>
          <w:rFonts w:hint="eastAsia"/>
        </w:rPr>
      </w:pPr>
    </w:p>
    <w:tbl>
      <w:tblPr>
        <w:tblStyle w:val="11"/>
        <w:tblW w:w="145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1066"/>
        <w:gridCol w:w="1067"/>
        <w:gridCol w:w="1066"/>
        <w:gridCol w:w="1067"/>
        <w:gridCol w:w="1066"/>
        <w:gridCol w:w="1347"/>
        <w:gridCol w:w="1067"/>
        <w:gridCol w:w="373"/>
        <w:gridCol w:w="413"/>
        <w:gridCol w:w="413"/>
        <w:gridCol w:w="240"/>
        <w:gridCol w:w="1067"/>
        <w:gridCol w:w="975"/>
        <w:gridCol w:w="1067"/>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1653"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653"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161"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信息化运行维护费-1</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61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08"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61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10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72.97%</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72.97%</w:t>
            </w: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1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679" w:type="dxa"/>
            <w:gridSpan w:val="6"/>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548" w:type="dxa"/>
            <w:gridSpan w:val="7"/>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79" w:type="dxa"/>
            <w:gridSpan w:val="6"/>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日常对网站和栏目进行更新和维护，为人大代表履职和社会各界了解人大工作提供信息服务</w:t>
            </w:r>
          </w:p>
        </w:tc>
        <w:tc>
          <w:tcPr>
            <w:tcW w:w="4548"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严格按照规定进行更新维护，发送人大工作信息，能够为社会各界了解人大工作、人大代表履职、信息公开提供有力的支持。</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00"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79" w:type="dxa"/>
            <w:gridSpan w:val="6"/>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48"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99"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42" w:type="dxa"/>
            <w:gridSpan w:val="2"/>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9"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80" w:hRule="atLeast"/>
        </w:trPr>
        <w:tc>
          <w:tcPr>
            <w:tcW w:w="426" w:type="dxa"/>
            <w:tcBorders>
              <w:top w:val="nil"/>
              <w:left w:val="single" w:color="000000" w:sz="8"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single" w:color="000000" w:sz="4" w:space="0"/>
              <w:left w:val="single" w:color="000000" w:sz="8"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9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指标1：系统正常运行率</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100%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100%</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204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9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&lt;=74000元</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54000元</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4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9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9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19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19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指标1：人大社会影响力</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4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19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19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9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9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指标1：相关委室对网站运维公司的满意度</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4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19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8172"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97.3</w:t>
            </w:r>
          </w:p>
        </w:tc>
        <w:tc>
          <w:tcPr>
            <w:tcW w:w="2042"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rPr>
          <w:rFonts w:hint="eastAsia" w:ascii="仿宋_GB2312" w:hAnsi="仿宋_GB2312" w:eastAsia="仿宋_GB2312" w:cs="仿宋_GB2312"/>
          <w:sz w:val="28"/>
          <w:szCs w:val="28"/>
          <w:highlight w:val="none"/>
        </w:rPr>
      </w:pPr>
    </w:p>
    <w:p>
      <w:pPr>
        <w:pStyle w:val="2"/>
        <w:rPr>
          <w:rFonts w:hint="eastAsia" w:ascii="仿宋_GB2312" w:hAnsi="仿宋_GB2312" w:eastAsia="仿宋_GB2312" w:cs="仿宋_GB2312"/>
          <w:sz w:val="28"/>
          <w:szCs w:val="28"/>
          <w:highlight w:val="none"/>
        </w:rPr>
      </w:pPr>
    </w:p>
    <w:p>
      <w:pPr>
        <w:rPr>
          <w:rFonts w:hint="eastAsia"/>
        </w:rPr>
      </w:pPr>
    </w:p>
    <w:p>
      <w:pPr>
        <w:pStyle w:val="2"/>
        <w:rPr>
          <w:rFonts w:hint="eastAsia"/>
        </w:rPr>
      </w:pPr>
    </w:p>
    <w:p>
      <w:pPr>
        <w:rPr>
          <w:rFonts w:hint="eastAsia"/>
        </w:rPr>
      </w:pPr>
    </w:p>
    <w:tbl>
      <w:tblPr>
        <w:tblStyle w:val="11"/>
        <w:tblW w:w="142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1065"/>
        <w:gridCol w:w="1066"/>
        <w:gridCol w:w="1065"/>
        <w:gridCol w:w="1066"/>
        <w:gridCol w:w="640"/>
        <w:gridCol w:w="1346"/>
        <w:gridCol w:w="1066"/>
        <w:gridCol w:w="372"/>
        <w:gridCol w:w="413"/>
        <w:gridCol w:w="413"/>
        <w:gridCol w:w="240"/>
        <w:gridCol w:w="1066"/>
        <w:gridCol w:w="1124"/>
        <w:gridCol w:w="1067"/>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1368"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368"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877"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党员活动经费</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1491"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8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56"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18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256"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6"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w:t>
            </w: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w:t>
            </w: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10.75%</w:t>
            </w: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w:t>
            </w: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w:t>
            </w: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0.39</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10.75%</w:t>
            </w: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1"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1"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1"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38"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4"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248" w:type="dxa"/>
            <w:gridSpan w:val="6"/>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694" w:type="dxa"/>
            <w:gridSpan w:val="7"/>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8" w:type="dxa"/>
            <w:gridSpan w:val="6"/>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按照区委组织部和区直机关工委工作要求，推动深化党员学习教育，扎实开展教育培训、主题实践等党员活动，圆满完成全年党建工作任务。</w:t>
            </w:r>
          </w:p>
        </w:tc>
        <w:tc>
          <w:tcPr>
            <w:tcW w:w="4694"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严格按照组织部和区直机关工委工作要求，完成党员学习、教育培训、党员活动等工作。</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00"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248" w:type="dxa"/>
            <w:gridSpan w:val="6"/>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94"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5"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771"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66"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90" w:type="dxa"/>
            <w:gridSpan w:val="2"/>
            <w:vMerge w:val="restart"/>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5"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1"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指标1：慰问党员人数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 1人</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指标2：开展主题党日活动次数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12次</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w:t>
            </w: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指标1：开展培训教育次数</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2次</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2次</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指标1：慰问时间</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&lt;=当年7月完成</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当年2月完成</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&lt;=36600元</w:t>
            </w:r>
          </w:p>
        </w:tc>
        <w:tc>
          <w:tcPr>
            <w:tcW w:w="1066"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3933元</w:t>
            </w:r>
          </w:p>
        </w:tc>
        <w:tc>
          <w:tcPr>
            <w:tcW w:w="785"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77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77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77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指标1：开展培训教育次数  增强党员群众幸福感、凝聚力和向心力</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85"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90"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277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77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771"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指标1：提升培训教育转化效能</w:t>
            </w:r>
          </w:p>
        </w:tc>
        <w:tc>
          <w:tcPr>
            <w:tcW w:w="134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066"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771"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指标1：服务对象满意度</w:t>
            </w:r>
          </w:p>
        </w:tc>
        <w:tc>
          <w:tcPr>
            <w:tcW w:w="134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66"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5"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0"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5"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1"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6"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5"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0"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7740"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8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91.08</w:t>
            </w:r>
          </w:p>
        </w:tc>
        <w:tc>
          <w:tcPr>
            <w:tcW w:w="2190"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rPr>
          <w:rFonts w:hint="eastAsia"/>
        </w:rPr>
      </w:pPr>
    </w:p>
    <w:tbl>
      <w:tblPr>
        <w:tblStyle w:val="11"/>
        <w:tblW w:w="143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26"/>
        <w:gridCol w:w="1066"/>
        <w:gridCol w:w="1067"/>
        <w:gridCol w:w="1067"/>
        <w:gridCol w:w="1067"/>
        <w:gridCol w:w="705"/>
        <w:gridCol w:w="1347"/>
        <w:gridCol w:w="1067"/>
        <w:gridCol w:w="373"/>
        <w:gridCol w:w="413"/>
        <w:gridCol w:w="413"/>
        <w:gridCol w:w="240"/>
        <w:gridCol w:w="1067"/>
        <w:gridCol w:w="1125"/>
        <w:gridCol w:w="1067"/>
        <w:gridCol w:w="1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11443"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1443" w:type="dxa"/>
            <w:gridSpan w:val="14"/>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2024 年度）</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951"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公务用车购置</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25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258"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北京市大兴区人民代表大会常务委员会</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0" w:hRule="atLeast"/>
        </w:trPr>
        <w:tc>
          <w:tcPr>
            <w:tcW w:w="1492"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项目负责人</w:t>
            </w:r>
          </w:p>
        </w:tc>
        <w:tc>
          <w:tcPr>
            <w:tcW w:w="5253"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联系电话</w:t>
            </w:r>
          </w:p>
        </w:tc>
        <w:tc>
          <w:tcPr>
            <w:tcW w:w="3258"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项目资金   （万元）</w:t>
            </w: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0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w:t>
            </w: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492"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34"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5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07"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vMerge w:val="restart"/>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319" w:type="dxa"/>
            <w:gridSpan w:val="6"/>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698" w:type="dxa"/>
            <w:gridSpan w:val="7"/>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008"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19" w:type="dxa"/>
            <w:gridSpan w:val="6"/>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为满足区人大正常工作需要，保障行车安全，更新购置公务用车</w:t>
            </w:r>
          </w:p>
        </w:tc>
        <w:tc>
          <w:tcPr>
            <w:tcW w:w="4698" w:type="dxa"/>
            <w:gridSpan w:val="7"/>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严格按照要求执行政府采购手续，2024年12月更新购置一辆公务用车，满足区人大开展工作需要，保证行车安全。</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300" w:hRule="atLeast"/>
        </w:trPr>
        <w:tc>
          <w:tcPr>
            <w:tcW w:w="426" w:type="dxa"/>
            <w:vMerge w:val="continue"/>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19" w:type="dxa"/>
            <w:gridSpan w:val="6"/>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98" w:type="dxa"/>
            <w:gridSpan w:val="7"/>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66"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39" w:type="dxa"/>
            <w:gridSpan w:val="3"/>
            <w:vMerge w:val="restart"/>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4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67" w:type="dxa"/>
            <w:tcBorders>
              <w:top w:val="nil"/>
              <w:left w:val="nil"/>
              <w:bottom w:val="nil"/>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86"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92" w:type="dxa"/>
            <w:gridSpan w:val="2"/>
            <w:vMerge w:val="restart"/>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66"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39" w:type="dxa"/>
            <w:gridSpan w:val="3"/>
            <w:vMerge w:val="continue"/>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6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86"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指标1：公车购置数</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1辆</w:t>
            </w:r>
          </w:p>
        </w:tc>
        <w:tc>
          <w:tcPr>
            <w:tcW w:w="106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1辆</w:t>
            </w:r>
          </w:p>
        </w:tc>
        <w:tc>
          <w:tcPr>
            <w:tcW w:w="786"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9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7"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标</w:t>
            </w: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指标1：验收合格率</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100%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 100%</w:t>
            </w:r>
          </w:p>
        </w:tc>
        <w:tc>
          <w:tcPr>
            <w:tcW w:w="786"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&lt;=当年12月完成</w:t>
            </w:r>
          </w:p>
        </w:tc>
        <w:tc>
          <w:tcPr>
            <w:tcW w:w="106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当年12月完成</w:t>
            </w:r>
          </w:p>
        </w:tc>
        <w:tc>
          <w:tcPr>
            <w:tcW w:w="786"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2"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指标1：总成本</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&lt;=183955.75元</w:t>
            </w:r>
          </w:p>
        </w:tc>
        <w:tc>
          <w:tcPr>
            <w:tcW w:w="106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183955.75元</w:t>
            </w:r>
          </w:p>
        </w:tc>
        <w:tc>
          <w:tcPr>
            <w:tcW w:w="786"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83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83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vMerge w:val="restart"/>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3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指标1：保障区人大工作安全开展</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067"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786"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92"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vMerge w:val="continue"/>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3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283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283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2"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39" w:type="dxa"/>
            <w:gridSpan w:val="3"/>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4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8"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6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39" w:type="dxa"/>
            <w:gridSpan w:val="3"/>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指标1：委室对更新车辆满意度</w:t>
            </w:r>
          </w:p>
        </w:tc>
        <w:tc>
          <w:tcPr>
            <w:tcW w:w="1347"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067"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6"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53" w:type="dxa"/>
            <w:gridSpan w:val="2"/>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92" w:type="dxa"/>
            <w:gridSpan w:val="2"/>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3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426" w:type="dxa"/>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6" w:type="dxa"/>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6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39" w:type="dxa"/>
            <w:gridSpan w:val="3"/>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47"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86"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3" w:type="dxa"/>
            <w:gridSpan w:val="2"/>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92" w:type="dxa"/>
            <w:gridSpan w:val="2"/>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40" w:hRule="atLeast"/>
        </w:trPr>
        <w:tc>
          <w:tcPr>
            <w:tcW w:w="7812" w:type="dxa"/>
            <w:gridSpan w:val="8"/>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86"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53"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92" w:type="dxa"/>
            <w:gridSpan w:val="2"/>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6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86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rPr>
          <w:rFonts w:hint="eastAsia"/>
        </w:rPr>
      </w:pPr>
    </w:p>
    <w:p>
      <w:pPr>
        <w:rPr>
          <w:rFonts w:hint="eastAsia"/>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p>
      <w:pPr>
        <w:spacing w:line="480" w:lineRule="exact"/>
        <w:jc w:val="center"/>
        <w:rPr>
          <w:rFonts w:hint="eastAsia" w:ascii="黑体" w:eastAsia="黑体"/>
          <w:sz w:val="32"/>
          <w:szCs w:val="32"/>
          <w:highlight w:val="none"/>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80D96"/>
    <w:multiLevelType w:val="singleLevel"/>
    <w:tmpl w:val="63F80D96"/>
    <w:lvl w:ilvl="0" w:tentative="0">
      <w:start w:val="2"/>
      <w:numFmt w:val="decimal"/>
      <w:suff w:val="nothing"/>
      <w:lvlText w:val="%1、"/>
      <w:lvlJc w:val="left"/>
    </w:lvl>
  </w:abstractNum>
  <w:abstractNum w:abstractNumId="1">
    <w:nsid w:val="63F812C0"/>
    <w:multiLevelType w:val="singleLevel"/>
    <w:tmpl w:val="63F812C0"/>
    <w:lvl w:ilvl="0" w:tentative="0">
      <w:start w:val="3"/>
      <w:numFmt w:val="chineseCounting"/>
      <w:suff w:val="nothing"/>
      <w:lvlText w:val="%1、"/>
      <w:lvlJc w:val="left"/>
    </w:lvl>
  </w:abstractNum>
  <w:abstractNum w:abstractNumId="2">
    <w:nsid w:val="63F81D1A"/>
    <w:multiLevelType w:val="singleLevel"/>
    <w:tmpl w:val="63F81D1A"/>
    <w:lvl w:ilvl="0" w:tentative="0">
      <w:start w:val="2"/>
      <w:numFmt w:val="chineseCounting"/>
      <w:suff w:val="nothing"/>
      <w:lvlText w:val="（%1）"/>
      <w:lvlJc w:val="left"/>
    </w:lvl>
  </w:abstractNum>
  <w:abstractNum w:abstractNumId="3">
    <w:nsid w:val="63F82151"/>
    <w:multiLevelType w:val="singleLevel"/>
    <w:tmpl w:val="63F82151"/>
    <w:lvl w:ilvl="0" w:tentative="0">
      <w:start w:val="2"/>
      <w:numFmt w:val="chineseCounting"/>
      <w:suff w:val="nothing"/>
      <w:lvlText w:val="（%1）"/>
      <w:lvlJc w:val="left"/>
    </w:lvl>
  </w:abstractNum>
  <w:abstractNum w:abstractNumId="4">
    <w:nsid w:val="63F82328"/>
    <w:multiLevelType w:val="singleLevel"/>
    <w:tmpl w:val="63F82328"/>
    <w:lvl w:ilvl="0" w:tentative="0">
      <w:start w:val="6"/>
      <w:numFmt w:val="chineseCounting"/>
      <w:suff w:val="nothing"/>
      <w:lvlText w:val="%1、"/>
      <w:lvlJc w:val="left"/>
    </w:lvl>
  </w:abstractNum>
  <w:abstractNum w:abstractNumId="5">
    <w:nsid w:val="6B1DC034"/>
    <w:multiLevelType w:val="singleLevel"/>
    <w:tmpl w:val="6B1DC034"/>
    <w:lvl w:ilvl="0" w:tentative="0">
      <w:start w:val="1"/>
      <w:numFmt w:val="chineseCounting"/>
      <w:suff w:val="nothing"/>
      <w:lvlText w:val="%1、"/>
      <w:lvlJc w:val="left"/>
      <w:rPr>
        <w:rFonts w:hint="eastAsia"/>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32A9"/>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474499"/>
    <w:rsid w:val="038E6E7A"/>
    <w:rsid w:val="039C3A64"/>
    <w:rsid w:val="04592C5D"/>
    <w:rsid w:val="07823AA5"/>
    <w:rsid w:val="079004AC"/>
    <w:rsid w:val="081B5818"/>
    <w:rsid w:val="082E1A36"/>
    <w:rsid w:val="092B6DB2"/>
    <w:rsid w:val="0AFD09DD"/>
    <w:rsid w:val="0C7B7F86"/>
    <w:rsid w:val="0EE76333"/>
    <w:rsid w:val="0F8E2C57"/>
    <w:rsid w:val="1059665E"/>
    <w:rsid w:val="10AC13BA"/>
    <w:rsid w:val="124610E1"/>
    <w:rsid w:val="135572DF"/>
    <w:rsid w:val="14766285"/>
    <w:rsid w:val="153540CA"/>
    <w:rsid w:val="163F4A7E"/>
    <w:rsid w:val="17A65EFE"/>
    <w:rsid w:val="18A22B4C"/>
    <w:rsid w:val="1AEC0734"/>
    <w:rsid w:val="1B323594"/>
    <w:rsid w:val="1B43291B"/>
    <w:rsid w:val="1C7254ED"/>
    <w:rsid w:val="1D48562F"/>
    <w:rsid w:val="1DEF20B0"/>
    <w:rsid w:val="1F401DDF"/>
    <w:rsid w:val="1F664E2A"/>
    <w:rsid w:val="21422A39"/>
    <w:rsid w:val="214243FA"/>
    <w:rsid w:val="23004119"/>
    <w:rsid w:val="232235C5"/>
    <w:rsid w:val="257A14F5"/>
    <w:rsid w:val="27196C26"/>
    <w:rsid w:val="29EF086F"/>
    <w:rsid w:val="2A8415D0"/>
    <w:rsid w:val="2BF13CCD"/>
    <w:rsid w:val="2CDA6F65"/>
    <w:rsid w:val="2D5264F4"/>
    <w:rsid w:val="2EFFE297"/>
    <w:rsid w:val="2F8259CF"/>
    <w:rsid w:val="301437CA"/>
    <w:rsid w:val="32785148"/>
    <w:rsid w:val="338A69A9"/>
    <w:rsid w:val="353C75FB"/>
    <w:rsid w:val="36E319AA"/>
    <w:rsid w:val="386D6DD1"/>
    <w:rsid w:val="3DE04810"/>
    <w:rsid w:val="3DFD6097"/>
    <w:rsid w:val="3F143319"/>
    <w:rsid w:val="3F3B19D7"/>
    <w:rsid w:val="41493C35"/>
    <w:rsid w:val="41CB54C0"/>
    <w:rsid w:val="4208288A"/>
    <w:rsid w:val="42F27DD4"/>
    <w:rsid w:val="433E495C"/>
    <w:rsid w:val="44617DEC"/>
    <w:rsid w:val="45A90126"/>
    <w:rsid w:val="4616442F"/>
    <w:rsid w:val="46B753D0"/>
    <w:rsid w:val="4774382C"/>
    <w:rsid w:val="48804E0D"/>
    <w:rsid w:val="49090450"/>
    <w:rsid w:val="4AC27CB3"/>
    <w:rsid w:val="4AFA6C6D"/>
    <w:rsid w:val="4B6D146C"/>
    <w:rsid w:val="4BF72BEF"/>
    <w:rsid w:val="4CD80866"/>
    <w:rsid w:val="4DEB2135"/>
    <w:rsid w:val="4E150194"/>
    <w:rsid w:val="50502C65"/>
    <w:rsid w:val="51DB3C59"/>
    <w:rsid w:val="550A17D8"/>
    <w:rsid w:val="55762E42"/>
    <w:rsid w:val="55FB2566"/>
    <w:rsid w:val="568B6949"/>
    <w:rsid w:val="57A7B272"/>
    <w:rsid w:val="58470068"/>
    <w:rsid w:val="58886F75"/>
    <w:rsid w:val="58C146D8"/>
    <w:rsid w:val="5A1720F9"/>
    <w:rsid w:val="5B9C37C2"/>
    <w:rsid w:val="5BA7C654"/>
    <w:rsid w:val="5BB81218"/>
    <w:rsid w:val="5CF74D38"/>
    <w:rsid w:val="5F2D3D9B"/>
    <w:rsid w:val="5F8A0474"/>
    <w:rsid w:val="602A3554"/>
    <w:rsid w:val="60F42EB6"/>
    <w:rsid w:val="60FF240D"/>
    <w:rsid w:val="638A7560"/>
    <w:rsid w:val="641F04E5"/>
    <w:rsid w:val="64C0607C"/>
    <w:rsid w:val="65AC6CC3"/>
    <w:rsid w:val="672D1356"/>
    <w:rsid w:val="676F09E1"/>
    <w:rsid w:val="696173A6"/>
    <w:rsid w:val="6A9B1DCA"/>
    <w:rsid w:val="6C2C6080"/>
    <w:rsid w:val="6E284094"/>
    <w:rsid w:val="6F375468"/>
    <w:rsid w:val="6FE55BEA"/>
    <w:rsid w:val="721821DB"/>
    <w:rsid w:val="756172B0"/>
    <w:rsid w:val="75A44ED9"/>
    <w:rsid w:val="75E74A0A"/>
    <w:rsid w:val="768F7680"/>
    <w:rsid w:val="77512F0B"/>
    <w:rsid w:val="77F80C6B"/>
    <w:rsid w:val="7A7F1C49"/>
    <w:rsid w:val="7B5B7AE6"/>
    <w:rsid w:val="7BA7071E"/>
    <w:rsid w:val="7BDF6DA8"/>
    <w:rsid w:val="7C7EDC1A"/>
    <w:rsid w:val="7CCED98D"/>
    <w:rsid w:val="7D08410F"/>
    <w:rsid w:val="7DB96DED"/>
    <w:rsid w:val="7DCA1684"/>
    <w:rsid w:val="7DD3AD81"/>
    <w:rsid w:val="7F180548"/>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paragraph" w:styleId="2">
    <w:name w:val="heading 4"/>
    <w:basedOn w:val="1"/>
    <w:next w:val="1"/>
    <w:unhideWhenUsed/>
    <w:qFormat/>
    <w:uiPriority w:val="0"/>
    <w:pPr>
      <w:spacing w:before="280" w:after="290" w:line="376" w:lineRule="auto"/>
      <w:outlineLvl w:val="3"/>
    </w:pPr>
    <w:rPr>
      <w:rFonts w:ascii="Arial" w:hAnsi="Arial" w:eastAsia="黑体"/>
      <w:b/>
      <w:bCs/>
      <w:sz w:val="28"/>
      <w:szCs w:val="28"/>
    </w:rPr>
  </w:style>
  <w:style w:type="character" w:default="1" w:styleId="12">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2"/>
    <w:qFormat/>
    <w:uiPriority w:val="0"/>
    <w:rPr>
      <w:rFonts w:hint="eastAsia" w:ascii="宋体" w:hAnsi="宋体" w:eastAsia="宋体" w:cs="宋体"/>
      <w:color w:val="000000"/>
      <w:sz w:val="18"/>
      <w:szCs w:val="18"/>
      <w:u w:val="none"/>
    </w:rPr>
  </w:style>
  <w:style w:type="character" w:customStyle="1" w:styleId="22">
    <w:name w:val="font01"/>
    <w:basedOn w:val="12"/>
    <w:qFormat/>
    <w:uiPriority w:val="0"/>
    <w:rPr>
      <w:rFonts w:hint="eastAsia" w:ascii="宋体" w:hAnsi="宋体" w:eastAsia="宋体" w:cs="宋体"/>
      <w:color w:val="000000"/>
      <w:sz w:val="13"/>
      <w:szCs w:val="13"/>
      <w:u w:val="none"/>
    </w:rPr>
  </w:style>
  <w:style w:type="paragraph" w:customStyle="1" w:styleId="23">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TotalTime>1</TotalTime>
  <ScaleCrop>false</ScaleCrop>
  <LinksUpToDate>false</LinksUpToDate>
  <CharactersWithSpaces>9096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Lenovo</cp:lastModifiedBy>
  <cp:lastPrinted>2020-08-07T19:39:00Z</cp:lastPrinted>
  <dcterms:modified xsi:type="dcterms:W3CDTF">2025-09-25T05:53:17Z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