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sz w:val="32"/>
          <w:szCs w:val="3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年度部门决算（</w:t>
      </w:r>
      <w:r>
        <w:rPr>
          <w:rFonts w:hint="eastAsia" w:ascii="黑体" w:eastAsia="黑体"/>
          <w:sz w:val="72"/>
          <w:szCs w:val="72"/>
          <w:lang w:val="en-US" w:eastAsia="zh-CN"/>
        </w:rPr>
        <w:t>公开</w:t>
      </w:r>
      <w:r>
        <w:rPr>
          <w:rFonts w:ascii="黑体" w:eastAsia="黑体"/>
          <w:sz w:val="72"/>
          <w:szCs w:val="72"/>
        </w:rPr>
        <w:t>）</w:t>
      </w: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32"/>
          <w:szCs w:val="32"/>
        </w:rPr>
      </w:pPr>
    </w:p>
    <w:p>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pPr>
        <w:spacing w:line="500" w:lineRule="exact"/>
        <w:ind w:firstLine="645"/>
        <w:jc w:val="center"/>
        <w:rPr>
          <w:rFonts w:hint="eastAsia" w:ascii="宋体" w:hAnsi="宋体" w:cs="宋体"/>
          <w:b/>
          <w:bCs/>
          <w:kern w:val="0"/>
          <w:sz w:val="36"/>
          <w:szCs w:val="36"/>
        </w:rPr>
      </w:pP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年度部门决算报表</w:t>
      </w:r>
    </w:p>
    <w:p>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年度部门决算说明</w:t>
      </w:r>
    </w:p>
    <w:p>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年度部门绩效评价情况</w:t>
      </w: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年度部门决算报表</w:t>
      </w:r>
    </w:p>
    <w:p>
      <w:pPr>
        <w:pStyle w:val="3"/>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年度部门决算说明</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一、部门基本情况</w:t>
      </w:r>
    </w:p>
    <w:p>
      <w:pPr>
        <w:spacing w:line="620" w:lineRule="exact"/>
        <w:ind w:firstLine="560" w:firstLineChars="200"/>
        <w:jc w:val="left"/>
        <w:rPr>
          <w:rFonts w:hint="eastAsia" w:ascii="仿宋_GB2312" w:eastAsia="仿宋_GB2312"/>
          <w:color w:val="000000"/>
          <w:sz w:val="32"/>
          <w:szCs w:val="32"/>
          <w:highlight w:val="none"/>
        </w:rPr>
      </w:pPr>
      <w:r>
        <w:rPr>
          <w:rFonts w:hint="eastAsia" w:ascii="仿宋_GB2312" w:eastAsia="仿宋_GB2312"/>
          <w:kern w:val="0"/>
          <w:sz w:val="28"/>
          <w:szCs w:val="28"/>
          <w:highlight w:val="none"/>
        </w:rPr>
        <w:t>（一）本部门单位职责</w:t>
      </w:r>
    </w:p>
    <w:p>
      <w:pPr>
        <w:spacing w:line="620" w:lineRule="exact"/>
        <w:ind w:firstLine="560" w:firstLineChars="200"/>
        <w:jc w:val="left"/>
        <w:rPr>
          <w:rFonts w:hint="eastAsia" w:ascii="仿宋_GB2312" w:eastAsia="仿宋_GB2312"/>
          <w:kern w:val="0"/>
          <w:sz w:val="28"/>
          <w:szCs w:val="28"/>
          <w:highlight w:val="none"/>
          <w:lang w:eastAsia="zh-CN"/>
        </w:rPr>
      </w:pPr>
      <w:r>
        <w:rPr>
          <w:rFonts w:hint="eastAsia" w:ascii="仿宋_GB2312" w:eastAsia="仿宋_GB2312"/>
          <w:kern w:val="0"/>
          <w:sz w:val="28"/>
          <w:szCs w:val="28"/>
          <w:highlight w:val="none"/>
        </w:rPr>
        <w:t xml:space="preserve">1.贯彻落实国家及北京市关于住房和城乡建设的法律、法规、规章和政策；研究本区住房和城乡建设方面的重大问题，并提出意见建议。 </w:t>
      </w:r>
    </w:p>
    <w:p>
      <w:pPr>
        <w:spacing w:line="620" w:lineRule="exact"/>
        <w:ind w:firstLine="560" w:firstLineChars="200"/>
        <w:jc w:val="left"/>
        <w:rPr>
          <w:rFonts w:hint="eastAsia" w:ascii="仿宋_GB2312" w:eastAsia="仿宋_GB2312"/>
          <w:kern w:val="0"/>
          <w:sz w:val="28"/>
          <w:szCs w:val="28"/>
          <w:highlight w:val="none"/>
          <w:lang w:eastAsia="zh-CN"/>
        </w:rPr>
      </w:pPr>
      <w:r>
        <w:rPr>
          <w:rFonts w:hint="eastAsia" w:ascii="仿宋_GB2312" w:eastAsia="仿宋_GB2312"/>
          <w:kern w:val="0"/>
          <w:sz w:val="28"/>
          <w:szCs w:val="28"/>
          <w:highlight w:val="none"/>
        </w:rPr>
        <w:t xml:space="preserve">2.承担保障本区城镇低收入家庭住房的责任。建立和完善住房保障管理制度；研究拟订住房保障、危旧房改造的中长期规划、年度计划和措施，并组织实施。 </w:t>
      </w:r>
    </w:p>
    <w:p>
      <w:pPr>
        <w:spacing w:line="620" w:lineRule="exact"/>
        <w:ind w:firstLine="560" w:firstLineChars="200"/>
        <w:jc w:val="left"/>
        <w:rPr>
          <w:rFonts w:hint="eastAsia" w:ascii="仿宋_GB2312" w:eastAsia="仿宋_GB2312"/>
          <w:kern w:val="0"/>
          <w:sz w:val="28"/>
          <w:szCs w:val="28"/>
          <w:highlight w:val="none"/>
          <w:lang w:eastAsia="zh-CN"/>
        </w:rPr>
      </w:pPr>
      <w:r>
        <w:rPr>
          <w:rFonts w:hint="eastAsia" w:ascii="仿宋_GB2312" w:eastAsia="仿宋_GB2312"/>
          <w:kern w:val="0"/>
          <w:sz w:val="28"/>
          <w:szCs w:val="28"/>
          <w:highlight w:val="none"/>
        </w:rPr>
        <w:t xml:space="preserve">3.承担推进本区住房制度改革的责任。研究拟订本区住房制度改革的相关意见，并组织实施；负责本区直管公房经营管理体制改革；负责公有住房出售、集资合作建房、住房分配货币化的管理工作。 </w:t>
      </w:r>
    </w:p>
    <w:p>
      <w:pPr>
        <w:spacing w:line="620" w:lineRule="exact"/>
        <w:ind w:firstLine="560" w:firstLineChars="200"/>
        <w:jc w:val="left"/>
        <w:rPr>
          <w:rFonts w:hint="eastAsia" w:ascii="仿宋_GB2312" w:eastAsia="仿宋_GB2312"/>
          <w:kern w:val="0"/>
          <w:sz w:val="28"/>
          <w:szCs w:val="28"/>
          <w:highlight w:val="none"/>
          <w:lang w:eastAsia="zh-CN"/>
        </w:rPr>
      </w:pPr>
      <w:r>
        <w:rPr>
          <w:rFonts w:hint="eastAsia" w:ascii="仿宋_GB2312" w:eastAsia="仿宋_GB2312"/>
          <w:kern w:val="0"/>
          <w:sz w:val="28"/>
          <w:szCs w:val="28"/>
          <w:highlight w:val="none"/>
        </w:rPr>
        <w:t xml:space="preserve">4.负责本区工程建设管理工作。按照市区两级职责分工，承担本区建设工程质量和施工安全监管的责任；依法进行建设工程施工许可管理；依法对本区注册建设工程的质量和施工安全进行监督管理；负责本区建设工程竣工验收的备案和监督管理；负责对工地现场建筑机械与起重设备实行登记管理；负责建设工程招标投标监督管理；参与重大建设工程质量、施工安全事故调查处理。 </w:t>
      </w:r>
    </w:p>
    <w:p>
      <w:pPr>
        <w:spacing w:line="620" w:lineRule="exact"/>
        <w:ind w:firstLine="560" w:firstLineChars="200"/>
        <w:jc w:val="left"/>
        <w:rPr>
          <w:rFonts w:hint="eastAsia" w:ascii="仿宋_GB2312" w:eastAsia="仿宋_GB2312"/>
          <w:kern w:val="0"/>
          <w:sz w:val="28"/>
          <w:szCs w:val="28"/>
          <w:highlight w:val="none"/>
          <w:lang w:eastAsia="zh-CN"/>
        </w:rPr>
      </w:pPr>
      <w:r>
        <w:rPr>
          <w:rFonts w:hint="eastAsia" w:ascii="仿宋_GB2312" w:eastAsia="仿宋_GB2312"/>
          <w:kern w:val="0"/>
          <w:sz w:val="28"/>
          <w:szCs w:val="28"/>
          <w:highlight w:val="none"/>
        </w:rPr>
        <w:t xml:space="preserve">5.负责建筑业的行业管理。研究拟定本区建筑业发展规划，并指导实施；承担本区建筑市场监督管理、规范市场秩序、推动建筑行业发展的责任；负责对本区建筑行业企业进行资质初审工作；负责建筑企业各类人员职业资格管理及执业注册管理。 </w:t>
      </w:r>
    </w:p>
    <w:p>
      <w:pPr>
        <w:spacing w:line="620" w:lineRule="exact"/>
        <w:ind w:firstLine="560" w:firstLineChars="200"/>
        <w:jc w:val="left"/>
        <w:rPr>
          <w:rFonts w:hint="eastAsia" w:ascii="仿宋_GB2312" w:eastAsia="仿宋_GB2312"/>
          <w:kern w:val="0"/>
          <w:sz w:val="28"/>
          <w:szCs w:val="28"/>
          <w:highlight w:val="none"/>
          <w:lang w:eastAsia="zh-CN"/>
        </w:rPr>
      </w:pPr>
      <w:r>
        <w:rPr>
          <w:rFonts w:hint="eastAsia" w:ascii="仿宋_GB2312" w:eastAsia="仿宋_GB2312"/>
          <w:kern w:val="0"/>
          <w:sz w:val="28"/>
          <w:szCs w:val="28"/>
          <w:highlight w:val="none"/>
        </w:rPr>
        <w:t xml:space="preserve">6.承担指导规范本区村镇建设的责任。参与村镇工程建设相关工作的指导和技术服务；参与指导农村危房改造工作。 </w:t>
      </w:r>
    </w:p>
    <w:p>
      <w:pPr>
        <w:spacing w:line="620" w:lineRule="exact"/>
        <w:ind w:firstLine="560" w:firstLineChars="200"/>
        <w:jc w:val="left"/>
        <w:rPr>
          <w:rFonts w:hint="eastAsia" w:ascii="仿宋_GB2312" w:eastAsia="仿宋_GB2312"/>
          <w:kern w:val="0"/>
          <w:sz w:val="28"/>
          <w:szCs w:val="28"/>
          <w:highlight w:val="none"/>
          <w:lang w:eastAsia="zh-CN"/>
        </w:rPr>
      </w:pPr>
      <w:r>
        <w:rPr>
          <w:rFonts w:hint="eastAsia" w:ascii="仿宋_GB2312" w:eastAsia="仿宋_GB2312"/>
          <w:kern w:val="0"/>
          <w:sz w:val="28"/>
          <w:szCs w:val="28"/>
          <w:highlight w:val="none"/>
        </w:rPr>
        <w:t xml:space="preserve">7.承担本区建筑节能和建材行业管理的责任。负责建筑节能、墙体材料革新和散装水泥推广和管理工作；负责本区建筑行业新技术新材料的推广应用工作。 </w:t>
      </w:r>
    </w:p>
    <w:p>
      <w:pPr>
        <w:spacing w:line="620" w:lineRule="exact"/>
        <w:ind w:firstLine="560" w:firstLineChars="200"/>
        <w:jc w:val="left"/>
        <w:rPr>
          <w:rFonts w:hint="eastAsia" w:ascii="仿宋_GB2312" w:eastAsia="仿宋_GB2312"/>
          <w:kern w:val="0"/>
          <w:sz w:val="28"/>
          <w:szCs w:val="28"/>
          <w:highlight w:val="none"/>
          <w:lang w:eastAsia="zh-CN"/>
        </w:rPr>
      </w:pPr>
      <w:r>
        <w:rPr>
          <w:rFonts w:hint="eastAsia" w:ascii="仿宋_GB2312" w:eastAsia="仿宋_GB2312"/>
          <w:kern w:val="0"/>
          <w:sz w:val="28"/>
          <w:szCs w:val="28"/>
          <w:highlight w:val="none"/>
        </w:rPr>
        <w:t xml:space="preserve">8.承担本区房地产市场相关事项的监督管理、规范市场秩序、促进房地产业发展的责任。会同相关部门拟订本区房地产开发业的发展规划，并指导实施；负责房地产开发企业资质管理；负责新设立房地产企业的资质审批；指导小城镇建设发展规划工作；负责房地产开发、转让、房屋租赁市场及房地产中介服务的监督管理；负责房地产市场监测分析工作；会同相关部门做好本区危旧房改造工程及住宅小区综合验收工作。 </w:t>
      </w:r>
    </w:p>
    <w:p>
      <w:pPr>
        <w:spacing w:line="620" w:lineRule="exact"/>
        <w:ind w:firstLine="560" w:firstLineChars="200"/>
        <w:jc w:val="left"/>
        <w:rPr>
          <w:rFonts w:hint="eastAsia" w:ascii="仿宋_GB2312" w:eastAsia="仿宋_GB2312"/>
          <w:kern w:val="0"/>
          <w:sz w:val="28"/>
          <w:szCs w:val="28"/>
          <w:highlight w:val="none"/>
          <w:lang w:eastAsia="zh-CN"/>
        </w:rPr>
      </w:pPr>
      <w:r>
        <w:rPr>
          <w:rFonts w:hint="eastAsia" w:ascii="仿宋_GB2312" w:eastAsia="仿宋_GB2312"/>
          <w:kern w:val="0"/>
          <w:sz w:val="28"/>
          <w:szCs w:val="28"/>
          <w:highlight w:val="none"/>
        </w:rPr>
        <w:t xml:space="preserve">9.承担本区房屋管理的责任。负责房屋征收拆迁的管理工作；负责房屋登记管理；负责物业服务的监督管理；负责本区城镇房屋使用安全的管理；负责房屋档案的管理和相关信息网络系统建设工作；协调有关房屋防汛工作；督促、协调落实私房政策。 </w:t>
      </w:r>
    </w:p>
    <w:p>
      <w:pPr>
        <w:spacing w:line="620" w:lineRule="exact"/>
        <w:ind w:firstLine="560" w:firstLineChars="200"/>
        <w:jc w:val="left"/>
        <w:rPr>
          <w:rFonts w:hint="eastAsia" w:ascii="仿宋_GB2312" w:eastAsia="仿宋_GB2312"/>
          <w:kern w:val="0"/>
          <w:sz w:val="28"/>
          <w:szCs w:val="28"/>
          <w:highlight w:val="none"/>
          <w:lang w:eastAsia="zh-CN"/>
        </w:rPr>
      </w:pPr>
      <w:r>
        <w:rPr>
          <w:rFonts w:hint="eastAsia" w:ascii="仿宋_GB2312" w:eastAsia="仿宋_GB2312"/>
          <w:kern w:val="0"/>
          <w:sz w:val="28"/>
          <w:szCs w:val="28"/>
          <w:highlight w:val="none"/>
        </w:rPr>
        <w:t xml:space="preserve">10.负责重大建设项目的协调和监督管理工作。负责组织协调各类重大项目的有关前期工作；协调解决重大项目建设过程中出现的重大问题，负责项目业主及参建各方的服务工作。 </w:t>
      </w:r>
    </w:p>
    <w:p>
      <w:pPr>
        <w:spacing w:line="620" w:lineRule="exact"/>
        <w:ind w:firstLine="560" w:firstLineChars="200"/>
        <w:jc w:val="left"/>
        <w:rPr>
          <w:rFonts w:hint="eastAsia" w:ascii="仿宋_GB2312" w:eastAsia="仿宋_GB2312"/>
          <w:kern w:val="0"/>
          <w:sz w:val="28"/>
          <w:szCs w:val="28"/>
          <w:highlight w:val="none"/>
        </w:rPr>
      </w:pPr>
      <w:r>
        <w:rPr>
          <w:rFonts w:hint="eastAsia" w:ascii="仿宋_GB2312" w:eastAsia="仿宋_GB2312"/>
          <w:kern w:val="0"/>
          <w:sz w:val="28"/>
          <w:szCs w:val="28"/>
          <w:highlight w:val="none"/>
        </w:rPr>
        <w:t>11.承办区政府交办的其它工作。</w:t>
      </w:r>
    </w:p>
    <w:p>
      <w:pPr>
        <w:spacing w:line="620" w:lineRule="exact"/>
        <w:ind w:firstLine="560" w:firstLineChars="200"/>
        <w:jc w:val="left"/>
        <w:rPr>
          <w:rFonts w:hint="eastAsia" w:ascii="仿宋_GB2312" w:eastAsia="仿宋_GB2312"/>
          <w:kern w:val="0"/>
          <w:sz w:val="28"/>
          <w:szCs w:val="28"/>
          <w:highlight w:val="none"/>
        </w:rPr>
      </w:pPr>
      <w:r>
        <w:rPr>
          <w:rFonts w:hint="eastAsia" w:ascii="仿宋_GB2312" w:eastAsia="仿宋_GB2312"/>
          <w:kern w:val="0"/>
          <w:sz w:val="28"/>
          <w:szCs w:val="28"/>
          <w:highlight w:val="none"/>
        </w:rPr>
        <w:t>（二）机构设置情况</w:t>
      </w:r>
    </w:p>
    <w:p>
      <w:pPr>
        <w:spacing w:line="620" w:lineRule="exact"/>
        <w:ind w:firstLine="560" w:firstLineChars="200"/>
        <w:jc w:val="left"/>
        <w:rPr>
          <w:rFonts w:hint="eastAsia" w:ascii="仿宋_GB2312" w:hAnsi="Times New Roman" w:eastAsia="仿宋_GB2312" w:cs="Times New Roman"/>
          <w:kern w:val="0"/>
          <w:sz w:val="28"/>
          <w:szCs w:val="28"/>
          <w:highlight w:val="none"/>
          <w:lang w:val="en-US" w:eastAsia="zh-CN"/>
        </w:rPr>
      </w:pPr>
      <w:r>
        <w:rPr>
          <w:rFonts w:hint="eastAsia" w:ascii="仿宋_GB2312" w:hAnsi="Times New Roman" w:eastAsia="仿宋_GB2312" w:cs="Times New Roman"/>
          <w:kern w:val="0"/>
          <w:sz w:val="28"/>
          <w:szCs w:val="28"/>
          <w:highlight w:val="none"/>
          <w:lang w:val="en-US" w:eastAsia="zh-CN"/>
        </w:rPr>
        <w:t xml:space="preserve">我委目前有行政科室13个，行政科室：工程建设与建筑市场管理科、房屋征收拆迁管理科、房地产开发管理科、工程质量和施工安全管理科、物业管理科、房屋市场管理科、房屋租赁管理科、住房保障科、法制科、行政办公室、政工科、财务科、内部审计科。 </w:t>
      </w:r>
    </w:p>
    <w:p>
      <w:pPr>
        <w:spacing w:line="620" w:lineRule="exact"/>
        <w:ind w:firstLine="560" w:firstLineChars="200"/>
        <w:jc w:val="left"/>
        <w:rPr>
          <w:rFonts w:hint="eastAsia" w:ascii="仿宋_GB2312" w:hAnsi="Times New Roman" w:eastAsia="仿宋_GB2312" w:cs="Times New Roman"/>
          <w:kern w:val="0"/>
          <w:sz w:val="28"/>
          <w:szCs w:val="28"/>
          <w:highlight w:val="none"/>
          <w:lang w:val="en-US" w:eastAsia="zh-CN" w:bidi="ar-SA"/>
        </w:rPr>
      </w:pPr>
      <w:r>
        <w:rPr>
          <w:rFonts w:hint="eastAsia" w:ascii="仿宋_GB2312" w:hAnsi="Times New Roman" w:eastAsia="仿宋_GB2312" w:cs="Times New Roman"/>
          <w:kern w:val="0"/>
          <w:sz w:val="28"/>
          <w:szCs w:val="28"/>
          <w:highlight w:val="none"/>
          <w:lang w:val="en-US" w:eastAsia="zh-CN" w:bidi="ar-SA"/>
        </w:rPr>
        <w:t>行政执法机构1个：住房城乡建设综合执法大队（副处级）；公益一类事业单位15个，其中：副处级公益一类事业单位1个：住房保障事务中心；参照公务员管理的公益一类事业单位1个：建设工程质量监督站；其他公益一类事业单位13个：综合事务中心、建筑行业服务中心、建设工程招投标管理事务中心、建筑材料行业管理事务中心、房屋安全管理中心、出租房屋管理服务中心、普通地下室管理中心、房屋产权交易管理中心、物业服务指导中心、老旧小区综合整治事务中心、住房建设档案管理中心、房屋管理事务中心、重大项目建设服务中心。</w:t>
      </w:r>
    </w:p>
    <w:p>
      <w:pPr>
        <w:spacing w:line="620" w:lineRule="exact"/>
        <w:ind w:firstLine="560" w:firstLineChars="200"/>
        <w:jc w:val="left"/>
        <w:rPr>
          <w:rFonts w:hint="eastAsia" w:ascii="仿宋_GB2312" w:hAnsi="Times New Roman" w:eastAsia="仿宋_GB2312" w:cs="Times New Roman"/>
          <w:kern w:val="0"/>
          <w:sz w:val="28"/>
          <w:szCs w:val="28"/>
          <w:highlight w:val="none"/>
          <w:lang w:val="en-US" w:eastAsia="zh-CN" w:bidi="ar-SA"/>
        </w:rPr>
      </w:pPr>
      <w:r>
        <w:rPr>
          <w:rFonts w:hint="eastAsia" w:ascii="仿宋_GB2312" w:hAnsi="Times New Roman" w:eastAsia="仿宋_GB2312" w:cs="Times New Roman"/>
          <w:kern w:val="0"/>
          <w:sz w:val="28"/>
          <w:szCs w:val="28"/>
          <w:highlight w:val="none"/>
          <w:lang w:val="en-US" w:eastAsia="zh-CN" w:bidi="ar-SA"/>
        </w:rPr>
        <w:t>公益二类事业单位1个：建设工程发包承包交易中心。</w:t>
      </w:r>
    </w:p>
    <w:p>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333045.1</w:t>
      </w:r>
      <w:r>
        <w:rPr>
          <w:rFonts w:hint="eastAsia" w:ascii="仿宋_GB2312" w:eastAsia="仿宋_GB2312"/>
          <w:sz w:val="28"/>
          <w:szCs w:val="28"/>
          <w:lang w:val="en-US" w:eastAsia="zh-CN"/>
        </w:rPr>
        <w:t>0</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536740.07</w:t>
      </w:r>
      <w:r>
        <w:rPr>
          <w:rFonts w:hint="eastAsia" w:ascii="仿宋_GB2312" w:eastAsia="仿宋_GB2312"/>
          <w:sz w:val="28"/>
          <w:szCs w:val="28"/>
        </w:rPr>
        <w:t>万元，下降</w:t>
      </w:r>
      <w:r>
        <w:rPr>
          <w:rFonts w:hint="eastAsia" w:ascii="仿宋_GB2312" w:eastAsia="仿宋_GB2312"/>
          <w:sz w:val="28"/>
          <w:szCs w:val="28"/>
          <w:lang w:val="en-US" w:eastAsia="zh-CN"/>
        </w:rPr>
        <w:t>61.71</w:t>
      </w:r>
      <w:r>
        <w:rPr>
          <w:rFonts w:hint="eastAsia" w:ascii="仿宋_GB2312" w:eastAsia="仿宋_GB2312"/>
          <w:sz w:val="28"/>
          <w:szCs w:val="28"/>
        </w:rPr>
        <w:t>%。</w:t>
      </w:r>
    </w:p>
    <w:p>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年度本年收入合计</w:t>
      </w:r>
      <w:r>
        <w:rPr>
          <w:rFonts w:ascii="仿宋_GB2312" w:eastAsia="仿宋_GB2312"/>
          <w:sz w:val="28"/>
          <w:szCs w:val="28"/>
        </w:rPr>
        <w:t>329189.2</w:t>
      </w:r>
      <w:r>
        <w:rPr>
          <w:rFonts w:hint="eastAsia" w:ascii="仿宋_GB2312" w:eastAsia="仿宋_GB2312"/>
          <w:sz w:val="28"/>
          <w:szCs w:val="28"/>
          <w:lang w:val="en-US" w:eastAsia="zh-CN"/>
        </w:rPr>
        <w:t>0</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减少537761.04万元，下降</w:t>
      </w:r>
      <w:r>
        <w:rPr>
          <w:rFonts w:hint="eastAsia" w:ascii="仿宋_GB2312" w:eastAsia="仿宋_GB2312"/>
          <w:sz w:val="28"/>
          <w:szCs w:val="28"/>
          <w:lang w:val="en-US" w:eastAsia="zh-CN"/>
        </w:rPr>
        <w:t>62.03</w:t>
      </w:r>
      <w:r>
        <w:rPr>
          <w:rFonts w:hint="eastAsia" w:ascii="仿宋_GB2312" w:eastAsia="仿宋_GB2312"/>
          <w:sz w:val="28"/>
          <w:szCs w:val="28"/>
        </w:rPr>
        <w:t>%。</w:t>
      </w:r>
    </w:p>
    <w:p>
      <w:pPr>
        <w:tabs>
          <w:tab w:val="center" w:pos="6979"/>
        </w:tabs>
        <w:spacing w:line="580" w:lineRule="exact"/>
        <w:ind w:firstLine="570"/>
        <w:rPr>
          <w:rFonts w:hint="eastAsia" w:ascii="仿宋_GB2312" w:eastAsia="仿宋_GB2312"/>
          <w:sz w:val="28"/>
          <w:szCs w:val="28"/>
          <w:lang w:eastAsia="zh-CN"/>
        </w:rPr>
      </w:pPr>
      <w:r>
        <w:rPr>
          <w:rFonts w:hint="eastAsia" w:ascii="仿宋_GB2312" w:eastAsia="仿宋_GB2312"/>
          <w:sz w:val="28"/>
          <w:szCs w:val="28"/>
          <w:lang w:val="en-US" w:eastAsia="zh-CN"/>
        </w:rPr>
        <w:t>1.</w:t>
      </w:r>
      <w:r>
        <w:rPr>
          <w:rFonts w:hint="eastAsia" w:ascii="仿宋_GB2312" w:eastAsia="仿宋_GB2312"/>
          <w:sz w:val="28"/>
          <w:szCs w:val="28"/>
        </w:rPr>
        <w:t>财政拨款收入</w:t>
      </w:r>
      <w:r>
        <w:rPr>
          <w:rFonts w:ascii="仿宋_GB2312" w:eastAsia="仿宋_GB2312"/>
          <w:sz w:val="28"/>
          <w:szCs w:val="28"/>
        </w:rPr>
        <w:t>328911.01</w:t>
      </w:r>
      <w:r>
        <w:rPr>
          <w:rFonts w:hint="eastAsia" w:ascii="仿宋_GB2312" w:eastAsia="仿宋_GB2312"/>
          <w:sz w:val="28"/>
          <w:szCs w:val="28"/>
        </w:rPr>
        <w:t>万元，占收入合计的</w:t>
      </w:r>
      <w:r>
        <w:rPr>
          <w:rFonts w:hint="eastAsia" w:ascii="仿宋_GB2312" w:eastAsia="仿宋_GB2312"/>
          <w:sz w:val="28"/>
          <w:szCs w:val="28"/>
          <w:lang w:eastAsia="zh-CN"/>
        </w:rPr>
        <w:t>99.92%。</w:t>
      </w:r>
      <w:r>
        <w:rPr>
          <w:rFonts w:hint="eastAsia" w:ascii="仿宋_GB2312" w:eastAsia="仿宋_GB2312"/>
          <w:sz w:val="28"/>
          <w:szCs w:val="28"/>
        </w:rPr>
        <w:t>其中：</w:t>
      </w:r>
      <w:r>
        <w:rPr>
          <w:rFonts w:hint="eastAsia" w:ascii="仿宋_GB2312" w:eastAsia="仿宋_GB2312"/>
          <w:sz w:val="28"/>
          <w:szCs w:val="28"/>
          <w:lang w:eastAsia="zh-CN"/>
        </w:rPr>
        <w:t>一般公共预算财政拨款收入</w:t>
      </w:r>
      <w:r>
        <w:rPr>
          <w:rFonts w:hint="eastAsia" w:ascii="仿宋_GB2312" w:eastAsia="仿宋_GB2312"/>
          <w:sz w:val="28"/>
          <w:szCs w:val="28"/>
        </w:rPr>
        <w:t>13993.4</w:t>
      </w:r>
      <w:r>
        <w:rPr>
          <w:rFonts w:hint="eastAsia" w:ascii="仿宋_GB2312" w:eastAsia="仿宋_GB2312"/>
          <w:sz w:val="28"/>
          <w:szCs w:val="28"/>
          <w:lang w:val="en-US" w:eastAsia="zh-CN"/>
        </w:rPr>
        <w:t>8</w:t>
      </w:r>
      <w:r>
        <w:rPr>
          <w:rFonts w:hint="eastAsia" w:ascii="仿宋_GB2312" w:eastAsia="仿宋_GB2312"/>
          <w:sz w:val="28"/>
          <w:szCs w:val="28"/>
        </w:rPr>
        <w:t>万元，占收入合计的</w:t>
      </w:r>
      <w:r>
        <w:rPr>
          <w:rFonts w:hint="eastAsia" w:ascii="仿宋_GB2312" w:eastAsia="仿宋_GB2312"/>
          <w:sz w:val="28"/>
          <w:szCs w:val="28"/>
          <w:lang w:val="en-US" w:eastAsia="zh-CN"/>
        </w:rPr>
        <w:t>4.25</w:t>
      </w:r>
      <w:r>
        <w:rPr>
          <w:rFonts w:hint="eastAsia" w:ascii="仿宋_GB2312" w:eastAsia="仿宋_GB2312"/>
          <w:sz w:val="28"/>
          <w:szCs w:val="28"/>
        </w:rPr>
        <w:t>%</w:t>
      </w:r>
      <w:r>
        <w:rPr>
          <w:rFonts w:hint="eastAsia" w:ascii="仿宋_GB2312" w:eastAsia="仿宋_GB2312"/>
          <w:sz w:val="28"/>
          <w:szCs w:val="28"/>
          <w:highlight w:val="none"/>
        </w:rPr>
        <w:t>；</w:t>
      </w:r>
      <w:r>
        <w:rPr>
          <w:rFonts w:hint="eastAsia" w:ascii="仿宋_GB2312" w:eastAsia="仿宋_GB2312"/>
          <w:sz w:val="28"/>
          <w:szCs w:val="28"/>
        </w:rPr>
        <w:t>政府性基金预算财政拨款收入314917.53万元，占收入合计的</w:t>
      </w:r>
      <w:r>
        <w:rPr>
          <w:rFonts w:hint="eastAsia" w:ascii="仿宋_GB2312" w:eastAsia="仿宋_GB2312"/>
          <w:sz w:val="28"/>
          <w:szCs w:val="28"/>
          <w:lang w:val="en-US" w:eastAsia="zh-CN"/>
        </w:rPr>
        <w:t>95.65</w:t>
      </w:r>
      <w:r>
        <w:rPr>
          <w:rFonts w:hint="eastAsia" w:ascii="仿宋_GB2312" w:eastAsia="仿宋_GB2312"/>
          <w:sz w:val="28"/>
          <w:szCs w:val="28"/>
        </w:rPr>
        <w:t>%；国有资本经营预算财政拨款收入</w:t>
      </w:r>
      <w:r>
        <w:rPr>
          <w:rFonts w:hint="eastAsia" w:ascii="仿宋_GB2312" w:eastAsia="仿宋_GB2312"/>
          <w:sz w:val="28"/>
          <w:szCs w:val="28"/>
          <w:lang w:val="en-US" w:eastAsia="zh-CN"/>
        </w:rPr>
        <w:t>0.00</w:t>
      </w:r>
      <w:r>
        <w:rPr>
          <w:rFonts w:hint="eastAsia" w:ascii="仿宋_GB2312" w:eastAsia="仿宋_GB2312"/>
          <w:sz w:val="28"/>
          <w:szCs w:val="28"/>
        </w:rPr>
        <w:t>万元，占收入合计的</w:t>
      </w:r>
      <w:r>
        <w:rPr>
          <w:rFonts w:hint="eastAsia" w:ascii="仿宋_GB2312" w:eastAsia="仿宋_GB2312"/>
          <w:sz w:val="28"/>
          <w:szCs w:val="28"/>
          <w:lang w:val="en-US" w:eastAsia="zh-CN"/>
        </w:rPr>
        <w:t>0.00</w:t>
      </w:r>
      <w:r>
        <w:rPr>
          <w:rFonts w:hint="eastAsia" w:ascii="仿宋_GB2312" w:eastAsia="仿宋_GB2312"/>
          <w:sz w:val="28"/>
          <w:szCs w:val="28"/>
        </w:rPr>
        <w:t>%；</w:t>
      </w:r>
    </w:p>
    <w:p>
      <w:pPr>
        <w:numPr>
          <w:ilvl w:val="0"/>
          <w:numId w:val="0"/>
        </w:numPr>
        <w:tabs>
          <w:tab w:val="center" w:pos="6979"/>
        </w:tabs>
        <w:spacing w:line="580" w:lineRule="exact"/>
        <w:ind w:firstLine="560" w:firstLineChars="200"/>
        <w:rPr>
          <w:rFonts w:hint="eastAsia" w:ascii="仿宋_GB2312" w:eastAsia="仿宋_GB2312"/>
          <w:sz w:val="28"/>
          <w:szCs w:val="28"/>
          <w:highlight w:val="none"/>
        </w:rPr>
      </w:pPr>
      <w:r>
        <w:rPr>
          <w:rFonts w:hint="eastAsia" w:ascii="仿宋_GB2312" w:eastAsia="仿宋_GB2312"/>
          <w:sz w:val="28"/>
          <w:szCs w:val="28"/>
          <w:lang w:val="en-US" w:eastAsia="zh-CN"/>
        </w:rPr>
        <w:t>2.</w:t>
      </w:r>
      <w:r>
        <w:rPr>
          <w:rFonts w:hint="eastAsia" w:ascii="仿宋_GB2312" w:eastAsia="仿宋_GB2312"/>
          <w:sz w:val="28"/>
          <w:szCs w:val="28"/>
        </w:rPr>
        <w:t>上级补助收入</w:t>
      </w:r>
      <w:r>
        <w:rPr>
          <w:rFonts w:hint="eastAsia" w:ascii="仿宋_GB2312" w:eastAsia="仿宋_GB2312"/>
          <w:sz w:val="28"/>
          <w:szCs w:val="28"/>
          <w:lang w:val="en-US" w:eastAsia="zh-CN"/>
        </w:rPr>
        <w:t>0.00</w:t>
      </w:r>
      <w:r>
        <w:rPr>
          <w:rFonts w:hint="eastAsia" w:ascii="仿宋_GB2312" w:eastAsia="仿宋_GB2312"/>
          <w:sz w:val="28"/>
          <w:szCs w:val="28"/>
          <w:highlight w:val="none"/>
        </w:rPr>
        <w:t>万元，占收入合计的</w:t>
      </w:r>
      <w:r>
        <w:rPr>
          <w:rFonts w:hint="eastAsia" w:ascii="仿宋_GB2312" w:eastAsia="仿宋_GB2312"/>
          <w:sz w:val="28"/>
          <w:szCs w:val="28"/>
          <w:lang w:val="en-US" w:eastAsia="zh-CN"/>
        </w:rPr>
        <w:t>0.00</w:t>
      </w:r>
      <w:r>
        <w:rPr>
          <w:rFonts w:hint="eastAsia" w:ascii="仿宋_GB2312" w:eastAsia="仿宋_GB2312"/>
          <w:sz w:val="28"/>
          <w:szCs w:val="28"/>
          <w:highlight w:val="none"/>
        </w:rPr>
        <w:t>%；</w:t>
      </w:r>
    </w:p>
    <w:p>
      <w:pPr>
        <w:numPr>
          <w:ilvl w:val="0"/>
          <w:numId w:val="0"/>
        </w:numPr>
        <w:tabs>
          <w:tab w:val="center" w:pos="6979"/>
        </w:tabs>
        <w:spacing w:line="580" w:lineRule="exact"/>
        <w:ind w:firstLine="560" w:firstLineChars="200"/>
        <w:rPr>
          <w:rFonts w:hint="eastAsia" w:ascii="仿宋_GB2312" w:eastAsia="仿宋_GB2312"/>
          <w:sz w:val="28"/>
          <w:szCs w:val="28"/>
          <w:highlight w:val="none"/>
        </w:rPr>
      </w:pPr>
      <w:r>
        <w:rPr>
          <w:rFonts w:hint="eastAsia" w:ascii="仿宋_GB2312" w:eastAsia="仿宋_GB2312"/>
          <w:sz w:val="28"/>
          <w:szCs w:val="28"/>
          <w:highlight w:val="none"/>
          <w:lang w:val="en-US" w:eastAsia="zh-CN"/>
        </w:rPr>
        <w:t>3.</w:t>
      </w:r>
      <w:r>
        <w:rPr>
          <w:rFonts w:hint="eastAsia" w:ascii="仿宋_GB2312" w:eastAsia="仿宋_GB2312"/>
          <w:sz w:val="28"/>
          <w:szCs w:val="28"/>
          <w:highlight w:val="none"/>
        </w:rPr>
        <w:t>事业收入</w:t>
      </w:r>
      <w:r>
        <w:rPr>
          <w:rFonts w:ascii="仿宋_GB2312" w:eastAsia="仿宋_GB2312"/>
          <w:sz w:val="28"/>
          <w:szCs w:val="28"/>
          <w:highlight w:val="none"/>
        </w:rPr>
        <w:t>267.59</w:t>
      </w:r>
      <w:r>
        <w:rPr>
          <w:rFonts w:hint="eastAsia" w:ascii="仿宋_GB2312" w:eastAsia="仿宋_GB2312"/>
          <w:sz w:val="28"/>
          <w:szCs w:val="28"/>
          <w:highlight w:val="none"/>
        </w:rPr>
        <w:t>万元，占收入合计的</w:t>
      </w:r>
      <w:r>
        <w:rPr>
          <w:rFonts w:hint="eastAsia" w:ascii="仿宋_GB2312" w:eastAsia="仿宋_GB2312"/>
          <w:sz w:val="28"/>
          <w:szCs w:val="28"/>
          <w:highlight w:val="none"/>
          <w:lang w:eastAsia="zh-CN"/>
        </w:rPr>
        <w:t>0.08</w:t>
      </w:r>
      <w:r>
        <w:rPr>
          <w:rFonts w:hint="eastAsia" w:ascii="仿宋_GB2312" w:eastAsia="仿宋_GB2312"/>
          <w:sz w:val="28"/>
          <w:szCs w:val="28"/>
          <w:highlight w:val="none"/>
        </w:rPr>
        <w:t>%；</w:t>
      </w:r>
    </w:p>
    <w:p>
      <w:pPr>
        <w:tabs>
          <w:tab w:val="center" w:pos="6979"/>
        </w:tabs>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4.经营收入</w:t>
      </w:r>
      <w:r>
        <w:rPr>
          <w:rFonts w:hint="eastAsia" w:ascii="仿宋_GB2312" w:eastAsia="仿宋_GB2312"/>
          <w:sz w:val="28"/>
          <w:szCs w:val="28"/>
          <w:lang w:val="en-US" w:eastAsia="zh-CN"/>
        </w:rPr>
        <w:t>0.00</w:t>
      </w:r>
      <w:r>
        <w:rPr>
          <w:rFonts w:hint="eastAsia" w:ascii="仿宋_GB2312" w:eastAsia="仿宋_GB2312"/>
          <w:sz w:val="28"/>
          <w:szCs w:val="28"/>
          <w:highlight w:val="none"/>
        </w:rPr>
        <w:t>万元，占收入合计的</w:t>
      </w:r>
      <w:r>
        <w:rPr>
          <w:rFonts w:hint="eastAsia" w:ascii="仿宋_GB2312" w:eastAsia="仿宋_GB2312"/>
          <w:sz w:val="28"/>
          <w:szCs w:val="28"/>
          <w:lang w:val="en-US" w:eastAsia="zh-CN"/>
        </w:rPr>
        <w:t>0.00</w:t>
      </w:r>
      <w:r>
        <w:rPr>
          <w:rFonts w:hint="eastAsia" w:ascii="仿宋_GB2312" w:eastAsia="仿宋_GB2312"/>
          <w:sz w:val="28"/>
          <w:szCs w:val="28"/>
          <w:highlight w:val="none"/>
        </w:rPr>
        <w:t>%；</w:t>
      </w:r>
    </w:p>
    <w:p>
      <w:pPr>
        <w:tabs>
          <w:tab w:val="center" w:pos="6979"/>
        </w:tabs>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5.附属单位上缴收入</w:t>
      </w:r>
      <w:r>
        <w:rPr>
          <w:rFonts w:hint="eastAsia" w:ascii="仿宋_GB2312" w:eastAsia="仿宋_GB2312"/>
          <w:sz w:val="28"/>
          <w:szCs w:val="28"/>
          <w:lang w:val="en-US" w:eastAsia="zh-CN"/>
        </w:rPr>
        <w:t>0.00</w:t>
      </w:r>
      <w:r>
        <w:rPr>
          <w:rFonts w:hint="eastAsia" w:ascii="仿宋_GB2312" w:eastAsia="仿宋_GB2312"/>
          <w:sz w:val="28"/>
          <w:szCs w:val="28"/>
          <w:highlight w:val="none"/>
        </w:rPr>
        <w:t>万元，占收入合计的</w:t>
      </w:r>
      <w:r>
        <w:rPr>
          <w:rFonts w:hint="eastAsia" w:ascii="仿宋_GB2312" w:eastAsia="仿宋_GB2312"/>
          <w:sz w:val="28"/>
          <w:szCs w:val="28"/>
          <w:lang w:val="en-US" w:eastAsia="zh-CN"/>
        </w:rPr>
        <w:t>0.00</w:t>
      </w:r>
      <w:r>
        <w:rPr>
          <w:rFonts w:hint="eastAsia" w:ascii="仿宋_GB2312" w:eastAsia="仿宋_GB2312"/>
          <w:sz w:val="28"/>
          <w:szCs w:val="28"/>
          <w:highlight w:val="none"/>
        </w:rPr>
        <w:t>%；</w:t>
      </w:r>
    </w:p>
    <w:p>
      <w:pPr>
        <w:tabs>
          <w:tab w:val="center" w:pos="6979"/>
        </w:tabs>
        <w:spacing w:line="58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6.其他收入</w:t>
      </w:r>
      <w:r>
        <w:rPr>
          <w:rFonts w:ascii="仿宋_GB2312" w:eastAsia="仿宋_GB2312"/>
          <w:sz w:val="28"/>
          <w:szCs w:val="28"/>
          <w:highlight w:val="none"/>
        </w:rPr>
        <w:t>10.6</w:t>
      </w:r>
      <w:r>
        <w:rPr>
          <w:rFonts w:hint="eastAsia" w:ascii="仿宋_GB2312" w:eastAsia="仿宋_GB2312"/>
          <w:sz w:val="28"/>
          <w:szCs w:val="28"/>
          <w:highlight w:val="none"/>
        </w:rPr>
        <w:t>万元，占收入合计的</w:t>
      </w:r>
      <w:r>
        <w:rPr>
          <w:rFonts w:hint="eastAsia" w:ascii="仿宋_GB2312" w:eastAsia="仿宋_GB2312"/>
          <w:sz w:val="28"/>
          <w:szCs w:val="28"/>
          <w:lang w:val="en-US" w:eastAsia="zh-CN"/>
        </w:rPr>
        <w:t>0.00</w:t>
      </w:r>
      <w:r>
        <w:rPr>
          <w:rFonts w:hint="eastAsia" w:ascii="仿宋_GB2312" w:eastAsia="仿宋_GB2312"/>
          <w:sz w:val="28"/>
          <w:szCs w:val="28"/>
          <w:highlight w:val="none"/>
        </w:rPr>
        <w:t>%。</w:t>
      </w:r>
    </w:p>
    <w:p>
      <w:pPr>
        <w:pStyle w:val="3"/>
        <w:ind w:firstLine="0"/>
        <w:jc w:val="center"/>
      </w:pPr>
      <w:r>
        <w:drawing>
          <wp:anchor distT="0" distB="0" distL="114300" distR="114300" simplePos="0" relativeHeight="251658240" behindDoc="0" locked="0" layoutInCell="1" allowOverlap="1">
            <wp:simplePos x="0" y="0"/>
            <wp:positionH relativeFrom="column">
              <wp:posOffset>2533650</wp:posOffset>
            </wp:positionH>
            <wp:positionV relativeFrom="paragraph">
              <wp:posOffset>532130</wp:posOffset>
            </wp:positionV>
            <wp:extent cx="4053840" cy="2072640"/>
            <wp:effectExtent l="4445" t="4445" r="10795" b="10795"/>
            <wp:wrapNone/>
            <wp:docPr id="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hint="eastAsia" w:ascii="仿宋_GB2312" w:eastAsia="仿宋_GB2312"/>
          <w:color w:val="000000"/>
          <w:sz w:val="32"/>
          <w:szCs w:val="32"/>
          <w:highlight w:val="none"/>
          <w:lang w:val="en-US" w:eastAsia="zh-CN"/>
        </w:rPr>
        <w:t>图1：收入决算</w:t>
      </w:r>
    </w:p>
    <w:p>
      <w:pPr>
        <w:pStyle w:val="2"/>
        <w:ind w:firstLine="420"/>
        <w:jc w:val="center"/>
      </w:pPr>
    </w:p>
    <w:p>
      <w:pPr>
        <w:pStyle w:val="2"/>
        <w:ind w:firstLine="420"/>
        <w:jc w:val="center"/>
      </w:pPr>
    </w:p>
    <w:p>
      <w:pPr>
        <w:pStyle w:val="2"/>
        <w:ind w:firstLine="420"/>
        <w:jc w:val="center"/>
      </w:pPr>
    </w:p>
    <w:p>
      <w:pPr>
        <w:pStyle w:val="2"/>
        <w:ind w:firstLine="420"/>
        <w:jc w:val="center"/>
      </w:pPr>
    </w:p>
    <w:p>
      <w:pPr>
        <w:pStyle w:val="2"/>
        <w:ind w:firstLine="420"/>
        <w:jc w:val="center"/>
      </w:pPr>
    </w:p>
    <w:p>
      <w:pPr>
        <w:pStyle w:val="2"/>
        <w:ind w:firstLine="420"/>
        <w:jc w:val="center"/>
      </w:pPr>
    </w:p>
    <w:p>
      <w:pPr>
        <w:pStyle w:val="2"/>
        <w:ind w:firstLine="420"/>
        <w:jc w:val="center"/>
      </w:pPr>
    </w:p>
    <w:p>
      <w:pPr>
        <w:pStyle w:val="2"/>
        <w:ind w:firstLine="420"/>
        <w:jc w:val="center"/>
      </w:pPr>
    </w:p>
    <w:p>
      <w:pPr>
        <w:pStyle w:val="2"/>
        <w:ind w:firstLine="420"/>
        <w:jc w:val="center"/>
      </w:pPr>
    </w:p>
    <w:p>
      <w:pPr>
        <w:pStyle w:val="2"/>
        <w:ind w:firstLine="420"/>
        <w:jc w:val="center"/>
      </w:pP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332879.76</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lang w:eastAsia="zh-CN"/>
        </w:rPr>
        <w:t>减少</w:t>
      </w:r>
      <w:r>
        <w:rPr>
          <w:rFonts w:hint="eastAsia" w:ascii="仿宋_GB2312" w:eastAsia="仿宋_GB2312"/>
          <w:sz w:val="28"/>
          <w:szCs w:val="28"/>
        </w:rPr>
        <w:t>536621.41万元，下降</w:t>
      </w:r>
      <w:r>
        <w:rPr>
          <w:rFonts w:hint="eastAsia" w:ascii="仿宋_GB2312" w:eastAsia="仿宋_GB2312"/>
          <w:sz w:val="28"/>
          <w:szCs w:val="28"/>
          <w:lang w:val="en-US" w:eastAsia="zh-CN"/>
        </w:rPr>
        <w:t>61.72</w:t>
      </w:r>
      <w:r>
        <w:rPr>
          <w:rFonts w:hint="eastAsia" w:ascii="仿宋_GB2312" w:eastAsia="仿宋_GB2312"/>
          <w:sz w:val="28"/>
          <w:szCs w:val="28"/>
        </w:rPr>
        <w:t>%，其中：基本支</w:t>
      </w:r>
      <w:r>
        <w:rPr>
          <w:rFonts w:hint="eastAsia" w:ascii="仿宋_GB2312" w:eastAsia="仿宋_GB2312"/>
          <w:sz w:val="28"/>
          <w:szCs w:val="28"/>
          <w:highlight w:val="none"/>
        </w:rPr>
        <w:t>出</w:t>
      </w:r>
      <w:r>
        <w:rPr>
          <w:rFonts w:ascii="仿宋_GB2312" w:eastAsia="仿宋_GB2312"/>
          <w:sz w:val="28"/>
          <w:szCs w:val="28"/>
          <w:highlight w:val="none"/>
        </w:rPr>
        <w:t>12173.03</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3.66</w:t>
      </w:r>
      <w:r>
        <w:rPr>
          <w:rFonts w:hint="eastAsia" w:ascii="仿宋_GB2312" w:eastAsia="仿宋_GB2312"/>
          <w:sz w:val="28"/>
          <w:szCs w:val="28"/>
          <w:highlight w:val="none"/>
        </w:rPr>
        <w:t>%；项目支出</w:t>
      </w:r>
      <w:r>
        <w:rPr>
          <w:rFonts w:ascii="仿宋_GB2312" w:eastAsia="仿宋_GB2312"/>
          <w:sz w:val="28"/>
          <w:szCs w:val="28"/>
          <w:highlight w:val="none"/>
        </w:rPr>
        <w:t>320706.73</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96.34</w:t>
      </w:r>
      <w:r>
        <w:rPr>
          <w:rFonts w:hint="eastAsia" w:ascii="仿宋_GB2312" w:eastAsia="仿宋_GB2312"/>
          <w:sz w:val="28"/>
          <w:szCs w:val="28"/>
          <w:highlight w:val="none"/>
        </w:rPr>
        <w:t>%;上缴上级支出</w:t>
      </w:r>
      <w:r>
        <w:rPr>
          <w:rFonts w:ascii="仿宋_GB2312" w:eastAsia="仿宋_GB2312"/>
          <w:sz w:val="28"/>
          <w:szCs w:val="28"/>
          <w:highlight w:val="none"/>
        </w:rPr>
        <w:t>0</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%；经营支出</w:t>
      </w:r>
      <w:r>
        <w:rPr>
          <w:rFonts w:ascii="仿宋_GB2312" w:eastAsia="仿宋_GB2312"/>
          <w:sz w:val="28"/>
          <w:szCs w:val="28"/>
          <w:highlight w:val="none"/>
        </w:rPr>
        <w:t>0</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%；对附属单位补助支出</w:t>
      </w:r>
      <w:r>
        <w:rPr>
          <w:rFonts w:ascii="仿宋_GB2312" w:eastAsia="仿宋_GB2312"/>
          <w:sz w:val="28"/>
          <w:szCs w:val="28"/>
          <w:highlight w:val="none"/>
        </w:rPr>
        <w:t>0</w:t>
      </w:r>
      <w:r>
        <w:rPr>
          <w:rFonts w:hint="eastAsia" w:ascii="仿宋_GB2312" w:eastAsia="仿宋_GB2312"/>
          <w:sz w:val="28"/>
          <w:szCs w:val="28"/>
          <w:highlight w:val="none"/>
        </w:rPr>
        <w:t>万元，占支出合计的</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w:t>
      </w:r>
      <w:r>
        <w:rPr>
          <w:rFonts w:hint="eastAsia" w:ascii="仿宋_GB2312" w:eastAsia="仿宋_GB2312"/>
          <w:sz w:val="28"/>
          <w:szCs w:val="28"/>
        </w:rPr>
        <w:t>。</w:t>
      </w:r>
    </w:p>
    <w:p>
      <w:pPr>
        <w:pStyle w:val="3"/>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pPr>
        <w:jc w:val="center"/>
        <w:rPr>
          <w:rFonts w:ascii="黑体" w:eastAsia="黑体"/>
          <w:b/>
          <w:sz w:val="28"/>
          <w:szCs w:val="28"/>
        </w:rPr>
      </w:pPr>
      <w:r>
        <w:drawing>
          <wp:inline distT="0" distB="0" distL="114300" distR="114300">
            <wp:extent cx="3422015" cy="2020570"/>
            <wp:effectExtent l="4445" t="4445" r="17780" b="1714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332323.21</w:t>
      </w:r>
      <w:r>
        <w:rPr>
          <w:rFonts w:hint="eastAsia" w:ascii="仿宋_GB2312" w:eastAsia="仿宋_GB2312"/>
          <w:sz w:val="28"/>
          <w:szCs w:val="28"/>
        </w:rPr>
        <w:t>万元，比上年减少</w:t>
      </w:r>
      <w:r>
        <w:rPr>
          <w:rFonts w:hint="eastAsia" w:ascii="仿宋_GB2312" w:eastAsia="仿宋_GB2312"/>
          <w:sz w:val="28"/>
          <w:szCs w:val="28"/>
          <w:lang w:val="en-US" w:eastAsia="zh-CN"/>
        </w:rPr>
        <w:t>536067.96</w:t>
      </w:r>
      <w:r>
        <w:rPr>
          <w:rFonts w:hint="eastAsia" w:ascii="仿宋_GB2312" w:eastAsia="仿宋_GB2312"/>
          <w:sz w:val="28"/>
          <w:szCs w:val="28"/>
        </w:rPr>
        <w:t>万元，下降</w:t>
      </w:r>
      <w:r>
        <w:rPr>
          <w:rFonts w:hint="eastAsia" w:ascii="仿宋_GB2312" w:eastAsia="仿宋_GB2312"/>
          <w:sz w:val="28"/>
          <w:szCs w:val="28"/>
          <w:lang w:val="en-US" w:eastAsia="zh-CN"/>
        </w:rPr>
        <w:t>61.73</w:t>
      </w:r>
      <w:r>
        <w:rPr>
          <w:rFonts w:hint="eastAsia" w:ascii="仿宋_GB2312" w:eastAsia="仿宋_GB2312"/>
          <w:sz w:val="28"/>
          <w:szCs w:val="28"/>
        </w:rPr>
        <w:t>%。主要原因：</w:t>
      </w:r>
      <w:r>
        <w:rPr>
          <w:rFonts w:hint="eastAsia" w:ascii="仿宋_GB2312" w:eastAsia="仿宋_GB2312"/>
          <w:sz w:val="28"/>
          <w:szCs w:val="28"/>
          <w:lang w:eastAsia="zh-CN"/>
        </w:rPr>
        <w:t>项目资金减少</w:t>
      </w:r>
      <w:r>
        <w:rPr>
          <w:rFonts w:hint="eastAsia" w:ascii="仿宋_GB2312" w:eastAsia="仿宋_GB2312"/>
          <w:sz w:val="28"/>
          <w:szCs w:val="28"/>
        </w:rPr>
        <w:t>。</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年度一般公共预算财政拨款支出</w:t>
      </w:r>
      <w:r>
        <w:rPr>
          <w:rFonts w:ascii="仿宋_GB2312" w:eastAsia="仿宋_GB2312"/>
          <w:sz w:val="28"/>
          <w:szCs w:val="28"/>
        </w:rPr>
        <w:t>14957.67</w:t>
      </w:r>
      <w:r>
        <w:rPr>
          <w:rFonts w:hint="eastAsia" w:ascii="仿宋_GB2312" w:eastAsia="仿宋_GB2312"/>
          <w:sz w:val="28"/>
          <w:szCs w:val="28"/>
        </w:rPr>
        <w:t>万元，主要用于以下方面：教育支出1.41万元，占本年财政拨款支出</w:t>
      </w:r>
      <w:r>
        <w:rPr>
          <w:rFonts w:hint="eastAsia" w:ascii="仿宋_GB2312" w:eastAsia="仿宋_GB2312"/>
          <w:sz w:val="28"/>
          <w:szCs w:val="28"/>
          <w:lang w:val="en-US" w:eastAsia="zh-CN"/>
        </w:rPr>
        <w:t>0.00</w:t>
      </w:r>
      <w:r>
        <w:rPr>
          <w:rFonts w:hint="eastAsia" w:ascii="仿宋_GB2312" w:eastAsia="仿宋_GB2312"/>
          <w:sz w:val="28"/>
          <w:szCs w:val="28"/>
        </w:rPr>
        <w:t>%；社会保障和就业支出1997.83</w:t>
      </w:r>
      <w:r>
        <w:rPr>
          <w:rFonts w:hint="eastAsia" w:ascii="仿宋_GB2312" w:eastAsia="仿宋_GB2312"/>
          <w:sz w:val="28"/>
          <w:szCs w:val="28"/>
          <w:lang w:eastAsia="zh-CN"/>
        </w:rPr>
        <w:t>万元，</w:t>
      </w:r>
      <w:r>
        <w:rPr>
          <w:rFonts w:hint="eastAsia" w:ascii="仿宋_GB2312" w:eastAsia="仿宋_GB2312"/>
          <w:sz w:val="28"/>
          <w:szCs w:val="28"/>
        </w:rPr>
        <w:t>占本年财政拨款支出</w:t>
      </w:r>
      <w:r>
        <w:rPr>
          <w:rFonts w:hint="eastAsia" w:ascii="仿宋_GB2312" w:eastAsia="仿宋_GB2312"/>
          <w:sz w:val="28"/>
          <w:szCs w:val="28"/>
          <w:lang w:val="en-US" w:eastAsia="zh-CN"/>
        </w:rPr>
        <w:t>0.60</w:t>
      </w:r>
      <w:r>
        <w:rPr>
          <w:rFonts w:hint="eastAsia" w:ascii="仿宋_GB2312" w:eastAsia="仿宋_GB2312"/>
          <w:sz w:val="28"/>
          <w:szCs w:val="28"/>
        </w:rPr>
        <w:t>%</w:t>
      </w:r>
      <w:r>
        <w:rPr>
          <w:rFonts w:hint="eastAsia" w:ascii="仿宋_GB2312" w:eastAsia="仿宋_GB2312"/>
          <w:sz w:val="28"/>
          <w:szCs w:val="28"/>
          <w:lang w:eastAsia="zh-CN"/>
        </w:rPr>
        <w:t>；卫生健康支出886.28万元，占本年财政拨款支出</w:t>
      </w:r>
      <w:r>
        <w:rPr>
          <w:rFonts w:hint="eastAsia" w:ascii="仿宋_GB2312" w:eastAsia="仿宋_GB2312"/>
          <w:sz w:val="28"/>
          <w:szCs w:val="28"/>
          <w:lang w:val="en-US" w:eastAsia="zh-CN"/>
        </w:rPr>
        <w:t>0.27%；节能环保支出809.37万元，占本年财政拨款支出0.24%；城乡社区支出9311.69万元，占本年财政拨款支出2.80%；住房保障支出1951.07万元，占本年财政拨款支出0.58%</w:t>
      </w:r>
      <w:r>
        <w:rPr>
          <w:rFonts w:hint="eastAsia" w:ascii="仿宋_GB2312" w:eastAsia="仿宋_GB2312"/>
          <w:sz w:val="28"/>
          <w:szCs w:val="28"/>
        </w:rPr>
        <w:t>。</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1、</w:t>
      </w:r>
      <w:r>
        <w:rPr>
          <w:rFonts w:hint="eastAsia" w:ascii="仿宋_GB2312" w:eastAsia="仿宋_GB2312"/>
          <w:sz w:val="28"/>
          <w:szCs w:val="28"/>
          <w:highlight w:val="none"/>
        </w:rPr>
        <w:t>“教育支出”</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2.00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highlight w:val="none"/>
        </w:rPr>
        <w:t>1.41</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70.50</w:t>
      </w:r>
      <w:r>
        <w:rPr>
          <w:rFonts w:hint="eastAsia" w:ascii="仿宋_GB2312" w:eastAsia="仿宋_GB2312"/>
          <w:sz w:val="28"/>
          <w:szCs w:val="28"/>
        </w:rPr>
        <w:t>%。其中：</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w:t>
      </w:r>
      <w:r>
        <w:rPr>
          <w:rFonts w:hint="eastAsia" w:ascii="仿宋_GB2312" w:eastAsia="仿宋_GB2312"/>
          <w:sz w:val="28"/>
          <w:szCs w:val="28"/>
          <w:lang w:eastAsia="zh-CN"/>
        </w:rPr>
        <w:t>进修及培训</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2.00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highlight w:val="none"/>
        </w:rPr>
        <w:t>1.41</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70.50</w:t>
      </w:r>
      <w:r>
        <w:rPr>
          <w:rFonts w:hint="eastAsia" w:ascii="仿宋_GB2312" w:eastAsia="仿宋_GB2312"/>
          <w:sz w:val="28"/>
          <w:szCs w:val="28"/>
        </w:rPr>
        <w:t>%。主要原因：</w:t>
      </w:r>
      <w:r>
        <w:rPr>
          <w:rFonts w:hint="eastAsia" w:ascii="仿宋_GB2312" w:eastAsia="仿宋_GB2312"/>
          <w:sz w:val="28"/>
          <w:szCs w:val="28"/>
          <w:lang w:eastAsia="zh-CN"/>
        </w:rPr>
        <w:t>培训费按实际发生金额支出</w:t>
      </w:r>
      <w:r>
        <w:rPr>
          <w:rFonts w:hint="eastAsia" w:ascii="仿宋_GB2312" w:eastAsia="仿宋_GB2312"/>
          <w:sz w:val="28"/>
          <w:szCs w:val="28"/>
        </w:rPr>
        <w:t>。</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2、“社会保障和就业支出”</w:t>
      </w:r>
      <w:r>
        <w:rPr>
          <w:rFonts w:hint="eastAsia" w:ascii="仿宋_GB2312" w:eastAsia="仿宋_GB2312"/>
          <w:sz w:val="28"/>
          <w:szCs w:val="28"/>
          <w:lang w:val="en-US" w:eastAsia="zh-CN"/>
        </w:rPr>
        <w:t xml:space="preserve"> </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1386.70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年度决算1997.83万元，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144.07</w:t>
      </w:r>
      <w:r>
        <w:rPr>
          <w:rFonts w:hint="eastAsia" w:ascii="仿宋_GB2312" w:eastAsia="仿宋_GB2312"/>
          <w:sz w:val="28"/>
          <w:szCs w:val="28"/>
        </w:rPr>
        <w:t>%。其中：</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w:t>
      </w:r>
      <w:r>
        <w:rPr>
          <w:rFonts w:hint="eastAsia" w:ascii="仿宋_GB2312" w:eastAsia="仿宋_GB2312"/>
          <w:sz w:val="28"/>
          <w:szCs w:val="28"/>
          <w:lang w:eastAsia="zh-CN"/>
        </w:rPr>
        <w:t>行政事业单位养老支出</w:t>
      </w:r>
      <w:r>
        <w:rPr>
          <w:rFonts w:hint="eastAsia" w:ascii="仿宋_GB2312" w:eastAsia="仿宋_GB2312"/>
          <w:sz w:val="28"/>
          <w:szCs w:val="28"/>
        </w:rPr>
        <w:t>”</w:t>
      </w:r>
      <w:r>
        <w:rPr>
          <w:rFonts w:hint="eastAsia" w:ascii="仿宋_GB2312" w:eastAsia="仿宋_GB2312"/>
          <w:sz w:val="28"/>
          <w:szCs w:val="28"/>
          <w:lang w:val="en-US" w:eastAsia="zh-CN"/>
        </w:rPr>
        <w:t xml:space="preserve"> </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1386.70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年度决算1997.83万元，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144.07</w:t>
      </w:r>
      <w:r>
        <w:rPr>
          <w:rFonts w:hint="eastAsia" w:ascii="仿宋_GB2312" w:eastAsia="仿宋_GB2312"/>
          <w:sz w:val="28"/>
          <w:szCs w:val="28"/>
        </w:rPr>
        <w:t>%。主要原因：</w:t>
      </w:r>
      <w:r>
        <w:rPr>
          <w:rFonts w:hint="eastAsia" w:ascii="仿宋_GB2312" w:eastAsia="仿宋_GB2312"/>
          <w:sz w:val="28"/>
          <w:szCs w:val="28"/>
          <w:lang w:eastAsia="zh-CN"/>
        </w:rPr>
        <w:t>本单位入职人数增加</w:t>
      </w:r>
      <w:r>
        <w:rPr>
          <w:rFonts w:hint="eastAsia" w:ascii="仿宋_GB2312" w:eastAsia="仿宋_GB2312"/>
          <w:sz w:val="28"/>
          <w:szCs w:val="28"/>
        </w:rPr>
        <w:t>。</w:t>
      </w:r>
    </w:p>
    <w:p>
      <w:pPr>
        <w:autoSpaceDE w:val="0"/>
        <w:autoSpaceDN w:val="0"/>
        <w:adjustRightInd w:val="0"/>
        <w:spacing w:line="580" w:lineRule="exact"/>
        <w:jc w:val="left"/>
        <w:rPr>
          <w:rFonts w:hint="eastAsia" w:ascii="仿宋_GB2312" w:eastAsia="仿宋_GB2312"/>
          <w:sz w:val="28"/>
          <w:szCs w:val="28"/>
        </w:rPr>
      </w:pPr>
      <w:r>
        <w:rPr>
          <w:rFonts w:hint="eastAsia" w:ascii="仿宋_GB2312" w:eastAsia="仿宋_GB2312"/>
          <w:sz w:val="28"/>
          <w:szCs w:val="28"/>
          <w:lang w:val="en-US" w:eastAsia="zh-CN"/>
        </w:rPr>
        <w:t xml:space="preserve">    3、“卫生健康支出”</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876.06万元，</w:t>
      </w:r>
      <w:r>
        <w:rPr>
          <w:rFonts w:hint="eastAsia" w:ascii="仿宋_GB2312" w:eastAsia="仿宋_GB2312"/>
          <w:sz w:val="28"/>
          <w:szCs w:val="28"/>
        </w:rPr>
        <w:t>2024年度决算</w:t>
      </w:r>
      <w:r>
        <w:rPr>
          <w:rFonts w:hint="eastAsia" w:ascii="仿宋_GB2312" w:eastAsia="仿宋_GB2312"/>
          <w:sz w:val="28"/>
          <w:szCs w:val="28"/>
          <w:lang w:eastAsia="zh-CN"/>
        </w:rPr>
        <w:t>886.28万元，完成年初预算的</w:t>
      </w:r>
      <w:r>
        <w:rPr>
          <w:rFonts w:hint="eastAsia" w:ascii="仿宋_GB2312" w:eastAsia="仿宋_GB2312"/>
          <w:sz w:val="28"/>
          <w:szCs w:val="28"/>
          <w:lang w:val="en-US" w:eastAsia="zh-CN"/>
        </w:rPr>
        <w:t>101.17%。其中：</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w:t>
      </w:r>
      <w:r>
        <w:rPr>
          <w:rFonts w:hint="eastAsia" w:ascii="仿宋_GB2312" w:eastAsia="仿宋_GB2312"/>
          <w:sz w:val="28"/>
          <w:szCs w:val="28"/>
          <w:lang w:eastAsia="zh-CN"/>
        </w:rPr>
        <w:t>行政事业单位医疗</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876.06万元，</w:t>
      </w:r>
      <w:r>
        <w:rPr>
          <w:rFonts w:hint="eastAsia" w:ascii="仿宋_GB2312" w:eastAsia="仿宋_GB2312"/>
          <w:sz w:val="28"/>
          <w:szCs w:val="28"/>
        </w:rPr>
        <w:t>2024年度决算</w:t>
      </w:r>
      <w:r>
        <w:rPr>
          <w:rFonts w:hint="eastAsia" w:ascii="仿宋_GB2312" w:eastAsia="仿宋_GB2312"/>
          <w:sz w:val="28"/>
          <w:szCs w:val="28"/>
          <w:lang w:eastAsia="zh-CN"/>
        </w:rPr>
        <w:t>886.28万元，完成年初预算的</w:t>
      </w:r>
      <w:r>
        <w:rPr>
          <w:rFonts w:hint="eastAsia" w:ascii="仿宋_GB2312" w:eastAsia="仿宋_GB2312"/>
          <w:sz w:val="28"/>
          <w:szCs w:val="28"/>
          <w:lang w:val="en-US" w:eastAsia="zh-CN"/>
        </w:rPr>
        <w:t>101.17%。</w:t>
      </w:r>
      <w:r>
        <w:rPr>
          <w:rFonts w:hint="eastAsia" w:ascii="仿宋_GB2312" w:eastAsia="仿宋_GB2312"/>
          <w:sz w:val="28"/>
          <w:szCs w:val="28"/>
        </w:rPr>
        <w:t>主要原因：</w:t>
      </w:r>
      <w:r>
        <w:rPr>
          <w:rFonts w:hint="eastAsia" w:ascii="仿宋_GB2312" w:eastAsia="仿宋_GB2312"/>
          <w:sz w:val="28"/>
          <w:szCs w:val="28"/>
          <w:lang w:eastAsia="zh-CN"/>
        </w:rPr>
        <w:t>本单位社保基数调整</w:t>
      </w:r>
      <w:r>
        <w:rPr>
          <w:rFonts w:hint="eastAsia" w:ascii="仿宋_GB2312" w:eastAsia="仿宋_GB2312"/>
          <w:sz w:val="28"/>
          <w:szCs w:val="28"/>
        </w:rPr>
        <w:t>。</w:t>
      </w:r>
    </w:p>
    <w:p>
      <w:pPr>
        <w:numPr>
          <w:ilvl w:val="0"/>
          <w:numId w:val="0"/>
        </w:numPr>
        <w:spacing w:line="580" w:lineRule="exact"/>
        <w:ind w:firstLine="560"/>
        <w:rPr>
          <w:rFonts w:hint="eastAsia" w:ascii="仿宋_GB2312" w:eastAsia="仿宋_GB2312"/>
          <w:sz w:val="28"/>
          <w:szCs w:val="28"/>
          <w:lang w:val="en-US" w:eastAsia="zh-CN"/>
        </w:rPr>
      </w:pPr>
      <w:r>
        <w:rPr>
          <w:rFonts w:hint="eastAsia" w:ascii="仿宋_GB2312" w:eastAsia="仿宋_GB2312"/>
          <w:sz w:val="28"/>
          <w:szCs w:val="28"/>
          <w:highlight w:val="none"/>
          <w:lang w:val="en-US" w:eastAsia="zh-CN"/>
        </w:rPr>
        <w:t>4、“节能环保支出”</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309.69万元，</w:t>
      </w:r>
      <w:r>
        <w:rPr>
          <w:rFonts w:hint="eastAsia" w:ascii="仿宋_GB2312" w:eastAsia="仿宋_GB2312"/>
          <w:sz w:val="28"/>
          <w:szCs w:val="28"/>
          <w:highlight w:val="none"/>
        </w:rPr>
        <w:t>2024年度决算</w:t>
      </w:r>
      <w:r>
        <w:rPr>
          <w:rFonts w:hint="eastAsia" w:ascii="仿宋_GB2312" w:eastAsia="仿宋_GB2312"/>
          <w:sz w:val="28"/>
          <w:szCs w:val="28"/>
          <w:lang w:val="en-US" w:eastAsia="zh-CN"/>
        </w:rPr>
        <w:t>809.37</w:t>
      </w:r>
      <w:r>
        <w:rPr>
          <w:rFonts w:hint="eastAsia" w:ascii="仿宋_GB2312" w:eastAsia="仿宋_GB2312"/>
          <w:sz w:val="28"/>
          <w:szCs w:val="28"/>
          <w:highlight w:val="none"/>
          <w:lang w:val="en-US" w:eastAsia="zh-CN"/>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261.35%。其中：</w:t>
      </w:r>
    </w:p>
    <w:p>
      <w:pPr>
        <w:numPr>
          <w:ilvl w:val="0"/>
          <w:numId w:val="0"/>
        </w:numPr>
        <w:spacing w:line="580" w:lineRule="exact"/>
        <w:ind w:firstLine="560"/>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“污染防治”</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309.69万元，</w:t>
      </w:r>
      <w:r>
        <w:rPr>
          <w:rFonts w:hint="eastAsia" w:ascii="仿宋_GB2312" w:eastAsia="仿宋_GB2312"/>
          <w:sz w:val="28"/>
          <w:szCs w:val="28"/>
          <w:highlight w:val="none"/>
        </w:rPr>
        <w:t>2024年度决算</w:t>
      </w:r>
      <w:r>
        <w:rPr>
          <w:rFonts w:hint="eastAsia" w:ascii="仿宋_GB2312" w:eastAsia="仿宋_GB2312"/>
          <w:sz w:val="28"/>
          <w:szCs w:val="28"/>
          <w:highlight w:val="none"/>
          <w:lang w:val="en-US" w:eastAsia="zh-CN"/>
        </w:rPr>
        <w:t>209.37万元，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67.61%。</w:t>
      </w:r>
      <w:r>
        <w:rPr>
          <w:rFonts w:hint="eastAsia" w:ascii="仿宋_GB2312" w:eastAsia="仿宋_GB2312"/>
          <w:sz w:val="28"/>
          <w:szCs w:val="28"/>
          <w:highlight w:val="none"/>
          <w:lang w:val="en-US" w:eastAsia="zh-CN"/>
        </w:rPr>
        <w:t>主要原因：</w:t>
      </w:r>
      <w:r>
        <w:rPr>
          <w:rFonts w:hint="eastAsia" w:ascii="仿宋_GB2312" w:eastAsia="仿宋_GB2312"/>
          <w:sz w:val="28"/>
          <w:szCs w:val="28"/>
          <w:lang w:val="en-US" w:eastAsia="zh-CN"/>
        </w:rPr>
        <w:t>减少项目支出资金。</w:t>
      </w:r>
    </w:p>
    <w:p>
      <w:pPr>
        <w:numPr>
          <w:ilvl w:val="0"/>
          <w:numId w:val="0"/>
        </w:numPr>
        <w:spacing w:line="580" w:lineRule="exact"/>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 xml:space="preserve">    “其他节能环保支出”</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0.00万元，</w:t>
      </w:r>
      <w:r>
        <w:rPr>
          <w:rFonts w:hint="eastAsia" w:ascii="仿宋_GB2312" w:eastAsia="仿宋_GB2312"/>
          <w:sz w:val="28"/>
          <w:szCs w:val="28"/>
          <w:highlight w:val="none"/>
        </w:rPr>
        <w:t>2024年度决算</w:t>
      </w:r>
      <w:r>
        <w:rPr>
          <w:rFonts w:hint="eastAsia" w:ascii="仿宋_GB2312" w:eastAsia="仿宋_GB2312"/>
          <w:sz w:val="28"/>
          <w:szCs w:val="28"/>
          <w:highlight w:val="none"/>
          <w:lang w:val="en-US" w:eastAsia="zh-CN"/>
        </w:rPr>
        <w:t>600.00万元，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100%。</w:t>
      </w:r>
      <w:r>
        <w:rPr>
          <w:rFonts w:hint="eastAsia" w:ascii="仿宋_GB2312" w:eastAsia="仿宋_GB2312"/>
          <w:sz w:val="28"/>
          <w:szCs w:val="28"/>
          <w:highlight w:val="none"/>
        </w:rPr>
        <w:t>主要原因：</w:t>
      </w:r>
      <w:r>
        <w:rPr>
          <w:rFonts w:hint="eastAsia" w:ascii="仿宋_GB2312" w:eastAsia="仿宋_GB2312"/>
          <w:sz w:val="28"/>
          <w:szCs w:val="28"/>
          <w:highlight w:val="none"/>
          <w:lang w:eastAsia="zh-CN"/>
        </w:rPr>
        <w:t>增加项目资金。</w:t>
      </w:r>
    </w:p>
    <w:p>
      <w:pPr>
        <w:pStyle w:val="2"/>
        <w:numPr>
          <w:ilvl w:val="0"/>
          <w:numId w:val="0"/>
        </w:numPr>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 xml:space="preserve">     5、“城乡社区支出”</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9646.43万元，</w:t>
      </w:r>
      <w:r>
        <w:rPr>
          <w:rFonts w:hint="eastAsia" w:ascii="仿宋_GB2312" w:eastAsia="仿宋_GB2312"/>
          <w:sz w:val="28"/>
          <w:szCs w:val="28"/>
          <w:highlight w:val="none"/>
          <w:lang w:val="en-US" w:eastAsia="zh-CN"/>
        </w:rPr>
        <w:t>2024年度决算</w:t>
      </w:r>
      <w:r>
        <w:rPr>
          <w:rFonts w:hint="eastAsia" w:ascii="仿宋_GB2312" w:eastAsia="仿宋_GB2312"/>
          <w:sz w:val="28"/>
          <w:szCs w:val="28"/>
          <w:lang w:val="en-US" w:eastAsia="zh-CN"/>
        </w:rPr>
        <w:t>9311.69</w:t>
      </w:r>
      <w:r>
        <w:rPr>
          <w:rFonts w:hint="eastAsia" w:ascii="仿宋_GB2312" w:eastAsia="仿宋_GB2312"/>
          <w:sz w:val="28"/>
          <w:szCs w:val="28"/>
          <w:highlight w:val="none"/>
          <w:lang w:val="en-US" w:eastAsia="zh-CN"/>
        </w:rPr>
        <w:t>万元，完成年初预算的96.53%。其中：</w:t>
      </w:r>
    </w:p>
    <w:p>
      <w:pPr>
        <w:numPr>
          <w:ilvl w:val="0"/>
          <w:numId w:val="0"/>
        </w:numPr>
        <w:spacing w:line="580" w:lineRule="exact"/>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 xml:space="preserve">    “城乡社区管理事务”</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9337.71万元，2024年度决算</w:t>
      </w:r>
      <w:r>
        <w:rPr>
          <w:rFonts w:hint="eastAsia" w:ascii="仿宋_GB2312" w:eastAsia="仿宋_GB2312"/>
          <w:sz w:val="28"/>
          <w:szCs w:val="28"/>
          <w:highlight w:val="none"/>
          <w:lang w:val="en-US" w:eastAsia="zh-CN"/>
        </w:rPr>
        <w:t>9108.17万元，完成年初预算的97.54%。主要原因：公用经费使用减少；</w:t>
      </w:r>
    </w:p>
    <w:p>
      <w:pPr>
        <w:numPr>
          <w:ilvl w:val="0"/>
          <w:numId w:val="0"/>
        </w:numPr>
        <w:spacing w:line="580" w:lineRule="exact"/>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“其他城乡社区支出”</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300.00万元，2024年度决算203.52万元，完成年初预算的67.84%。主要原因：减少项目支出资金。</w:t>
      </w:r>
    </w:p>
    <w:p>
      <w:pPr>
        <w:autoSpaceDE w:val="0"/>
        <w:autoSpaceDN w:val="0"/>
        <w:adjustRightInd w:val="0"/>
        <w:spacing w:line="580" w:lineRule="exact"/>
        <w:jc w:val="left"/>
        <w:rPr>
          <w:rFonts w:hint="eastAsia"/>
          <w:lang w:val="en-US" w:eastAsia="zh-CN"/>
        </w:rPr>
      </w:pPr>
      <w:r>
        <w:rPr>
          <w:rFonts w:hint="eastAsia" w:ascii="仿宋_GB2312" w:eastAsia="仿宋_GB2312"/>
          <w:sz w:val="28"/>
          <w:szCs w:val="28"/>
          <w:lang w:val="en-US" w:eastAsia="zh-CN"/>
        </w:rPr>
        <w:t xml:space="preserve">     6、“住房保障支出”2024年度年初预算986.88万元，2024年度决算1951.07万元，完成年初预算的197.70%。其中：</w:t>
      </w:r>
    </w:p>
    <w:p>
      <w:pPr>
        <w:autoSpaceDE w:val="0"/>
        <w:autoSpaceDN w:val="0"/>
        <w:adjustRightInd w:val="0"/>
        <w:spacing w:line="580" w:lineRule="exact"/>
        <w:jc w:val="left"/>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“保障性安居工程支出”</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986.88万元，2024年度决算1187.19万元，完成年初预算的120.30%。主要原因：增加项目资金；</w:t>
      </w:r>
    </w:p>
    <w:p>
      <w:pPr>
        <w:numPr>
          <w:ilvl w:val="0"/>
          <w:numId w:val="0"/>
        </w:numPr>
        <w:spacing w:line="580" w:lineRule="exact"/>
        <w:ind w:firstLine="560"/>
        <w:rPr>
          <w:rFonts w:hint="eastAsia" w:ascii="仿宋_GB2312" w:eastAsia="仿宋_GB2312"/>
          <w:sz w:val="28"/>
          <w:szCs w:val="28"/>
          <w:lang w:val="en-US" w:eastAsia="zh-CN"/>
        </w:rPr>
      </w:pPr>
      <w:r>
        <w:rPr>
          <w:rFonts w:hint="eastAsia" w:ascii="仿宋_GB2312" w:eastAsia="仿宋_GB2312"/>
          <w:sz w:val="28"/>
          <w:szCs w:val="28"/>
          <w:lang w:val="en-US" w:eastAsia="zh-CN"/>
        </w:rPr>
        <w:t>“住房改革支出”</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0.00万元，2024年度决算763.88万元，完成年初预算的100%，主要原因：发放住房补贴。</w:t>
      </w:r>
    </w:p>
    <w:p>
      <w:pPr>
        <w:spacing w:line="580" w:lineRule="exact"/>
        <w:ind w:firstLine="560" w:firstLineChars="200"/>
        <w:rPr>
          <w:rFonts w:hint="eastAsia" w:ascii="仿宋_GB2312" w:eastAsia="仿宋_GB2312"/>
          <w:sz w:val="28"/>
          <w:szCs w:val="28"/>
          <w:highlight w:val="none"/>
        </w:rPr>
      </w:pPr>
      <w:r>
        <w:rPr>
          <w:rFonts w:hint="eastAsia" w:ascii="黑体" w:eastAsia="黑体"/>
          <w:b/>
          <w:sz w:val="28"/>
          <w:szCs w:val="28"/>
          <w:highlight w:val="none"/>
        </w:rPr>
        <w:t>五、政府性基金预算财政拨款支出决算情况说明</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（一）政府性基金预算财政拨款支出决算总体情况</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 xml:space="preserve"> </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年度政府性基金预算财政拨款支出</w:t>
      </w:r>
      <w:r>
        <w:rPr>
          <w:rFonts w:ascii="仿宋_GB2312" w:eastAsia="仿宋_GB2312"/>
          <w:sz w:val="28"/>
          <w:szCs w:val="28"/>
        </w:rPr>
        <w:t>317365.53</w:t>
      </w:r>
      <w:r>
        <w:rPr>
          <w:rFonts w:hint="eastAsia" w:ascii="仿宋_GB2312" w:eastAsia="仿宋_GB2312"/>
          <w:sz w:val="28"/>
          <w:szCs w:val="28"/>
        </w:rPr>
        <w:t>万元，主要用于以下方面：城乡社区支出317365.53万元，占本年财政拨款支出</w:t>
      </w:r>
      <w:r>
        <w:rPr>
          <w:rFonts w:hint="eastAsia" w:ascii="仿宋_GB2312" w:eastAsia="仿宋_GB2312"/>
          <w:sz w:val="28"/>
          <w:szCs w:val="28"/>
          <w:lang w:val="en-US" w:eastAsia="zh-CN"/>
        </w:rPr>
        <w:t>95.50</w:t>
      </w:r>
      <w:r>
        <w:rPr>
          <w:rFonts w:hint="eastAsia" w:ascii="仿宋_GB2312" w:eastAsia="仿宋_GB2312"/>
          <w:sz w:val="28"/>
          <w:szCs w:val="28"/>
        </w:rPr>
        <w:t>%。</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（二）政府性基金预算财政拨款支出决算具体情况</w:t>
      </w:r>
    </w:p>
    <w:p>
      <w:pPr>
        <w:autoSpaceDE w:val="0"/>
        <w:autoSpaceDN w:val="0"/>
        <w:adjustRightInd w:val="0"/>
        <w:spacing w:line="580" w:lineRule="exact"/>
        <w:jc w:val="left"/>
        <w:rPr>
          <w:rFonts w:hint="eastAsia" w:ascii="仿宋_GB2312" w:eastAsia="仿宋_GB2312"/>
          <w:sz w:val="28"/>
          <w:szCs w:val="28"/>
        </w:rPr>
      </w:pPr>
      <w:r>
        <w:rPr>
          <w:rFonts w:hint="eastAsia" w:ascii="仿宋_GB2312" w:eastAsia="仿宋_GB2312"/>
          <w:sz w:val="28"/>
          <w:szCs w:val="28"/>
          <w:lang w:val="en-US" w:eastAsia="zh-CN"/>
        </w:rPr>
        <w:t xml:space="preserve">    </w:t>
      </w:r>
      <w:r>
        <w:rPr>
          <w:rFonts w:hint="eastAsia" w:ascii="仿宋_GB2312" w:eastAsia="仿宋_GB2312"/>
          <w:sz w:val="28"/>
          <w:szCs w:val="28"/>
        </w:rPr>
        <w:t>“城乡社区支出”202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559.98</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年度决算317365.53</w:t>
      </w:r>
      <w:r>
        <w:rPr>
          <w:rFonts w:hint="eastAsia" w:ascii="仿宋_GB2312" w:eastAsia="仿宋_GB2312"/>
          <w:sz w:val="28"/>
          <w:szCs w:val="28"/>
          <w:lang w:eastAsia="zh-CN"/>
        </w:rPr>
        <w:t>万元</w:t>
      </w:r>
      <w:r>
        <w:rPr>
          <w:rFonts w:hint="eastAsia" w:ascii="仿宋_GB2312" w:eastAsia="仿宋_GB2312"/>
          <w:sz w:val="28"/>
          <w:szCs w:val="28"/>
        </w:rPr>
        <w:t>，</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56674.44</w:t>
      </w:r>
      <w:r>
        <w:rPr>
          <w:rFonts w:hint="eastAsia" w:ascii="仿宋_GB2312" w:eastAsia="仿宋_GB2312"/>
          <w:sz w:val="28"/>
          <w:szCs w:val="28"/>
        </w:rPr>
        <w:t>%。其中：</w:t>
      </w:r>
    </w:p>
    <w:p>
      <w:pPr>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rPr>
        <w:t>“国有土地使用权出让收入安排的支出”202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559.98</w:t>
      </w:r>
      <w:r>
        <w:rPr>
          <w:rFonts w:hint="eastAsia" w:ascii="仿宋_GB2312" w:eastAsia="仿宋_GB2312"/>
          <w:sz w:val="28"/>
          <w:szCs w:val="28"/>
        </w:rPr>
        <w:t>万元，2024年度决算174875.53万元，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31228.89</w:t>
      </w:r>
      <w:r>
        <w:rPr>
          <w:rFonts w:hint="eastAsia" w:ascii="仿宋_GB2312" w:eastAsia="仿宋_GB2312"/>
          <w:sz w:val="28"/>
          <w:szCs w:val="28"/>
        </w:rPr>
        <w:t>%。主要原因：</w:t>
      </w:r>
      <w:r>
        <w:rPr>
          <w:rFonts w:hint="eastAsia" w:ascii="仿宋_GB2312" w:eastAsia="仿宋_GB2312"/>
          <w:sz w:val="28"/>
          <w:szCs w:val="28"/>
          <w:lang w:eastAsia="zh-CN"/>
        </w:rPr>
        <w:t>项目资金增加；</w:t>
      </w:r>
    </w:p>
    <w:p>
      <w:pPr>
        <w:spacing w:line="580" w:lineRule="exact"/>
        <w:ind w:firstLine="560" w:firstLineChars="200"/>
        <w:rPr>
          <w:rFonts w:hint="eastAsia"/>
        </w:rPr>
      </w:pPr>
      <w:r>
        <w:rPr>
          <w:rFonts w:hint="eastAsia" w:ascii="仿宋_GB2312" w:eastAsia="仿宋_GB2312"/>
          <w:sz w:val="28"/>
          <w:szCs w:val="28"/>
        </w:rPr>
        <w:t>“国有土地使用权出让收入对应专项债务收入安排的支出”202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0.00万元，</w:t>
      </w:r>
      <w:r>
        <w:rPr>
          <w:rFonts w:hint="eastAsia" w:ascii="仿宋_GB2312" w:eastAsia="仿宋_GB2312"/>
          <w:sz w:val="28"/>
          <w:szCs w:val="28"/>
        </w:rPr>
        <w:t>2024年度决算</w:t>
      </w:r>
      <w:r>
        <w:rPr>
          <w:rFonts w:hint="eastAsia" w:ascii="仿宋_GB2312" w:eastAsia="仿宋_GB2312"/>
          <w:sz w:val="28"/>
          <w:szCs w:val="28"/>
          <w:lang w:val="en-US" w:eastAsia="zh-CN"/>
        </w:rPr>
        <w:t>142490.00</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100%。</w:t>
      </w:r>
      <w:r>
        <w:rPr>
          <w:rFonts w:hint="eastAsia" w:ascii="仿宋_GB2312" w:eastAsia="仿宋_GB2312"/>
          <w:sz w:val="28"/>
          <w:szCs w:val="28"/>
        </w:rPr>
        <w:t>主要原因：</w:t>
      </w:r>
      <w:r>
        <w:rPr>
          <w:rFonts w:hint="eastAsia" w:ascii="仿宋_GB2312" w:eastAsia="仿宋_GB2312"/>
          <w:sz w:val="28"/>
          <w:szCs w:val="28"/>
          <w:lang w:eastAsia="zh-CN"/>
        </w:rPr>
        <w:t>棚改项目资金增加</w:t>
      </w:r>
      <w:r>
        <w:rPr>
          <w:rFonts w:hint="eastAsia" w:ascii="仿宋_GB2312" w:eastAsia="仿宋_GB2312"/>
          <w:sz w:val="28"/>
          <w:szCs w:val="28"/>
        </w:rPr>
        <w:t>。</w:t>
      </w:r>
    </w:p>
    <w:p>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pPr>
        <w:ind w:firstLine="537" w:firstLineChars="192"/>
        <w:rPr>
          <w:rFonts w:ascii="仿宋_GB2312" w:eastAsia="仿宋_GB2312"/>
          <w:sz w:val="28"/>
          <w:szCs w:val="28"/>
        </w:rPr>
      </w:pPr>
      <w:r>
        <w:rPr>
          <w:rFonts w:hint="eastAsia" w:ascii="仿宋_GB2312" w:eastAsia="仿宋_GB2312"/>
          <w:sz w:val="28"/>
          <w:szCs w:val="28"/>
          <w:lang w:val="en-US" w:eastAsia="zh-CN"/>
        </w:rPr>
        <w:t xml:space="preserve"> </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rPr>
        <w:t>万元。</w:t>
      </w:r>
    </w:p>
    <w:p>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pPr>
        <w:ind w:firstLine="538" w:firstLineChars="192"/>
        <w:rPr>
          <w:rFonts w:hint="eastAsia" w:ascii="黑体" w:eastAsia="黑体"/>
          <w:b/>
          <w:sz w:val="28"/>
          <w:szCs w:val="28"/>
        </w:rPr>
      </w:pPr>
      <w:r>
        <w:rPr>
          <w:rFonts w:hint="eastAsia" w:ascii="仿宋_GB2312" w:eastAsia="仿宋_GB2312"/>
          <w:sz w:val="28"/>
          <w:szCs w:val="28"/>
          <w:lang w:val="en-US" w:eastAsia="zh-CN"/>
        </w:rPr>
        <w:t xml:space="preserve"> </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年度使用一般公共预算财政拨款安排基本支出</w:t>
      </w:r>
      <w:r>
        <w:rPr>
          <w:rFonts w:ascii="仿宋_GB2312" w:eastAsia="仿宋_GB2312"/>
          <w:sz w:val="28"/>
          <w:szCs w:val="28"/>
        </w:rPr>
        <w:t>11617.88</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、津贴补贴、奖金、绩效工资、</w:t>
      </w:r>
      <w:r>
        <w:rPr>
          <w:rFonts w:hint="eastAsia" w:ascii="仿宋_GB2312" w:eastAsia="仿宋_GB2312"/>
          <w:sz w:val="28"/>
          <w:szCs w:val="28"/>
          <w:lang w:eastAsia="zh-CN"/>
        </w:rPr>
        <w:t>机关事业单位基本养老保险缴费、职业年金缴费、职工基本医疗保险缴费、公务员医疗补助缴费、</w:t>
      </w:r>
      <w:r>
        <w:rPr>
          <w:rFonts w:hint="eastAsia" w:ascii="仿宋_GB2312" w:eastAsia="仿宋_GB2312"/>
          <w:sz w:val="28"/>
          <w:szCs w:val="28"/>
        </w:rPr>
        <w:t>其他</w:t>
      </w:r>
      <w:r>
        <w:rPr>
          <w:rFonts w:ascii="仿宋_GB2312" w:eastAsia="仿宋_GB2312"/>
          <w:sz w:val="28"/>
          <w:szCs w:val="28"/>
        </w:rPr>
        <w:t>社会保障缴费、</w:t>
      </w:r>
      <w:r>
        <w:rPr>
          <w:rFonts w:hint="eastAsia" w:ascii="仿宋_GB2312" w:eastAsia="仿宋_GB2312"/>
          <w:sz w:val="28"/>
          <w:szCs w:val="28"/>
          <w:lang w:eastAsia="zh-CN"/>
        </w:rPr>
        <w:t>住房公积金</w:t>
      </w:r>
      <w:r>
        <w:rPr>
          <w:rFonts w:hint="eastAsia" w:ascii="仿宋_GB2312" w:eastAsia="仿宋_GB2312"/>
          <w:sz w:val="28"/>
          <w:szCs w:val="28"/>
        </w:rPr>
        <w:t>；（2）商品和服务支出包括</w:t>
      </w:r>
      <w:r>
        <w:rPr>
          <w:rFonts w:ascii="仿宋_GB2312" w:eastAsia="仿宋_GB2312"/>
          <w:sz w:val="28"/>
          <w:szCs w:val="28"/>
        </w:rPr>
        <w:t>办公费、印刷费、</w:t>
      </w:r>
      <w:r>
        <w:rPr>
          <w:rFonts w:hint="eastAsia" w:ascii="仿宋_GB2312" w:eastAsia="仿宋_GB2312"/>
          <w:sz w:val="28"/>
          <w:szCs w:val="28"/>
          <w:lang w:eastAsia="zh-CN"/>
        </w:rPr>
        <w:t>水费、</w:t>
      </w:r>
      <w:r>
        <w:rPr>
          <w:rFonts w:ascii="仿宋_GB2312" w:eastAsia="仿宋_GB2312"/>
          <w:sz w:val="28"/>
          <w:szCs w:val="28"/>
        </w:rPr>
        <w:t>邮电费、差旅费、维修（护）费、工会经费、福利费、公务用车运行维护费、其他交通费、</w:t>
      </w:r>
      <w:r>
        <w:rPr>
          <w:rFonts w:hint="eastAsia" w:ascii="仿宋_GB2312" w:eastAsia="仿宋_GB2312"/>
          <w:sz w:val="28"/>
          <w:szCs w:val="28"/>
          <w:lang w:eastAsia="zh-CN"/>
        </w:rPr>
        <w:t>税金及附加费用、</w:t>
      </w:r>
      <w:r>
        <w:rPr>
          <w:rFonts w:ascii="仿宋_GB2312" w:eastAsia="仿宋_GB2312"/>
          <w:sz w:val="28"/>
          <w:szCs w:val="28"/>
        </w:rPr>
        <w:t>其他商品和服务</w:t>
      </w:r>
      <w:r>
        <w:rPr>
          <w:rFonts w:hint="eastAsia" w:ascii="仿宋_GB2312" w:eastAsia="仿宋_GB2312"/>
          <w:sz w:val="28"/>
          <w:szCs w:val="28"/>
          <w:lang w:eastAsia="zh-CN"/>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离休费、退休费、抚恤金、医疗费</w:t>
      </w:r>
      <w:r>
        <w:rPr>
          <w:rFonts w:hint="eastAsia" w:ascii="仿宋_GB2312" w:eastAsia="仿宋_GB2312"/>
          <w:sz w:val="28"/>
          <w:szCs w:val="28"/>
        </w:rPr>
        <w:t>补助</w:t>
      </w:r>
      <w:r>
        <w:rPr>
          <w:rFonts w:ascii="仿宋_GB2312" w:eastAsia="仿宋_GB2312"/>
          <w:sz w:val="28"/>
          <w:szCs w:val="28"/>
        </w:rPr>
        <w:t>、奖励金</w:t>
      </w:r>
      <w:r>
        <w:rPr>
          <w:rFonts w:hint="eastAsia" w:ascii="仿宋_GB2312" w:eastAsia="仿宋_GB2312"/>
          <w:sz w:val="28"/>
          <w:szCs w:val="28"/>
          <w:lang w:eastAsia="zh-CN"/>
        </w:rPr>
        <w:t>；</w:t>
      </w:r>
      <w:r>
        <w:rPr>
          <w:rFonts w:hint="eastAsia" w:ascii="仿宋_GB2312" w:eastAsia="仿宋_GB2312"/>
          <w:sz w:val="28"/>
          <w:szCs w:val="28"/>
        </w:rPr>
        <w:t>（4）资本性支出包括</w:t>
      </w:r>
      <w:r>
        <w:rPr>
          <w:rFonts w:ascii="仿宋_GB2312" w:eastAsia="仿宋_GB2312"/>
          <w:sz w:val="28"/>
          <w:szCs w:val="28"/>
        </w:rPr>
        <w:t>办公设备购置。</w:t>
      </w:r>
    </w:p>
    <w:p>
      <w:pPr>
        <w:pStyle w:val="2"/>
        <w:rPr>
          <w:rFonts w:hint="eastAsia" w:ascii="黑体" w:eastAsia="黑体"/>
          <w:b/>
          <w:sz w:val="28"/>
          <w:szCs w:val="28"/>
        </w:rPr>
      </w:pPr>
    </w:p>
    <w:p>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pPr>
        <w:spacing w:line="560" w:lineRule="exact"/>
        <w:ind w:firstLine="60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9.32</w:t>
      </w:r>
      <w:r>
        <w:rPr>
          <w:rFonts w:hint="eastAsia" w:ascii="仿宋_GB2312" w:eastAsia="仿宋_GB2312"/>
          <w:sz w:val="28"/>
          <w:szCs w:val="28"/>
        </w:rPr>
        <w:t>万元，比</w:t>
      </w:r>
      <w:r>
        <w:rPr>
          <w:rFonts w:hint="eastAsia" w:ascii="仿宋_GB2312" w:eastAsia="仿宋_GB2312"/>
          <w:sz w:val="28"/>
          <w:szCs w:val="28"/>
          <w:lang w:eastAsia="zh-CN"/>
        </w:rPr>
        <w:t>2024</w:t>
      </w:r>
      <w:r>
        <w:rPr>
          <w:rFonts w:hint="eastAsia" w:ascii="仿宋_GB2312" w:eastAsia="仿宋_GB2312"/>
          <w:sz w:val="28"/>
          <w:szCs w:val="28"/>
        </w:rPr>
        <w:t>年度“三公”经费财政拨款年初预算</w:t>
      </w:r>
      <w:r>
        <w:rPr>
          <w:rFonts w:ascii="仿宋_GB2312" w:eastAsia="仿宋_GB2312"/>
          <w:sz w:val="28"/>
          <w:szCs w:val="28"/>
        </w:rPr>
        <w:t>21.6</w:t>
      </w:r>
      <w:r>
        <w:rPr>
          <w:rFonts w:hint="eastAsia" w:ascii="仿宋_GB2312" w:eastAsia="仿宋_GB2312"/>
          <w:sz w:val="28"/>
          <w:szCs w:val="28"/>
          <w:lang w:val="en-US" w:eastAsia="zh-CN"/>
        </w:rPr>
        <w:t>0</w:t>
      </w:r>
      <w:r>
        <w:rPr>
          <w:rFonts w:hint="eastAsia" w:ascii="仿宋_GB2312" w:eastAsia="仿宋_GB2312"/>
          <w:sz w:val="28"/>
          <w:szCs w:val="28"/>
        </w:rPr>
        <w:t>万元减少</w:t>
      </w:r>
      <w:r>
        <w:rPr>
          <w:rFonts w:hint="eastAsia" w:ascii="仿宋_GB2312" w:eastAsia="仿宋_GB2312"/>
          <w:sz w:val="28"/>
          <w:szCs w:val="28"/>
          <w:lang w:val="en-US" w:eastAsia="zh-CN"/>
        </w:rPr>
        <w:t>12.28</w:t>
      </w:r>
      <w:r>
        <w:rPr>
          <w:rFonts w:hint="eastAsia" w:ascii="仿宋_GB2312" w:eastAsia="仿宋_GB2312"/>
          <w:sz w:val="28"/>
          <w:szCs w:val="28"/>
        </w:rPr>
        <w:t>万元。其中：</w:t>
      </w:r>
    </w:p>
    <w:p>
      <w:pPr>
        <w:spacing w:line="560" w:lineRule="exact"/>
        <w:ind w:firstLine="600"/>
        <w:rPr>
          <w:rFonts w:hint="eastAsia" w:ascii="仿宋_GB2312" w:eastAsia="仿宋_GB2312"/>
          <w:sz w:val="28"/>
          <w:szCs w:val="28"/>
        </w:rPr>
      </w:pPr>
      <w:r>
        <w:rPr>
          <w:rFonts w:hint="eastAsia" w:ascii="仿宋_GB2312" w:eastAsia="仿宋_GB2312"/>
          <w:sz w:val="28"/>
          <w:szCs w:val="28"/>
        </w:rPr>
        <w:t>1.因公出国（境）费用。202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0.00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hint="eastAsia" w:ascii="仿宋_GB2312" w:eastAsia="仿宋_GB2312"/>
          <w:sz w:val="28"/>
          <w:szCs w:val="28"/>
          <w:lang w:val="en-US" w:eastAsia="zh-CN"/>
        </w:rPr>
        <w:t>0.00</w:t>
      </w:r>
      <w:r>
        <w:rPr>
          <w:rFonts w:hint="eastAsia" w:ascii="仿宋_GB2312" w:eastAsia="仿宋_GB2312"/>
          <w:sz w:val="28"/>
          <w:szCs w:val="28"/>
        </w:rPr>
        <w:t>万元增加</w:t>
      </w:r>
      <w:r>
        <w:rPr>
          <w:rFonts w:hint="eastAsia" w:ascii="仿宋_GB2312" w:eastAsia="仿宋_GB2312"/>
          <w:sz w:val="28"/>
          <w:szCs w:val="28"/>
          <w:lang w:val="en-US" w:eastAsia="zh-CN"/>
        </w:rPr>
        <w:t>0.00</w:t>
      </w:r>
      <w:r>
        <w:rPr>
          <w:rFonts w:hint="eastAsia" w:ascii="仿宋_GB2312" w:eastAsia="仿宋_GB2312"/>
          <w:sz w:val="28"/>
          <w:szCs w:val="28"/>
        </w:rPr>
        <w:t>万元。主要原因：</w:t>
      </w:r>
      <w:r>
        <w:rPr>
          <w:rFonts w:hint="eastAsia" w:ascii="仿宋_GB2312" w:eastAsia="仿宋_GB2312"/>
          <w:sz w:val="28"/>
          <w:szCs w:val="28"/>
          <w:highlight w:val="none"/>
          <w:lang w:eastAsia="zh-CN"/>
        </w:rPr>
        <w:t>本单位无此项经费</w:t>
      </w:r>
      <w:r>
        <w:rPr>
          <w:rFonts w:hint="eastAsia" w:ascii="仿宋_GB2312" w:eastAsia="仿宋_GB2312"/>
          <w:sz w:val="28"/>
          <w:szCs w:val="28"/>
        </w:rPr>
        <w:t>；2024年度因公出国（境）费用主要用于</w:t>
      </w:r>
      <w:r>
        <w:rPr>
          <w:rFonts w:hint="eastAsia" w:ascii="仿宋_GB2312" w:eastAsia="仿宋_GB2312"/>
          <w:sz w:val="28"/>
          <w:szCs w:val="28"/>
          <w:lang w:eastAsia="zh-CN"/>
        </w:rPr>
        <w:t>：无</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年度组织因公出国（境）团组</w:t>
      </w:r>
      <w:r>
        <w:rPr>
          <w:rFonts w:hint="eastAsia" w:ascii="仿宋_GB2312" w:eastAsia="仿宋_GB2312"/>
          <w:sz w:val="28"/>
          <w:szCs w:val="28"/>
          <w:lang w:eastAsia="zh-CN"/>
        </w:rPr>
        <w:t>0</w:t>
      </w:r>
      <w:r>
        <w:rPr>
          <w:rFonts w:hint="eastAsia" w:ascii="仿宋_GB2312" w:eastAsia="仿宋_GB2312"/>
          <w:sz w:val="28"/>
          <w:szCs w:val="28"/>
        </w:rPr>
        <w:t>个、</w:t>
      </w:r>
      <w:r>
        <w:rPr>
          <w:rFonts w:hint="eastAsia" w:ascii="仿宋_GB2312" w:eastAsia="仿宋_GB2312"/>
          <w:sz w:val="28"/>
          <w:szCs w:val="28"/>
          <w:lang w:eastAsia="zh-CN"/>
        </w:rPr>
        <w:t>0</w:t>
      </w:r>
      <w:r>
        <w:rPr>
          <w:rFonts w:hint="eastAsia" w:ascii="仿宋_GB2312" w:eastAsia="仿宋_GB2312"/>
          <w:sz w:val="28"/>
          <w:szCs w:val="28"/>
        </w:rPr>
        <w:t>人次。</w:t>
      </w:r>
    </w:p>
    <w:p>
      <w:pPr>
        <w:spacing w:line="560" w:lineRule="exact"/>
        <w:ind w:firstLine="600"/>
        <w:rPr>
          <w:rFonts w:hint="eastAsia" w:ascii="仿宋_GB2312" w:eastAsia="仿宋_GB2312"/>
          <w:sz w:val="28"/>
          <w:szCs w:val="28"/>
        </w:rPr>
      </w:pPr>
      <w:r>
        <w:rPr>
          <w:rFonts w:hint="eastAsia" w:ascii="仿宋_GB2312" w:eastAsia="仿宋_GB2312"/>
          <w:sz w:val="28"/>
          <w:szCs w:val="28"/>
        </w:rPr>
        <w:t>2.公务接待费。202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0.00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hint="eastAsia" w:ascii="仿宋_GB2312" w:eastAsia="仿宋_GB2312"/>
          <w:sz w:val="28"/>
          <w:szCs w:val="28"/>
          <w:lang w:val="en-US" w:eastAsia="zh-CN"/>
        </w:rPr>
        <w:t>0.00</w:t>
      </w:r>
      <w:r>
        <w:rPr>
          <w:rFonts w:hint="eastAsia" w:ascii="仿宋_GB2312" w:eastAsia="仿宋_GB2312"/>
          <w:sz w:val="28"/>
          <w:szCs w:val="28"/>
        </w:rPr>
        <w:t>万元增加</w:t>
      </w:r>
      <w:r>
        <w:rPr>
          <w:rFonts w:hint="eastAsia" w:ascii="仿宋_GB2312" w:eastAsia="仿宋_GB2312"/>
          <w:sz w:val="28"/>
          <w:szCs w:val="28"/>
          <w:lang w:val="en-US" w:eastAsia="zh-CN"/>
        </w:rPr>
        <w:t>0.00</w:t>
      </w:r>
      <w:r>
        <w:rPr>
          <w:rFonts w:hint="eastAsia" w:ascii="仿宋_GB2312" w:eastAsia="仿宋_GB2312"/>
          <w:sz w:val="28"/>
          <w:szCs w:val="28"/>
        </w:rPr>
        <w:t>万元。</w:t>
      </w:r>
      <w:r>
        <w:rPr>
          <w:rFonts w:hint="eastAsia" w:ascii="仿宋_GB2312" w:eastAsia="仿宋_GB2312"/>
          <w:sz w:val="28"/>
          <w:szCs w:val="28"/>
          <w:highlight w:val="none"/>
          <w:lang w:eastAsia="zh-CN"/>
        </w:rPr>
        <w:t>本单位无此项经费</w:t>
      </w:r>
      <w:r>
        <w:rPr>
          <w:rFonts w:hint="eastAsia" w:ascii="仿宋_GB2312" w:eastAsia="仿宋_GB2312"/>
          <w:sz w:val="28"/>
          <w:szCs w:val="28"/>
        </w:rPr>
        <w:t>。2024年度公务接待费主要用于</w:t>
      </w:r>
      <w:r>
        <w:rPr>
          <w:rFonts w:hint="eastAsia" w:ascii="仿宋_GB2312" w:eastAsia="仿宋_GB2312"/>
          <w:sz w:val="28"/>
          <w:szCs w:val="28"/>
          <w:lang w:eastAsia="zh-CN"/>
        </w:rPr>
        <w:t>：无</w:t>
      </w:r>
      <w:r>
        <w:rPr>
          <w:rFonts w:hint="eastAsia" w:ascii="仿宋_GB2312" w:eastAsia="仿宋_GB2312"/>
          <w:sz w:val="28"/>
          <w:szCs w:val="28"/>
        </w:rPr>
        <w:t>。公务接待</w:t>
      </w:r>
      <w:r>
        <w:rPr>
          <w:rFonts w:hint="eastAsia" w:ascii="仿宋_GB2312" w:eastAsia="仿宋_GB2312"/>
          <w:sz w:val="28"/>
          <w:szCs w:val="28"/>
          <w:lang w:eastAsia="zh-CN"/>
        </w:rPr>
        <w:t>0</w:t>
      </w:r>
      <w:r>
        <w:rPr>
          <w:rFonts w:hint="eastAsia" w:ascii="仿宋_GB2312" w:eastAsia="仿宋_GB2312"/>
          <w:sz w:val="28"/>
          <w:szCs w:val="28"/>
        </w:rPr>
        <w:t>批次，公务接待</w:t>
      </w:r>
      <w:r>
        <w:rPr>
          <w:rFonts w:hint="eastAsia" w:ascii="仿宋_GB2312" w:eastAsia="仿宋_GB2312"/>
          <w:sz w:val="28"/>
          <w:szCs w:val="28"/>
          <w:lang w:eastAsia="zh-CN"/>
        </w:rPr>
        <w:t>0</w:t>
      </w:r>
      <w:r>
        <w:rPr>
          <w:rFonts w:hint="eastAsia" w:ascii="仿宋_GB2312" w:eastAsia="仿宋_GB2312"/>
          <w:sz w:val="28"/>
          <w:szCs w:val="28"/>
        </w:rPr>
        <w:t>人次。</w:t>
      </w:r>
    </w:p>
    <w:p>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9.32</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21.6</w:t>
      </w:r>
      <w:r>
        <w:rPr>
          <w:rFonts w:hint="eastAsia" w:ascii="仿宋_GB2312" w:eastAsia="仿宋_GB2312"/>
          <w:sz w:val="28"/>
          <w:szCs w:val="28"/>
          <w:lang w:val="en-US" w:eastAsia="zh-CN"/>
        </w:rPr>
        <w:t>0</w:t>
      </w:r>
      <w:r>
        <w:rPr>
          <w:rFonts w:hint="eastAsia" w:ascii="仿宋_GB2312" w:eastAsia="仿宋_GB2312"/>
          <w:sz w:val="28"/>
          <w:szCs w:val="28"/>
        </w:rPr>
        <w:t>万元减少</w:t>
      </w:r>
      <w:r>
        <w:rPr>
          <w:rFonts w:hint="eastAsia" w:ascii="仿宋_GB2312" w:eastAsia="仿宋_GB2312"/>
          <w:sz w:val="28"/>
          <w:szCs w:val="28"/>
          <w:lang w:val="en-US" w:eastAsia="zh-CN"/>
        </w:rPr>
        <w:t>12.28</w:t>
      </w:r>
      <w:r>
        <w:rPr>
          <w:rFonts w:hint="eastAsia" w:ascii="仿宋_GB2312" w:eastAsia="仿宋_GB2312"/>
          <w:sz w:val="28"/>
          <w:szCs w:val="28"/>
        </w:rPr>
        <w:t>万元。其中，公务用车购置费202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0.00</w:t>
      </w:r>
      <w:r>
        <w:rPr>
          <w:rFonts w:hint="eastAsia" w:ascii="仿宋_GB2312" w:eastAsia="仿宋_GB2312"/>
          <w:sz w:val="28"/>
          <w:szCs w:val="28"/>
        </w:rPr>
        <w:t>万元，主要原因：</w:t>
      </w:r>
      <w:r>
        <w:rPr>
          <w:rFonts w:hint="eastAsia" w:ascii="仿宋_GB2312" w:eastAsia="仿宋_GB2312"/>
          <w:sz w:val="28"/>
          <w:szCs w:val="28"/>
          <w:highlight w:val="none"/>
          <w:lang w:eastAsia="zh-CN"/>
        </w:rPr>
        <w:t>本单位无此项经费</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年度购置（更新）</w:t>
      </w:r>
      <w:r>
        <w:rPr>
          <w:rFonts w:hint="eastAsia" w:ascii="仿宋_GB2312" w:eastAsia="仿宋_GB2312"/>
          <w:sz w:val="28"/>
          <w:szCs w:val="28"/>
          <w:lang w:eastAsia="zh-CN"/>
        </w:rPr>
        <w:t>0</w:t>
      </w:r>
      <w:r>
        <w:rPr>
          <w:rFonts w:hint="eastAsia" w:ascii="仿宋_GB2312" w:eastAsia="仿宋_GB2312"/>
          <w:sz w:val="28"/>
          <w:szCs w:val="28"/>
        </w:rPr>
        <w:t>辆。公务用车运行维护费202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9.32</w:t>
      </w:r>
      <w:r>
        <w:rPr>
          <w:rFonts w:hint="eastAsia" w:ascii="仿宋_GB2312" w:eastAsia="仿宋_GB2312"/>
          <w:sz w:val="28"/>
          <w:szCs w:val="28"/>
        </w:rPr>
        <w:t>万元，主要原因：厉行勤俭节约要求</w:t>
      </w:r>
      <w:r>
        <w:rPr>
          <w:rFonts w:hint="eastAsia" w:ascii="仿宋_GB2312" w:eastAsia="仿宋_GB2312"/>
          <w:sz w:val="28"/>
          <w:szCs w:val="28"/>
          <w:lang w:eastAsia="zh-CN"/>
        </w:rPr>
        <w:t>，公务用车运行维护费减少</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年度公务用车保有量</w:t>
      </w:r>
      <w:r>
        <w:rPr>
          <w:rFonts w:ascii="仿宋_GB2312" w:eastAsia="仿宋_GB2312"/>
          <w:sz w:val="28"/>
          <w:szCs w:val="28"/>
        </w:rPr>
        <w:t>18</w:t>
      </w:r>
      <w:r>
        <w:rPr>
          <w:rFonts w:hint="eastAsia" w:ascii="仿宋_GB2312" w:eastAsia="仿宋_GB2312"/>
          <w:sz w:val="28"/>
          <w:szCs w:val="28"/>
        </w:rPr>
        <w:t>辆。</w:t>
      </w:r>
    </w:p>
    <w:p>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hint="eastAsia" w:ascii="仿宋_GB2312" w:eastAsia="仿宋_GB2312"/>
          <w:sz w:val="28"/>
          <w:szCs w:val="28"/>
          <w:lang w:eastAsia="zh-CN"/>
        </w:rPr>
        <w:t>机关运行经费</w:t>
      </w:r>
      <w:r>
        <w:rPr>
          <w:rFonts w:hint="eastAsia" w:ascii="仿宋_GB2312" w:eastAsia="仿宋_GB2312"/>
          <w:sz w:val="28"/>
          <w:szCs w:val="28"/>
        </w:rPr>
        <w:t>支出合计</w:t>
      </w:r>
      <w:r>
        <w:rPr>
          <w:rFonts w:hint="eastAsia" w:ascii="仿宋_GB2312" w:eastAsia="仿宋_GB2312"/>
          <w:sz w:val="28"/>
          <w:szCs w:val="28"/>
          <w:lang w:val="en-US" w:eastAsia="zh-CN"/>
        </w:rPr>
        <w:t>518.22</w:t>
      </w:r>
      <w:r>
        <w:rPr>
          <w:rFonts w:hint="eastAsia" w:ascii="仿宋_GB2312" w:eastAsia="仿宋_GB2312"/>
          <w:sz w:val="28"/>
          <w:szCs w:val="28"/>
        </w:rPr>
        <w:t>万元，比上年减少</w:t>
      </w:r>
      <w:r>
        <w:rPr>
          <w:rFonts w:hint="eastAsia" w:ascii="仿宋_GB2312" w:eastAsia="仿宋_GB2312"/>
          <w:sz w:val="28"/>
          <w:szCs w:val="28"/>
          <w:lang w:val="en-US" w:eastAsia="zh-CN"/>
        </w:rPr>
        <w:t>82.34</w:t>
      </w:r>
      <w:r>
        <w:rPr>
          <w:rFonts w:hint="eastAsia" w:ascii="仿宋_GB2312" w:eastAsia="仿宋_GB2312"/>
          <w:sz w:val="28"/>
          <w:szCs w:val="28"/>
        </w:rPr>
        <w:t>万元，减少原因：厉行勤俭节约要求</w:t>
      </w:r>
      <w:r>
        <w:rPr>
          <w:rFonts w:hint="eastAsia" w:ascii="仿宋_GB2312" w:eastAsia="仿宋_GB2312"/>
          <w:sz w:val="28"/>
          <w:szCs w:val="28"/>
          <w:lang w:eastAsia="zh-CN"/>
        </w:rPr>
        <w:t>，我委本年度改为非独立办公，公用经费减少</w:t>
      </w:r>
      <w:r>
        <w:rPr>
          <w:rFonts w:hint="eastAsia" w:ascii="仿宋_GB2312" w:eastAsia="仿宋_GB2312"/>
          <w:sz w:val="28"/>
          <w:szCs w:val="28"/>
        </w:rPr>
        <w:t>。</w:t>
      </w:r>
    </w:p>
    <w:p>
      <w:pPr>
        <w:ind w:left="540"/>
        <w:rPr>
          <w:rFonts w:hint="eastAsia" w:ascii="黑体" w:eastAsia="黑体"/>
          <w:sz w:val="28"/>
          <w:szCs w:val="28"/>
        </w:rPr>
      </w:pPr>
      <w:r>
        <w:rPr>
          <w:rFonts w:hint="eastAsia" w:ascii="黑体" w:eastAsia="黑体"/>
          <w:sz w:val="28"/>
          <w:szCs w:val="28"/>
        </w:rPr>
        <w:t>三、政府采购支出情况</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840.73</w:t>
      </w:r>
      <w:r>
        <w:rPr>
          <w:rFonts w:hint="eastAsia" w:ascii="仿宋_GB2312" w:eastAsia="仿宋_GB2312"/>
          <w:sz w:val="28"/>
          <w:szCs w:val="28"/>
        </w:rPr>
        <w:t>万元，其中：政府采购货物支出</w:t>
      </w:r>
      <w:r>
        <w:rPr>
          <w:rFonts w:hint="eastAsia" w:ascii="仿宋_GB2312" w:eastAsia="仿宋_GB2312"/>
          <w:sz w:val="28"/>
          <w:szCs w:val="28"/>
          <w:highlight w:val="none"/>
          <w:lang w:val="en-US" w:eastAsia="zh-CN"/>
        </w:rPr>
        <w:t>28.38</w:t>
      </w:r>
      <w:r>
        <w:rPr>
          <w:rFonts w:hint="eastAsia" w:ascii="仿宋_GB2312" w:eastAsia="仿宋_GB2312"/>
          <w:sz w:val="28"/>
          <w:szCs w:val="28"/>
        </w:rPr>
        <w:t>万元，政府采购工程支出</w:t>
      </w:r>
      <w:r>
        <w:rPr>
          <w:rFonts w:hint="eastAsia" w:ascii="仿宋_GB2312" w:eastAsia="仿宋_GB2312"/>
          <w:sz w:val="28"/>
          <w:szCs w:val="28"/>
          <w:lang w:val="en-US" w:eastAsia="zh-CN"/>
        </w:rPr>
        <w:t>0.00</w:t>
      </w:r>
      <w:r>
        <w:rPr>
          <w:rFonts w:hint="eastAsia" w:ascii="仿宋_GB2312" w:eastAsia="仿宋_GB2312"/>
          <w:sz w:val="28"/>
          <w:szCs w:val="28"/>
        </w:rPr>
        <w:t>万元，政府采购服务支出</w:t>
      </w:r>
      <w:r>
        <w:rPr>
          <w:rFonts w:hint="eastAsia" w:ascii="仿宋_GB2312" w:eastAsia="仿宋_GB2312"/>
          <w:sz w:val="28"/>
          <w:szCs w:val="28"/>
          <w:highlight w:val="none"/>
          <w:lang w:val="en-US" w:eastAsia="zh-CN"/>
        </w:rPr>
        <w:t>812.35</w:t>
      </w:r>
      <w:r>
        <w:rPr>
          <w:rFonts w:hint="eastAsia" w:ascii="仿宋_GB2312" w:eastAsia="仿宋_GB2312"/>
          <w:sz w:val="28"/>
          <w:szCs w:val="28"/>
        </w:rPr>
        <w:t>万元。授予中小企业合同金额</w:t>
      </w:r>
      <w:r>
        <w:rPr>
          <w:rFonts w:ascii="仿宋_GB2312" w:eastAsia="仿宋_GB2312"/>
          <w:sz w:val="28"/>
          <w:szCs w:val="28"/>
        </w:rPr>
        <w:t>836.9</w:t>
      </w:r>
      <w:r>
        <w:rPr>
          <w:rFonts w:hint="eastAsia" w:ascii="仿宋_GB2312" w:eastAsia="仿宋_GB2312"/>
          <w:sz w:val="28"/>
          <w:szCs w:val="28"/>
          <w:lang w:val="en-US" w:eastAsia="zh-CN"/>
        </w:rPr>
        <w:t>0</w:t>
      </w:r>
      <w:r>
        <w:rPr>
          <w:rFonts w:hint="eastAsia" w:ascii="仿宋_GB2312" w:eastAsia="仿宋_GB2312"/>
          <w:sz w:val="28"/>
          <w:szCs w:val="28"/>
        </w:rPr>
        <w:t>万元，占政府采购支出总额的</w:t>
      </w:r>
      <w:r>
        <w:rPr>
          <w:rFonts w:hint="eastAsia" w:ascii="仿宋_GB2312" w:eastAsia="仿宋_GB2312"/>
          <w:sz w:val="28"/>
          <w:szCs w:val="28"/>
          <w:lang w:eastAsia="zh-CN"/>
        </w:rPr>
        <w:t>99.54</w:t>
      </w:r>
      <w:r>
        <w:rPr>
          <w:rFonts w:hint="eastAsia" w:ascii="仿宋_GB2312" w:eastAsia="仿宋_GB2312"/>
          <w:sz w:val="28"/>
          <w:szCs w:val="28"/>
        </w:rPr>
        <w:t>%，其中：授予小微企业合同金额</w:t>
      </w:r>
      <w:r>
        <w:rPr>
          <w:rFonts w:ascii="仿宋_GB2312" w:eastAsia="仿宋_GB2312"/>
          <w:sz w:val="28"/>
          <w:szCs w:val="28"/>
        </w:rPr>
        <w:t>835.76</w:t>
      </w:r>
      <w:r>
        <w:rPr>
          <w:rFonts w:hint="eastAsia" w:ascii="仿宋_GB2312" w:eastAsia="仿宋_GB2312"/>
          <w:sz w:val="28"/>
          <w:szCs w:val="28"/>
        </w:rPr>
        <w:t>万元，占政府采购支出总额的</w:t>
      </w:r>
      <w:r>
        <w:rPr>
          <w:rFonts w:ascii="仿宋_GB2312" w:eastAsia="仿宋_GB2312"/>
          <w:sz w:val="28"/>
          <w:szCs w:val="28"/>
        </w:rPr>
        <w:t>99.41</w:t>
      </w:r>
      <w:r>
        <w:rPr>
          <w:rFonts w:hint="eastAsia" w:ascii="仿宋_GB2312" w:eastAsia="仿宋_GB2312"/>
          <w:sz w:val="28"/>
          <w:szCs w:val="28"/>
        </w:rPr>
        <w:t>%。</w:t>
      </w:r>
    </w:p>
    <w:p>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12月31日，北京市大兴区住房和城乡建设委员会</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18</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p>
    <w:p>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政府购买服务决算416.66</w:t>
      </w:r>
      <w:r>
        <w:rPr>
          <w:rFonts w:hint="eastAsia" w:ascii="仿宋_GB2312" w:eastAsia="仿宋_GB2312"/>
          <w:sz w:val="28"/>
          <w:szCs w:val="28"/>
        </w:rPr>
        <w:t>万元。</w:t>
      </w:r>
    </w:p>
    <w:p>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pPr>
        <w:ind w:firstLine="420" w:firstLineChars="15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pPr>
        <w:ind w:firstLine="420" w:firstLineChars="15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pPr>
        <w:ind w:firstLine="420" w:firstLineChars="150"/>
        <w:rPr>
          <w:rFonts w:hint="eastAsia" w:ascii="仿宋_GB2312" w:eastAsia="仿宋_GB2312"/>
          <w:sz w:val="28"/>
          <w:szCs w:val="28"/>
          <w:lang w:eastAsia="zh-CN"/>
        </w:rPr>
      </w:pPr>
      <w:r>
        <w:rPr>
          <w:rFonts w:hint="eastAsia" w:ascii="仿宋_GB2312" w:eastAsia="仿宋_GB2312"/>
          <w:sz w:val="28"/>
          <w:szCs w:val="28"/>
        </w:rPr>
        <w:t>7.教育支出</w:t>
      </w:r>
      <w:r>
        <w:rPr>
          <w:rFonts w:hint="eastAsia" w:ascii="仿宋_GB2312" w:eastAsia="仿宋_GB2312"/>
          <w:sz w:val="28"/>
          <w:szCs w:val="28"/>
          <w:lang w:eastAsia="zh-CN"/>
        </w:rPr>
        <w:t>（类）进修及培训（款）培训支出（项）：反映各部门安排的用于培训的支出。</w:t>
      </w:r>
    </w:p>
    <w:p>
      <w:pPr>
        <w:ind w:firstLine="420" w:firstLineChars="150"/>
        <w:rPr>
          <w:rFonts w:hint="eastAsia" w:ascii="仿宋_GB2312" w:eastAsia="仿宋_GB2312"/>
          <w:sz w:val="28"/>
          <w:szCs w:val="28"/>
        </w:rPr>
      </w:pPr>
      <w:r>
        <w:rPr>
          <w:rFonts w:hint="eastAsia" w:ascii="仿宋_GB2312" w:eastAsia="仿宋_GB2312"/>
          <w:sz w:val="28"/>
          <w:szCs w:val="28"/>
          <w:lang w:val="en-US" w:eastAsia="zh-CN"/>
        </w:rPr>
        <w:t>8.</w:t>
      </w:r>
      <w:r>
        <w:rPr>
          <w:rFonts w:hint="eastAsia" w:ascii="仿宋_GB2312" w:eastAsia="仿宋_GB2312"/>
          <w:sz w:val="28"/>
          <w:szCs w:val="28"/>
        </w:rPr>
        <w:t>社会保障和就业支出（类）行政事业单位养老支出（款）行政单位离退休（项）：反映用于行政单位（包括实行公务员管理的事业单位）开支的离退休经费。</w:t>
      </w:r>
    </w:p>
    <w:p>
      <w:pPr>
        <w:rPr>
          <w:rFonts w:hint="eastAsia" w:ascii="仿宋_GB2312" w:eastAsia="仿宋_GB2312"/>
          <w:sz w:val="28"/>
          <w:szCs w:val="28"/>
          <w:highlight w:val="none"/>
          <w:lang w:eastAsia="zh-CN"/>
        </w:rPr>
      </w:pPr>
      <w:r>
        <w:rPr>
          <w:rFonts w:hint="eastAsia" w:ascii="仿宋_GB2312" w:eastAsia="仿宋_GB2312"/>
          <w:sz w:val="28"/>
          <w:szCs w:val="28"/>
          <w:lang w:val="en-US" w:eastAsia="zh-CN"/>
        </w:rPr>
        <w:t xml:space="preserve">   9.</w:t>
      </w:r>
      <w:r>
        <w:rPr>
          <w:rFonts w:hint="eastAsia" w:ascii="仿宋_GB2312" w:eastAsia="仿宋_GB2312"/>
          <w:sz w:val="28"/>
          <w:szCs w:val="28"/>
        </w:rPr>
        <w:t>社会保障和就业支出（类）行政事业单位养老支出（款）</w:t>
      </w:r>
      <w:r>
        <w:rPr>
          <w:rFonts w:hint="eastAsia" w:ascii="仿宋_GB2312" w:eastAsia="仿宋_GB2312"/>
          <w:sz w:val="28"/>
          <w:szCs w:val="28"/>
          <w:highlight w:val="none"/>
          <w:lang w:eastAsia="zh-CN"/>
        </w:rPr>
        <w:t>事业单位离退休（项）：反映事业单位开支的离退休经费。</w:t>
      </w:r>
    </w:p>
    <w:p>
      <w:pPr>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 xml:space="preserve">   10.</w:t>
      </w:r>
      <w:r>
        <w:rPr>
          <w:rFonts w:hint="eastAsia" w:ascii="仿宋_GB2312" w:eastAsia="仿宋_GB2312"/>
          <w:sz w:val="28"/>
          <w:szCs w:val="28"/>
          <w:highlight w:val="none"/>
        </w:rPr>
        <w:t>社会保障和就业支出（类）行政事业单位养老支出（款）</w:t>
      </w:r>
      <w:r>
        <w:rPr>
          <w:rFonts w:hint="eastAsia" w:ascii="仿宋_GB2312" w:eastAsia="仿宋_GB2312"/>
          <w:sz w:val="28"/>
          <w:szCs w:val="28"/>
          <w:highlight w:val="none"/>
          <w:lang w:eastAsia="zh-CN"/>
        </w:rPr>
        <w:t>机关事业单位基本养老保险缴费支出（项）：反映机关事业单位实施养老保险制度由单位实际缴纳的基本养老保险费支出。</w:t>
      </w:r>
    </w:p>
    <w:p>
      <w:pPr>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 xml:space="preserve">   11.</w:t>
      </w:r>
      <w:r>
        <w:rPr>
          <w:rFonts w:hint="eastAsia" w:ascii="仿宋_GB2312" w:eastAsia="仿宋_GB2312"/>
          <w:sz w:val="28"/>
          <w:szCs w:val="28"/>
          <w:highlight w:val="none"/>
        </w:rPr>
        <w:t>社会保障和就业支出（类）行政事业单位养老支出（款）</w:t>
      </w:r>
      <w:r>
        <w:rPr>
          <w:rFonts w:hint="eastAsia" w:ascii="仿宋_GB2312" w:eastAsia="仿宋_GB2312"/>
          <w:sz w:val="28"/>
          <w:szCs w:val="28"/>
          <w:highlight w:val="none"/>
          <w:lang w:eastAsia="zh-CN"/>
        </w:rPr>
        <w:t>机关事业单位职业年金缴费支出（项）：反映机关事业单位实施养老保险制度由单位实际缴纳的职业年金支出。</w:t>
      </w:r>
    </w:p>
    <w:p>
      <w:pPr>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 xml:space="preserve">   12.</w:t>
      </w:r>
      <w:r>
        <w:rPr>
          <w:rFonts w:hint="eastAsia" w:ascii="仿宋_GB2312" w:eastAsia="仿宋_GB2312"/>
          <w:sz w:val="28"/>
          <w:szCs w:val="28"/>
          <w:highlight w:val="none"/>
        </w:rPr>
        <w:t>社会保障和就业支出（类）行政事业单位养老支出（款）</w:t>
      </w:r>
      <w:r>
        <w:rPr>
          <w:rFonts w:hint="eastAsia" w:ascii="仿宋_GB2312" w:eastAsia="仿宋_GB2312"/>
          <w:sz w:val="28"/>
          <w:szCs w:val="28"/>
          <w:highlight w:val="none"/>
          <w:lang w:eastAsia="zh-CN"/>
        </w:rPr>
        <w:t>其他行政事业单位养老支出（项）：反映出上述项目以外其他用于行政事业单位养老方面的支出。</w:t>
      </w:r>
    </w:p>
    <w:p>
      <w:pPr>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 xml:space="preserve">   13.</w:t>
      </w:r>
      <w:r>
        <w:rPr>
          <w:rFonts w:hint="eastAsia" w:ascii="仿宋_GB2312" w:eastAsia="仿宋_GB2312"/>
          <w:sz w:val="28"/>
          <w:szCs w:val="28"/>
          <w:highlight w:val="none"/>
        </w:rPr>
        <w:t>社会保障和就业支出（类）</w:t>
      </w:r>
      <w:r>
        <w:rPr>
          <w:rFonts w:hint="eastAsia" w:ascii="仿宋_GB2312" w:eastAsia="仿宋_GB2312"/>
          <w:sz w:val="28"/>
          <w:szCs w:val="28"/>
          <w:highlight w:val="none"/>
          <w:lang w:eastAsia="zh-CN"/>
        </w:rPr>
        <w:t>抚恤（款）</w:t>
      </w:r>
      <w:r>
        <w:rPr>
          <w:rFonts w:hint="eastAsia" w:ascii="仿宋_GB2312" w:eastAsia="仿宋_GB2312"/>
          <w:sz w:val="28"/>
          <w:szCs w:val="28"/>
          <w:highlight w:val="none"/>
          <w:lang w:val="en-US" w:eastAsia="zh-CN"/>
        </w:rPr>
        <w:t>死亡抚恤（项）：反应按规定用于烈士和牺牲、病故人员家属的一次性和定期抚恤金、丧葬补助费以及烈士褒扬金。</w:t>
      </w:r>
    </w:p>
    <w:p>
      <w:pPr>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 xml:space="preserve">   14.</w:t>
      </w:r>
      <w:r>
        <w:rPr>
          <w:rFonts w:hint="eastAsia" w:ascii="仿宋_GB2312" w:eastAsia="仿宋_GB2312"/>
          <w:sz w:val="28"/>
          <w:szCs w:val="28"/>
          <w:highlight w:val="none"/>
          <w:lang w:eastAsia="zh-CN"/>
        </w:rPr>
        <w:t>卫生健康支出（类）行政事业单位医疗（款）行政单位医疗（项）：反映财政部门安排的行政单位（包括实行公务员管理的事业单位，下同）基本医疗保险缴费经费，未参加医疗保险的行政单位的公费医疗经费，按国家规定享受离休人员、红军老战士待遇人员的医疗经费。</w:t>
      </w:r>
    </w:p>
    <w:p>
      <w:pPr>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 xml:space="preserve">   15.</w:t>
      </w:r>
      <w:r>
        <w:rPr>
          <w:rFonts w:hint="eastAsia" w:ascii="仿宋_GB2312" w:eastAsia="仿宋_GB2312"/>
          <w:sz w:val="28"/>
          <w:szCs w:val="28"/>
          <w:highlight w:val="none"/>
          <w:lang w:eastAsia="zh-CN"/>
        </w:rPr>
        <w:t>卫生健康支出（类）行政事业单位医疗（款）事业单位医疗（项）：反映财政部门安排的事业单位基本医疗保险缴费经费，未参加医疗保险的行政单位的公费医疗经费，按国家规定享受离休人员待遇的医疗经费。</w:t>
      </w:r>
    </w:p>
    <w:p>
      <w:pPr>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 xml:space="preserve">   16.</w:t>
      </w:r>
      <w:r>
        <w:rPr>
          <w:rFonts w:hint="eastAsia" w:ascii="仿宋_GB2312" w:eastAsia="仿宋_GB2312"/>
          <w:sz w:val="28"/>
          <w:szCs w:val="28"/>
          <w:highlight w:val="none"/>
          <w:lang w:eastAsia="zh-CN"/>
        </w:rPr>
        <w:t>卫生健康支出（类）行政事业单位医疗（款）公务员医疗补助（项）：反映财政部门安排的公务员医疗补助经费。</w:t>
      </w:r>
    </w:p>
    <w:p>
      <w:pPr>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 xml:space="preserve">   17.节能环保支出（类）污染防治（款）大气（项）：反映政府在治理空气污染、汽车尾气、酸雨、二氧化碳、沙尘暴等方面的支出。</w:t>
      </w:r>
    </w:p>
    <w:p>
      <w:pPr>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 xml:space="preserve">   18.节能环保支出（类）其他节能环保支出（款）其他节能环保支出</w:t>
      </w:r>
      <w:r>
        <w:rPr>
          <w:rFonts w:hint="eastAsia" w:ascii="仿宋_GB2312" w:eastAsia="仿宋_GB2312"/>
          <w:sz w:val="28"/>
          <w:szCs w:val="28"/>
          <w:highlight w:val="none"/>
          <w:lang w:eastAsia="zh-CN"/>
        </w:rPr>
        <w:t>（项）：反映出上述项目以外其他用于</w:t>
      </w:r>
      <w:r>
        <w:rPr>
          <w:rFonts w:hint="eastAsia" w:ascii="仿宋_GB2312" w:eastAsia="仿宋_GB2312"/>
          <w:sz w:val="28"/>
          <w:szCs w:val="28"/>
          <w:highlight w:val="none"/>
          <w:lang w:val="en-US" w:eastAsia="zh-CN"/>
        </w:rPr>
        <w:t>节能环保方面的支出。</w:t>
      </w:r>
    </w:p>
    <w:p>
      <w:pPr>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 xml:space="preserve">    19.</w:t>
      </w:r>
      <w:r>
        <w:rPr>
          <w:rFonts w:hint="eastAsia" w:ascii="仿宋_GB2312" w:eastAsia="仿宋_GB2312"/>
          <w:sz w:val="28"/>
          <w:szCs w:val="28"/>
          <w:highlight w:val="none"/>
          <w:lang w:eastAsia="zh-CN"/>
        </w:rPr>
        <w:t>城乡社区支出（类）城乡社区管理事务（款）行政运行（项）：</w:t>
      </w:r>
      <w:r>
        <w:rPr>
          <w:rFonts w:hint="eastAsia" w:ascii="仿宋_GB2312" w:eastAsia="仿宋_GB2312"/>
          <w:sz w:val="28"/>
          <w:szCs w:val="28"/>
          <w:highlight w:val="none"/>
        </w:rPr>
        <w:t>反映用于行政单位（包括实行公务员管理的事业单位）</w:t>
      </w:r>
      <w:r>
        <w:rPr>
          <w:rFonts w:hint="eastAsia" w:ascii="仿宋_GB2312" w:eastAsia="仿宋_GB2312"/>
          <w:sz w:val="28"/>
          <w:szCs w:val="28"/>
          <w:highlight w:val="none"/>
          <w:lang w:eastAsia="zh-CN"/>
        </w:rPr>
        <w:t>的基本支出。</w:t>
      </w:r>
    </w:p>
    <w:p>
      <w:pPr>
        <w:ind w:firstLine="560" w:firstLineChars="200"/>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20.</w:t>
      </w:r>
      <w:r>
        <w:rPr>
          <w:rFonts w:hint="eastAsia" w:ascii="仿宋_GB2312" w:eastAsia="仿宋_GB2312"/>
          <w:sz w:val="28"/>
          <w:szCs w:val="28"/>
          <w:highlight w:val="none"/>
          <w:lang w:eastAsia="zh-CN"/>
        </w:rPr>
        <w:t>城乡社区支出（类）城乡社区管理事务（款）一般行政管理事务（项）：</w:t>
      </w:r>
      <w:r>
        <w:rPr>
          <w:rFonts w:hint="eastAsia" w:ascii="仿宋_GB2312" w:eastAsia="仿宋_GB2312"/>
          <w:sz w:val="28"/>
          <w:szCs w:val="28"/>
          <w:highlight w:val="none"/>
        </w:rPr>
        <w:t>反映用于行政单位（包括实行公务员管理的事业单位）</w:t>
      </w:r>
      <w:r>
        <w:rPr>
          <w:rFonts w:hint="eastAsia" w:ascii="仿宋_GB2312" w:eastAsia="仿宋_GB2312"/>
          <w:sz w:val="28"/>
          <w:szCs w:val="28"/>
          <w:highlight w:val="none"/>
          <w:lang w:eastAsia="zh-CN"/>
        </w:rPr>
        <w:t>未单独设置项级科目的其他项目支出。</w:t>
      </w:r>
    </w:p>
    <w:p>
      <w:pPr>
        <w:ind w:firstLine="560" w:firstLineChars="200"/>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21.</w:t>
      </w:r>
      <w:r>
        <w:rPr>
          <w:rFonts w:hint="eastAsia" w:ascii="仿宋_GB2312" w:eastAsia="仿宋_GB2312"/>
          <w:sz w:val="28"/>
          <w:szCs w:val="28"/>
          <w:highlight w:val="none"/>
          <w:lang w:eastAsia="zh-CN"/>
        </w:rPr>
        <w:t>城乡社区支出（类）城乡社区管理事务（款）工程建设管理（项）：反映调控建设市场运行、拟定建设市场法规、实施建筑工程质量、安全、工程勘察设计监管等方面的支出。</w:t>
      </w:r>
    </w:p>
    <w:p>
      <w:pPr>
        <w:ind w:firstLine="560" w:firstLineChars="200"/>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22.</w:t>
      </w:r>
      <w:r>
        <w:rPr>
          <w:rFonts w:hint="eastAsia" w:ascii="仿宋_GB2312" w:eastAsia="仿宋_GB2312"/>
          <w:sz w:val="28"/>
          <w:szCs w:val="28"/>
          <w:highlight w:val="none"/>
          <w:lang w:eastAsia="zh-CN"/>
        </w:rPr>
        <w:t>城乡社区支出（类）城乡社区管理事务（款）住宅建设与房地产市场监管（项）：反映调控建设市场运行、研究拟定城镇住房制度改革法规、对住房公积金和其他房改资金进行政策指导并监督使用等方面的支出。</w:t>
      </w:r>
    </w:p>
    <w:p>
      <w:pPr>
        <w:ind w:firstLine="560" w:firstLineChars="200"/>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23.</w:t>
      </w:r>
      <w:r>
        <w:rPr>
          <w:rFonts w:hint="eastAsia" w:ascii="仿宋_GB2312" w:eastAsia="仿宋_GB2312"/>
          <w:sz w:val="28"/>
          <w:szCs w:val="28"/>
          <w:highlight w:val="none"/>
          <w:lang w:eastAsia="zh-CN"/>
        </w:rPr>
        <w:t>城乡社区支出（类）城乡社区管理事务（款）其他城乡社区管理事务支出（项）：反映除上述项目以外其他用于城乡社区管理事务方面的支出。</w:t>
      </w:r>
    </w:p>
    <w:p>
      <w:pPr>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 xml:space="preserve">    24.</w:t>
      </w:r>
      <w:r>
        <w:rPr>
          <w:rFonts w:hint="eastAsia" w:ascii="仿宋_GB2312" w:eastAsia="仿宋_GB2312"/>
          <w:sz w:val="28"/>
          <w:szCs w:val="28"/>
          <w:highlight w:val="none"/>
          <w:lang w:eastAsia="zh-CN"/>
        </w:rPr>
        <w:t>城乡社区支出（类）国有土地使用权出让收入安排的支出（款）土地开发支出（项）</w:t>
      </w:r>
      <w:r>
        <w:rPr>
          <w:rFonts w:hint="eastAsia" w:ascii="仿宋_GB2312" w:eastAsia="仿宋_GB2312"/>
          <w:sz w:val="28"/>
          <w:szCs w:val="28"/>
          <w:highlight w:val="none"/>
          <w:lang w:val="en-US" w:eastAsia="zh-CN"/>
        </w:rPr>
        <w:t>:反映新疆生产建设兵团和地方政府用于前期土地开发性支出以及与前期土地开发相关的费用等支出。</w:t>
      </w:r>
    </w:p>
    <w:p>
      <w:pPr>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 xml:space="preserve">    25.</w:t>
      </w:r>
      <w:r>
        <w:rPr>
          <w:rFonts w:hint="eastAsia" w:ascii="仿宋_GB2312" w:eastAsia="仿宋_GB2312"/>
          <w:sz w:val="28"/>
          <w:szCs w:val="28"/>
          <w:highlight w:val="none"/>
          <w:lang w:eastAsia="zh-CN"/>
        </w:rPr>
        <w:t>城乡社区支出（类）国有土地使用权出让收入安排的支出（款）</w:t>
      </w:r>
      <w:r>
        <w:rPr>
          <w:rFonts w:hint="eastAsia" w:ascii="仿宋_GB2312" w:eastAsia="仿宋_GB2312"/>
          <w:sz w:val="28"/>
          <w:szCs w:val="28"/>
          <w:highlight w:val="none"/>
          <w:lang w:val="en-US" w:eastAsia="zh-CN"/>
        </w:rPr>
        <w:t>廉租住房支出</w:t>
      </w:r>
      <w:r>
        <w:rPr>
          <w:rFonts w:hint="eastAsia" w:ascii="仿宋_GB2312" w:eastAsia="仿宋_GB2312"/>
          <w:sz w:val="28"/>
          <w:szCs w:val="28"/>
          <w:highlight w:val="none"/>
          <w:lang w:eastAsia="zh-CN"/>
        </w:rPr>
        <w:t>（项）：反映从土地出让收入中安排用于城镇廉租住房建设和保障方面的支出。</w:t>
      </w:r>
    </w:p>
    <w:p>
      <w:pPr>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 xml:space="preserve">    26.</w:t>
      </w:r>
      <w:r>
        <w:rPr>
          <w:rFonts w:hint="eastAsia" w:ascii="仿宋_GB2312" w:eastAsia="仿宋_GB2312"/>
          <w:sz w:val="28"/>
          <w:szCs w:val="28"/>
          <w:highlight w:val="none"/>
          <w:lang w:eastAsia="zh-CN"/>
        </w:rPr>
        <w:t>城乡社区支出（类）国有土地使用权出让收入安排的支出（款）</w:t>
      </w:r>
      <w:r>
        <w:rPr>
          <w:rFonts w:hint="eastAsia" w:ascii="仿宋_GB2312" w:eastAsia="仿宋_GB2312"/>
          <w:sz w:val="28"/>
          <w:szCs w:val="28"/>
          <w:highlight w:val="none"/>
          <w:lang w:val="en-US" w:eastAsia="zh-CN"/>
        </w:rPr>
        <w:t>保障性住房租金补贴</w:t>
      </w:r>
      <w:r>
        <w:rPr>
          <w:rFonts w:hint="eastAsia" w:ascii="仿宋_GB2312" w:eastAsia="仿宋_GB2312"/>
          <w:sz w:val="28"/>
          <w:szCs w:val="28"/>
          <w:highlight w:val="none"/>
          <w:lang w:eastAsia="zh-CN"/>
        </w:rPr>
        <w:t>（项）：反映从土地出让收入中安排用于城镇廉租住房建设和保障方面的支出。</w:t>
      </w:r>
    </w:p>
    <w:p>
      <w:pPr>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 xml:space="preserve">    27.</w:t>
      </w:r>
      <w:r>
        <w:rPr>
          <w:rFonts w:hint="eastAsia" w:ascii="仿宋_GB2312" w:eastAsia="仿宋_GB2312"/>
          <w:sz w:val="28"/>
          <w:szCs w:val="28"/>
          <w:highlight w:val="none"/>
          <w:lang w:eastAsia="zh-CN"/>
        </w:rPr>
        <w:t>城乡社区支出（类）其他城乡社区支出（款）其他城乡社区支出（项）：反映出上述项目以外其他用于城乡社区方面的支出。</w:t>
      </w:r>
    </w:p>
    <w:p>
      <w:pPr>
        <w:rPr>
          <w:rFonts w:hint="eastAsia" w:ascii="仿宋_GB2312" w:eastAsia="仿宋_GB2312"/>
          <w:sz w:val="28"/>
          <w:szCs w:val="28"/>
          <w:highlight w:val="none"/>
          <w:lang w:eastAsia="zh-CN"/>
        </w:rPr>
      </w:pPr>
      <w:r>
        <w:rPr>
          <w:rFonts w:hint="eastAsia" w:ascii="仿宋_GB2312" w:eastAsia="仿宋_GB2312"/>
          <w:sz w:val="28"/>
          <w:szCs w:val="28"/>
          <w:highlight w:val="none"/>
          <w:lang w:val="en-US" w:eastAsia="zh-CN"/>
        </w:rPr>
        <w:t xml:space="preserve">    28.</w:t>
      </w:r>
      <w:r>
        <w:rPr>
          <w:rFonts w:hint="eastAsia" w:ascii="仿宋_GB2312" w:eastAsia="仿宋_GB2312"/>
          <w:sz w:val="28"/>
          <w:szCs w:val="28"/>
          <w:highlight w:val="none"/>
          <w:lang w:eastAsia="zh-CN"/>
        </w:rPr>
        <w:t>城乡社区支出（类）国有土地使用权出让收入对应专项债务收入安排的支出（款）棚户区改造支出（项）：反映土地储备专项债券、棚户区改造专项债券外，国有土地使用权出让收入对应其他专项债券收入安排的用于城市和国有工矿棚户区改造的支出。</w:t>
      </w:r>
    </w:p>
    <w:p>
      <w:pPr>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 xml:space="preserve">    29.</w:t>
      </w:r>
      <w:r>
        <w:rPr>
          <w:rFonts w:hint="eastAsia" w:ascii="仿宋_GB2312" w:eastAsia="仿宋_GB2312"/>
          <w:sz w:val="28"/>
          <w:szCs w:val="28"/>
          <w:highlight w:val="none"/>
          <w:lang w:eastAsia="zh-CN"/>
        </w:rPr>
        <w:t>城乡社区支出（类）国有土地使用权出让收入对应专项债务收入安排的支出（款）其他国有土地使用权出让收入对应专项债务收入安排的支出（项）：反映土地储备专项债券、棚户区改造专项债券外，国有土地使用权出让收入对应其他专项债券收入安排的除上述项目以外的，用于其他方面的公益性资本支出。</w:t>
      </w:r>
    </w:p>
    <w:p>
      <w:pPr>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 xml:space="preserve">    30.</w:t>
      </w:r>
      <w:r>
        <w:rPr>
          <w:rFonts w:hint="eastAsia" w:ascii="仿宋_GB2312" w:eastAsia="仿宋_GB2312"/>
          <w:sz w:val="28"/>
          <w:szCs w:val="28"/>
          <w:highlight w:val="none"/>
          <w:lang w:eastAsia="zh-CN"/>
        </w:rPr>
        <w:t>住房保障支出（类）</w:t>
      </w:r>
      <w:r>
        <w:rPr>
          <w:rFonts w:hint="eastAsia" w:ascii="仿宋_GB2312" w:eastAsia="仿宋_GB2312"/>
          <w:sz w:val="28"/>
          <w:szCs w:val="28"/>
          <w:highlight w:val="none"/>
          <w:lang w:val="en-US" w:eastAsia="zh-CN"/>
        </w:rPr>
        <w:t>保障性安居工程支出</w:t>
      </w:r>
      <w:r>
        <w:rPr>
          <w:rFonts w:hint="eastAsia" w:ascii="仿宋_GB2312" w:eastAsia="仿宋_GB2312"/>
          <w:sz w:val="28"/>
          <w:szCs w:val="28"/>
          <w:highlight w:val="none"/>
          <w:lang w:eastAsia="zh-CN"/>
        </w:rPr>
        <w:t>（款）</w:t>
      </w:r>
      <w:r>
        <w:rPr>
          <w:rFonts w:hint="eastAsia" w:ascii="仿宋_GB2312" w:eastAsia="仿宋_GB2312"/>
          <w:sz w:val="28"/>
          <w:szCs w:val="28"/>
          <w:highlight w:val="none"/>
          <w:lang w:val="en-US" w:eastAsia="zh-CN"/>
        </w:rPr>
        <w:t>公共租赁住房</w:t>
      </w:r>
      <w:r>
        <w:rPr>
          <w:rFonts w:hint="eastAsia" w:ascii="仿宋_GB2312" w:eastAsia="仿宋_GB2312"/>
          <w:sz w:val="28"/>
          <w:szCs w:val="28"/>
          <w:highlight w:val="none"/>
          <w:lang w:eastAsia="zh-CN"/>
        </w:rPr>
        <w:t>（项）：反映用于新建、改建、购买、租赁、维护和管理公共租赁住房支出。</w:t>
      </w:r>
    </w:p>
    <w:p>
      <w:pPr>
        <w:rPr>
          <w:rFonts w:hint="eastAsia"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 xml:space="preserve">    31.</w:t>
      </w:r>
      <w:r>
        <w:rPr>
          <w:rFonts w:hint="eastAsia" w:ascii="仿宋_GB2312" w:eastAsia="仿宋_GB2312"/>
          <w:sz w:val="28"/>
          <w:szCs w:val="28"/>
          <w:highlight w:val="none"/>
          <w:lang w:eastAsia="zh-CN"/>
        </w:rPr>
        <w:t>住房保障支出（类）</w:t>
      </w:r>
      <w:r>
        <w:rPr>
          <w:rFonts w:hint="eastAsia" w:ascii="仿宋_GB2312" w:eastAsia="仿宋_GB2312"/>
          <w:sz w:val="28"/>
          <w:szCs w:val="28"/>
          <w:highlight w:val="none"/>
          <w:lang w:val="en-US" w:eastAsia="zh-CN"/>
        </w:rPr>
        <w:t>保障性安居工程支出</w:t>
      </w:r>
      <w:r>
        <w:rPr>
          <w:rFonts w:hint="eastAsia" w:ascii="仿宋_GB2312" w:eastAsia="仿宋_GB2312"/>
          <w:sz w:val="28"/>
          <w:szCs w:val="28"/>
          <w:highlight w:val="none"/>
          <w:lang w:eastAsia="zh-CN"/>
        </w:rPr>
        <w:t>（款）</w:t>
      </w:r>
      <w:r>
        <w:rPr>
          <w:rFonts w:hint="eastAsia" w:ascii="仿宋_GB2312" w:eastAsia="仿宋_GB2312"/>
          <w:sz w:val="28"/>
          <w:szCs w:val="28"/>
          <w:highlight w:val="none"/>
          <w:lang w:val="en-US" w:eastAsia="zh-CN"/>
        </w:rPr>
        <w:t>保障性住房租金补贴</w:t>
      </w:r>
      <w:r>
        <w:rPr>
          <w:rFonts w:hint="eastAsia" w:ascii="仿宋_GB2312" w:eastAsia="仿宋_GB2312"/>
          <w:sz w:val="28"/>
          <w:szCs w:val="28"/>
          <w:highlight w:val="none"/>
          <w:lang w:eastAsia="zh-CN"/>
        </w:rPr>
        <w:t>（项）：反映各级政府向低收入住房保障家庭发放的住房租赁补贴支出。</w:t>
      </w:r>
    </w:p>
    <w:p>
      <w:pPr>
        <w:jc w:val="both"/>
        <w:rPr>
          <w:rFonts w:hint="eastAsia" w:ascii="黑体" w:eastAsia="黑体"/>
          <w:sz w:val="32"/>
          <w:szCs w:val="32"/>
        </w:rPr>
      </w:pPr>
      <w:r>
        <w:rPr>
          <w:rFonts w:hint="eastAsia" w:ascii="仿宋_GB2312" w:eastAsia="仿宋_GB2312"/>
          <w:sz w:val="28"/>
          <w:szCs w:val="28"/>
          <w:highlight w:val="none"/>
          <w:lang w:val="en-US" w:eastAsia="zh-CN"/>
        </w:rPr>
        <w:t xml:space="preserve">    32.</w:t>
      </w:r>
      <w:r>
        <w:rPr>
          <w:rFonts w:hint="eastAsia" w:ascii="仿宋_GB2312" w:eastAsia="仿宋_GB2312"/>
          <w:sz w:val="28"/>
          <w:szCs w:val="28"/>
          <w:highlight w:val="none"/>
          <w:lang w:eastAsia="zh-CN"/>
        </w:rPr>
        <w:t>住房保障支出（类）</w:t>
      </w:r>
      <w:r>
        <w:rPr>
          <w:rFonts w:hint="eastAsia" w:ascii="仿宋_GB2312" w:eastAsia="仿宋_GB2312"/>
          <w:sz w:val="28"/>
          <w:szCs w:val="28"/>
          <w:highlight w:val="none"/>
          <w:lang w:val="en-US" w:eastAsia="zh-CN"/>
        </w:rPr>
        <w:t>住房改革支出</w:t>
      </w:r>
      <w:r>
        <w:rPr>
          <w:rFonts w:hint="eastAsia" w:ascii="仿宋_GB2312" w:eastAsia="仿宋_GB2312"/>
          <w:sz w:val="28"/>
          <w:szCs w:val="28"/>
          <w:highlight w:val="none"/>
          <w:lang w:eastAsia="zh-CN"/>
        </w:rPr>
        <w:t>（款）</w:t>
      </w:r>
      <w:r>
        <w:rPr>
          <w:rFonts w:hint="eastAsia" w:ascii="仿宋_GB2312" w:eastAsia="仿宋_GB2312"/>
          <w:sz w:val="28"/>
          <w:szCs w:val="28"/>
          <w:highlight w:val="none"/>
          <w:lang w:val="en-US" w:eastAsia="zh-CN"/>
        </w:rPr>
        <w:t>购房补贴</w:t>
      </w:r>
      <w:r>
        <w:rPr>
          <w:rFonts w:hint="eastAsia" w:ascii="仿宋_GB2312" w:eastAsia="仿宋_GB2312"/>
          <w:sz w:val="28"/>
          <w:szCs w:val="28"/>
          <w:highlight w:val="none"/>
          <w:lang w:eastAsia="zh-CN"/>
        </w:rPr>
        <w:t>（项）</w:t>
      </w:r>
      <w:r>
        <w:rPr>
          <w:rFonts w:hint="eastAsia" w:ascii="仿宋_GB2312" w:eastAsia="仿宋_GB2312"/>
          <w:sz w:val="28"/>
          <w:szCs w:val="28"/>
          <w:highlight w:val="none"/>
          <w:lang w:val="en-US" w:eastAsia="zh-CN"/>
        </w:rPr>
        <w:t xml:space="preserve"> ：反映按房改政策规定，行政事业单位向符合条件职工（含离退休人员）、军队（含武警）向转役复员离退休人员发放的用于购买住房的补贴。</w:t>
      </w:r>
    </w:p>
    <w:p>
      <w:pPr>
        <w:ind w:firstLine="640" w:firstLineChars="200"/>
        <w:jc w:val="center"/>
        <w:rPr>
          <w:rFonts w:hint="eastAsia" w:ascii="黑体" w:eastAsia="黑体"/>
          <w:sz w:val="32"/>
          <w:szCs w:val="32"/>
        </w:rPr>
      </w:pPr>
    </w:p>
    <w:p>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年度部门绩效评价情况</w:t>
      </w:r>
    </w:p>
    <w:p>
      <w:pPr>
        <w:ind w:firstLine="560" w:firstLineChars="200"/>
        <w:rPr>
          <w:rFonts w:hint="eastAsia" w:ascii="黑体" w:eastAsia="黑体"/>
          <w:sz w:val="28"/>
          <w:szCs w:val="28"/>
          <w:highlight w:val="yellow"/>
        </w:rPr>
      </w:pPr>
    </w:p>
    <w:p>
      <w:pPr>
        <w:numPr>
          <w:ilvl w:val="0"/>
          <w:numId w:val="1"/>
        </w:numPr>
        <w:ind w:firstLine="560" w:firstLineChars="200"/>
        <w:rPr>
          <w:rFonts w:hint="eastAsia" w:ascii="黑体" w:eastAsia="黑体"/>
          <w:sz w:val="28"/>
          <w:szCs w:val="28"/>
          <w:highlight w:val="none"/>
          <w:lang w:eastAsia="zh-CN"/>
        </w:rPr>
      </w:pPr>
      <w:r>
        <w:rPr>
          <w:rFonts w:hint="eastAsia" w:ascii="黑体" w:eastAsia="黑体"/>
          <w:sz w:val="28"/>
          <w:szCs w:val="28"/>
          <w:highlight w:val="none"/>
        </w:rPr>
        <w:t>部门整体绩效评价报告</w:t>
      </w:r>
      <w:r>
        <w:rPr>
          <w:rFonts w:hint="eastAsia" w:ascii="黑体" w:eastAsia="黑体"/>
          <w:sz w:val="28"/>
          <w:szCs w:val="28"/>
          <w:highlight w:val="none"/>
          <w:lang w:eastAsia="zh-CN"/>
        </w:rPr>
        <w:t>（详见附件）</w:t>
      </w:r>
    </w:p>
    <w:p>
      <w:pPr>
        <w:numPr>
          <w:ilvl w:val="0"/>
          <w:numId w:val="1"/>
        </w:numPr>
        <w:ind w:firstLine="560" w:firstLineChars="200"/>
        <w:rPr>
          <w:rFonts w:hint="eastAsia" w:ascii="黑体" w:eastAsia="黑体"/>
          <w:sz w:val="28"/>
          <w:szCs w:val="28"/>
          <w:highlight w:val="none"/>
          <w:lang w:eastAsia="zh-CN"/>
        </w:rPr>
      </w:pPr>
      <w:r>
        <w:rPr>
          <w:rFonts w:hint="eastAsia" w:ascii="黑体" w:eastAsia="黑体"/>
          <w:sz w:val="28"/>
          <w:szCs w:val="28"/>
          <w:highlight w:val="none"/>
        </w:rPr>
        <w:t>项目支出</w:t>
      </w:r>
      <w:r>
        <w:rPr>
          <w:rFonts w:hint="eastAsia" w:ascii="黑体" w:eastAsia="黑体"/>
          <w:sz w:val="28"/>
          <w:szCs w:val="28"/>
          <w:highlight w:val="none"/>
          <w:lang w:val="en-US" w:eastAsia="zh-CN"/>
        </w:rPr>
        <w:t>部门</w:t>
      </w:r>
      <w:r>
        <w:rPr>
          <w:rFonts w:hint="eastAsia" w:ascii="黑体" w:eastAsia="黑体"/>
          <w:sz w:val="28"/>
          <w:szCs w:val="28"/>
          <w:highlight w:val="none"/>
        </w:rPr>
        <w:t>绩效评价报告</w:t>
      </w:r>
      <w:r>
        <w:rPr>
          <w:rFonts w:hint="eastAsia" w:ascii="黑体" w:eastAsia="黑体"/>
          <w:sz w:val="28"/>
          <w:szCs w:val="28"/>
          <w:highlight w:val="none"/>
          <w:lang w:eastAsia="zh-CN"/>
        </w:rPr>
        <w:t>（详见附件）</w:t>
      </w:r>
      <w:bookmarkStart w:id="1" w:name="_GoBack"/>
      <w:bookmarkEnd w:id="1"/>
    </w:p>
    <w:p>
      <w:pPr>
        <w:numPr>
          <w:ilvl w:val="0"/>
          <w:numId w:val="1"/>
        </w:numPr>
        <w:ind w:firstLine="560" w:firstLineChars="200"/>
        <w:rPr>
          <w:rFonts w:ascii="黑体" w:eastAsia="黑体"/>
          <w:sz w:val="28"/>
          <w:szCs w:val="28"/>
          <w:highlight w:val="none"/>
        </w:rPr>
      </w:pPr>
      <w:r>
        <w:rPr>
          <w:rFonts w:hint="eastAsia" w:ascii="黑体" w:eastAsia="黑体"/>
          <w:sz w:val="28"/>
          <w:szCs w:val="28"/>
          <w:highlight w:val="none"/>
        </w:rPr>
        <w:t>项目</w:t>
      </w:r>
      <w:r>
        <w:rPr>
          <w:rFonts w:ascii="黑体" w:eastAsia="黑体"/>
          <w:sz w:val="28"/>
          <w:szCs w:val="28"/>
          <w:highlight w:val="none"/>
        </w:rPr>
        <w:t>支出绩效自评表</w:t>
      </w:r>
      <w:r>
        <w:rPr>
          <w:rFonts w:hint="eastAsia" w:ascii="黑体" w:eastAsia="黑体"/>
          <w:sz w:val="28"/>
          <w:szCs w:val="28"/>
          <w:highlight w:val="none"/>
          <w:lang w:eastAsia="zh-CN"/>
        </w:rPr>
        <w:t>（详见附件）</w:t>
      </w:r>
    </w:p>
    <w:p>
      <w:pPr>
        <w:spacing w:line="480" w:lineRule="exact"/>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pStyle w:val="2"/>
        <w:ind w:left="0" w:leftChars="0" w:firstLine="0" w:firstLineChars="0"/>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方正黑体_GBK" w:hAnsi="方正黑体_GBK" w:eastAsia="方正黑体_GBK" w:cs="方正黑体_GBK"/>
          <w:sz w:val="32"/>
          <w:szCs w:val="32"/>
          <w:highlight w:val="none"/>
          <w:lang w:eastAsia="zh-CN"/>
        </w:rPr>
      </w:pPr>
      <w:r>
        <w:rPr>
          <w:rFonts w:hint="eastAsia" w:ascii="方正黑体_GBK" w:hAnsi="方正黑体_GBK" w:eastAsia="方正黑体_GBK" w:cs="方正黑体_GBK"/>
          <w:sz w:val="32"/>
          <w:szCs w:val="32"/>
          <w:highlight w:val="none"/>
        </w:rPr>
        <w:t>附件</w:t>
      </w:r>
      <w:r>
        <w:rPr>
          <w:rFonts w:hint="eastAsia" w:ascii="方正黑体_GBK" w:hAnsi="方正黑体_GBK" w:eastAsia="方正黑体_GBK" w:cs="方正黑体_GBK"/>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部门整体绩效</w:t>
      </w:r>
      <w:r>
        <w:rPr>
          <w:rFonts w:hint="eastAsia" w:ascii="宋体" w:hAnsi="宋体" w:eastAsia="宋体" w:cs="宋体"/>
          <w:b/>
          <w:bCs/>
          <w:sz w:val="32"/>
          <w:szCs w:val="32"/>
          <w:highlight w:val="none"/>
          <w:lang w:eastAsia="zh-CN"/>
        </w:rPr>
        <w:t>评价</w:t>
      </w:r>
      <w:r>
        <w:rPr>
          <w:rFonts w:hint="eastAsia" w:ascii="宋体" w:hAnsi="宋体" w:eastAsia="宋体" w:cs="宋体"/>
          <w:b/>
          <w:bCs/>
          <w:sz w:val="32"/>
          <w:szCs w:val="32"/>
          <w:highlight w:val="none"/>
        </w:rPr>
        <w:t>报告</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仿宋_GB2312"/>
          <w:szCs w:val="30"/>
          <w:highlight w:val="none"/>
        </w:rPr>
      </w:pPr>
    </w:p>
    <w:p>
      <w:pPr>
        <w:rPr>
          <w:rFonts w:hint="eastAsia" w:ascii="黑体" w:eastAsia="黑体"/>
          <w:sz w:val="28"/>
          <w:szCs w:val="28"/>
        </w:rPr>
      </w:pPr>
      <w:r>
        <w:rPr>
          <w:rFonts w:hint="eastAsia" w:ascii="黑体" w:eastAsia="黑体"/>
          <w:sz w:val="28"/>
          <w:szCs w:val="28"/>
          <w:lang w:val="en-US" w:eastAsia="zh-CN"/>
        </w:rPr>
        <w:t xml:space="preserve">    </w:t>
      </w:r>
      <w:r>
        <w:rPr>
          <w:rFonts w:hint="eastAsia" w:ascii="黑体" w:eastAsia="黑体"/>
          <w:sz w:val="28"/>
          <w:szCs w:val="28"/>
        </w:rPr>
        <w:t>一、部门概况</w:t>
      </w:r>
    </w:p>
    <w:p>
      <w:pPr>
        <w:tabs>
          <w:tab w:val="center" w:pos="6979"/>
        </w:tabs>
        <w:spacing w:line="580" w:lineRule="exact"/>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（一）机构设置及职责工作任务情况</w:t>
      </w:r>
    </w:p>
    <w:p>
      <w:pPr>
        <w:tabs>
          <w:tab w:val="center" w:pos="6979"/>
        </w:tabs>
        <w:spacing w:line="580" w:lineRule="exact"/>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1、本部门职责</w:t>
      </w:r>
    </w:p>
    <w:p>
      <w:pPr>
        <w:tabs>
          <w:tab w:val="center" w:pos="6979"/>
        </w:tabs>
        <w:spacing w:line="580" w:lineRule="exact"/>
        <w:ind w:firstLine="560"/>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（1）贯彻落实国家及北京市关于住房和城乡建设的法律、法规、规章和政策；研究本区住房和城乡建设方面的重大问题，并提出意见建议。 </w:t>
      </w:r>
    </w:p>
    <w:p>
      <w:pPr>
        <w:tabs>
          <w:tab w:val="center" w:pos="6979"/>
        </w:tabs>
        <w:spacing w:line="580" w:lineRule="exact"/>
        <w:ind w:firstLine="560"/>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（2）承担保障本区城镇低收入家庭住房的责任。建立和完善住房保障管理制度；研究拟订住房保障、危旧房改造的中长期规划、年度计划和措施，并组织实施。 </w:t>
      </w:r>
    </w:p>
    <w:p>
      <w:pPr>
        <w:tabs>
          <w:tab w:val="center" w:pos="6979"/>
        </w:tabs>
        <w:spacing w:line="580" w:lineRule="exact"/>
        <w:ind w:firstLine="560"/>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（3）承担推进本区住房制度改革的责任。研究拟订本区住房制度改革的相关意见，并组织实施；负责本区直管公房经营管理体制改革；负责公有住房出售、集资合作建房、住房分配货币化的管理工作。 </w:t>
      </w:r>
    </w:p>
    <w:p>
      <w:pPr>
        <w:tabs>
          <w:tab w:val="center" w:pos="6979"/>
        </w:tabs>
        <w:spacing w:line="580" w:lineRule="exact"/>
        <w:ind w:firstLine="560"/>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4）负责本区工程建设管理工作。按照市区两级职责分工，承担本区建设工程质量和施工安全监管的责任；依法进行建设工程施工许可管理；依法对本区注册建设工程的质量和施工安全进行监督管理；负责本区建设工程竣工验收的备案和监督管理；负责对工地现场建筑机械与起重设备实行登记管理；负责建设工程招标投标监督管理；参与重大建设工程质量、施工安全事故调查处理。 </w:t>
      </w:r>
    </w:p>
    <w:p>
      <w:pPr>
        <w:tabs>
          <w:tab w:val="center" w:pos="6979"/>
        </w:tabs>
        <w:spacing w:line="580" w:lineRule="exact"/>
        <w:ind w:firstLine="560"/>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5）负责建筑业的行业管理。研究拟定本区建筑业发展规划，并指导实施；承担本区建筑市场监督管理、规范市场秩序、推动建筑行业发展的责任；负责对本区建筑行业企业进行资质初审工作；负责建筑企业各类人员职业资格管理及执业注册管理。 </w:t>
      </w:r>
      <w:r>
        <w:rPr>
          <w:rFonts w:hint="eastAsia" w:ascii="仿宋_GB2312" w:eastAsia="仿宋_GB2312"/>
          <w:sz w:val="28"/>
          <w:szCs w:val="28"/>
          <w:lang w:val="en-US" w:eastAsia="zh-CN"/>
        </w:rPr>
        <w:br w:type="textWrapping"/>
      </w:r>
      <w:r>
        <w:rPr>
          <w:rFonts w:hint="eastAsia" w:ascii="仿宋_GB2312" w:eastAsia="仿宋_GB2312"/>
          <w:sz w:val="28"/>
          <w:szCs w:val="28"/>
          <w:lang w:val="en-US" w:eastAsia="zh-CN"/>
        </w:rPr>
        <w:t xml:space="preserve">    （6）承担指导规范本区村镇建设的责任。参与村镇工程建设相关工作的指导和技术服务；参与指导农村危房改造工作。 </w:t>
      </w:r>
      <w:r>
        <w:rPr>
          <w:rFonts w:hint="eastAsia" w:ascii="仿宋_GB2312" w:eastAsia="仿宋_GB2312"/>
          <w:sz w:val="28"/>
          <w:szCs w:val="28"/>
          <w:lang w:val="en-US" w:eastAsia="zh-CN"/>
        </w:rPr>
        <w:br w:type="textWrapping"/>
      </w:r>
      <w:r>
        <w:rPr>
          <w:rFonts w:hint="eastAsia" w:ascii="仿宋_GB2312" w:eastAsia="仿宋_GB2312"/>
          <w:sz w:val="28"/>
          <w:szCs w:val="28"/>
          <w:lang w:val="en-US" w:eastAsia="zh-CN"/>
        </w:rPr>
        <w:t xml:space="preserve">    （7）承担本区建筑节能和建材行业管理的责任。负责建筑节能、墙体材料革新和散装水泥推广和管理工作；负责本区建筑行业新技术新材料的推广应用工作。 </w:t>
      </w:r>
      <w:r>
        <w:rPr>
          <w:rFonts w:hint="eastAsia" w:ascii="仿宋_GB2312" w:eastAsia="仿宋_GB2312"/>
          <w:sz w:val="28"/>
          <w:szCs w:val="28"/>
          <w:lang w:val="en-US" w:eastAsia="zh-CN"/>
        </w:rPr>
        <w:br w:type="textWrapping"/>
      </w:r>
      <w:r>
        <w:rPr>
          <w:rFonts w:hint="eastAsia" w:ascii="仿宋_GB2312" w:eastAsia="仿宋_GB2312"/>
          <w:sz w:val="28"/>
          <w:szCs w:val="28"/>
          <w:lang w:val="en-US" w:eastAsia="zh-CN"/>
        </w:rPr>
        <w:t xml:space="preserve">    （8）承担本区房地产市场相关事项的监督管理、规范市场秩序、促进房地产业发展的责任。会同相关部门拟订本区房地产开发业的发展规划，并指导实施；负责房地产开发企业资质管理；负责新设立房地产企业的资质审批；指导小城镇建设发展规划工作；负责房地产开发、转让、房屋租赁市场及房地产中介服务的监督管理；负责房地产市场监测分析工作；会同相关部门做好本区危旧房改造工程及住宅小区综合验收工作。 </w:t>
      </w:r>
      <w:r>
        <w:rPr>
          <w:rFonts w:hint="eastAsia" w:ascii="仿宋_GB2312" w:eastAsia="仿宋_GB2312"/>
          <w:sz w:val="28"/>
          <w:szCs w:val="28"/>
          <w:lang w:val="en-US" w:eastAsia="zh-CN"/>
        </w:rPr>
        <w:br w:type="textWrapping"/>
      </w:r>
      <w:r>
        <w:rPr>
          <w:rFonts w:hint="eastAsia" w:ascii="仿宋_GB2312" w:eastAsia="仿宋_GB2312"/>
          <w:sz w:val="28"/>
          <w:szCs w:val="28"/>
          <w:lang w:val="en-US" w:eastAsia="zh-CN"/>
        </w:rPr>
        <w:t xml:space="preserve">    （9）承担本区房屋管理的责任。负责房屋征收拆迁的管理工作；负责房屋登记管理；负责物业服务的监督管理；负责本区城镇房屋使用安全的管理；负责房屋档案的管理和相关信息网络系统建设工作；协调有关房屋防汛工作；督促、协调落实私房政策。 </w:t>
      </w:r>
      <w:r>
        <w:rPr>
          <w:rFonts w:hint="eastAsia" w:ascii="仿宋_GB2312" w:eastAsia="仿宋_GB2312"/>
          <w:sz w:val="28"/>
          <w:szCs w:val="28"/>
          <w:lang w:val="en-US" w:eastAsia="zh-CN"/>
        </w:rPr>
        <w:br w:type="textWrapping"/>
      </w:r>
      <w:r>
        <w:rPr>
          <w:rFonts w:hint="eastAsia" w:ascii="仿宋_GB2312" w:eastAsia="仿宋_GB2312"/>
          <w:sz w:val="28"/>
          <w:szCs w:val="28"/>
          <w:lang w:val="en-US" w:eastAsia="zh-CN"/>
        </w:rPr>
        <w:t xml:space="preserve">    （10）负责重大建设项目的协调和监督管理工作。负责组织协调各类重大项目的有关前期工作；协调解决重大项目建设过程中出现的重大问题，负责项目业主及参建各方的服务工作。 </w:t>
      </w:r>
      <w:r>
        <w:rPr>
          <w:rFonts w:hint="eastAsia" w:ascii="仿宋_GB2312" w:eastAsia="仿宋_GB2312"/>
          <w:sz w:val="28"/>
          <w:szCs w:val="28"/>
          <w:lang w:val="en-US" w:eastAsia="zh-CN"/>
        </w:rPr>
        <w:br w:type="textWrapping"/>
      </w:r>
      <w:r>
        <w:rPr>
          <w:rFonts w:hint="eastAsia" w:ascii="仿宋_GB2312" w:eastAsia="仿宋_GB2312"/>
          <w:sz w:val="28"/>
          <w:szCs w:val="28"/>
          <w:lang w:val="en-US" w:eastAsia="zh-CN"/>
        </w:rPr>
        <w:t xml:space="preserve">    （11）承办区政府交办的其它工作。</w:t>
      </w:r>
    </w:p>
    <w:p>
      <w:pPr>
        <w:tabs>
          <w:tab w:val="center" w:pos="6979"/>
        </w:tabs>
        <w:spacing w:line="580" w:lineRule="exact"/>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2、机构设置情况</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我委目前有行政科室13个，行政科室：工程建设与建筑市场管理科、房屋征收拆迁管理科、房地产开发管理科、工程质量和施工安全管理科、物业管理科、房屋市场管理科、房屋租赁管理科、住房保障科、法制科、行政办公室、政工科、财务科、内部审计科。 </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行政执法机构1个：住房城乡建设综合执法大队（副处级）。</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公益一类事业单位15个： </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副处级的公益一类事业单位1个。即：住房保障事务中心。参照公务员管理的公益一类事业单位1个。即：建设工程质量监督站。其他公益一类事业单位13个。即：综合事务中心、建筑行业服务中心、建设工程招投标管理事务中心、建筑材料行业管理事务中心、房屋安全管理中心、出租房屋管理服务中心、普通地下室管理中心、房屋产权交易管理中心、物业服务指导中心、老旧小区综合整治事务中心、住房建设档案管理中心、房屋管理事务中心、重大项目建设服务中心。公益二类事业单位1个：建设工程发包承包交易中心。</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（二）部门整体绩效目标设立情况。</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依据《2024年区政府工作报告重点工作分工方案》及《大兴区2024年重要民生实事项目分工方案》，2024年，我委共设立3项绩效目标，包含5个指标。涉及保障房建设筹集、老旧小区改造、老楼加梯、物业执法检查、物业专项治理等重点领域，目标与职责任务相匹配、设置合理。</w:t>
      </w:r>
    </w:p>
    <w:p>
      <w:pPr>
        <w:ind w:firstLine="560" w:firstLineChars="200"/>
        <w:rPr>
          <w:rFonts w:hint="eastAsia" w:ascii="黑体" w:eastAsia="黑体"/>
          <w:sz w:val="28"/>
          <w:szCs w:val="28"/>
        </w:rPr>
      </w:pPr>
      <w:r>
        <w:rPr>
          <w:rFonts w:hint="eastAsia" w:ascii="黑体" w:eastAsia="黑体"/>
          <w:sz w:val="28"/>
          <w:szCs w:val="28"/>
        </w:rPr>
        <w:t>二、当年预算执行情况</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2024年全年预算数332879.96万元，其中，基本支出预算数12173.03万元，项目支出预算数320706.73万元，其他支出预算数0.00万元。资金总体支出332879.96万元，其中，基本支出12173.03万元，项目支出320706.73万元，其他支出0.00万元。预算执行率为100%。</w:t>
      </w:r>
    </w:p>
    <w:p>
      <w:pPr>
        <w:ind w:firstLine="560" w:firstLineChars="200"/>
        <w:rPr>
          <w:rFonts w:hint="eastAsia" w:ascii="黑体" w:eastAsia="黑体"/>
          <w:sz w:val="28"/>
          <w:szCs w:val="28"/>
        </w:rPr>
      </w:pPr>
      <w:r>
        <w:rPr>
          <w:rFonts w:hint="eastAsia" w:ascii="黑体" w:eastAsia="黑体"/>
          <w:sz w:val="28"/>
          <w:szCs w:val="28"/>
        </w:rPr>
        <w:t>三、整体绩效目标实现情况</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（一）任务一完成情况分析 </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完成6000套政策性住房建设。</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产出完成情况：强化保障性住房建设标准有效落实，优化户型设计，提升保障性住房品质，根据各保障房项目手续推进时序召开专家评审会，明确项目负责人，做好项目对接服务与协调工作，督促项目尽早开工。2024年，已建设筹集保障性住房7477套。</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效果实现情况分析：实现住房供给，保障民生。</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（二）任务二实现情况分析</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新开工10个老旧小区，完工20个老旧小区，改善百姓居住环境。</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产出完成情况：一是做好旧改小区施工管理工作。各镇街在施工前期，多轮次下场与居民面对面谈心的工作方式进行居民工作；施工过程中，督促监理、物业、施工等企业定期巡查，及时反映问题并协助施工方解决；施工中后期，提前做好项目验收、竣工备案等工作。二是做好旧改工程安全质量监督。建立管控机制，定期开展专项检查、巡查。严格检查施工、监理单位的质量、安全保证体系建立、运行情况，专项施工方案编制、审批情况、项目经理、监理到岗情况。2024年，开工21个小区，完工52个老旧小区。</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效果实现情况分析：2024年大兴区在全市旧改工作中荣登榜首，8个小区参与测评，其中有8个小区评价为优，7个小区排名前10，稳居全市第一。</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稳步开展群众意愿统一的老楼加装电梯工作，力争全年开工30部以上，解决群众上下楼难问题。</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产出完成情况：一是做好加梯工作前期准备。社区牵头做好协调协商工作，宣传加梯相关法律规定，提高居民思想认识，解决低层业主不同意的问题。二是做好加梯工作全程推进。做好加梯宣传力度，重点宣传好市级补贴政策、申请流程、加梯形式等内容，让居民熟悉加梯工作，动员居民充分利用现有政策红利尽快启动申请电梯加装工作。严格落实“一户申请就启动、达到比例就确认、协商一致就开工”的工作原则。规范加梯程序，各镇街需督促加梯企业按照加梯导则、图集等政策文件进行方案落实，对加梯材料认真把关，严格落实初审职责。2024年，全年开工电梯30部。</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效果实现情况分析：改善百姓上下楼难问题，不断提升群众居住品质，切实增强群众获得感、幸福感和安全感。</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（三）任务三实现情况分析</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全年开展两轮次专项执法检查，进一步规范物业服务。</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产出完成情况：围绕消防安全、物业管理开展专项检查2轮次。2024年1月1日至2024年8月12日，已完成两轮次专项检查。</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效果实现情况分析：物业服务质量得到提升。</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对“12345”市民热线物业管理诉求量市级前100名的居住小区开展专项治理，提升物业服务满意率。</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产出完成情况：督促属地针对市级前100名上账项目进行专项整治，并提交工作进展情况，保证上账项目及时销账。全年市级下发4批次榜单，2023年第四季度涉及项目8个，2024年一季度涉及项目9个,三季度涉及项目6个，2024年二季度涉及项目14个，共涉及24个小区37项次，目前均已完成治理。</w:t>
      </w:r>
    </w:p>
    <w:p>
      <w:pPr>
        <w:tabs>
          <w:tab w:val="center" w:pos="6979"/>
        </w:tabs>
        <w:spacing w:line="580" w:lineRule="exact"/>
        <w:ind w:firstLine="570"/>
        <w:rPr>
          <w:rFonts w:hint="eastAsia" w:ascii="黑体" w:eastAsia="黑体"/>
          <w:sz w:val="28"/>
          <w:szCs w:val="28"/>
        </w:rPr>
      </w:pPr>
      <w:r>
        <w:rPr>
          <w:rFonts w:hint="eastAsia" w:ascii="仿宋_GB2312" w:eastAsia="仿宋_GB2312"/>
          <w:sz w:val="28"/>
          <w:szCs w:val="28"/>
          <w:lang w:val="en-US" w:eastAsia="zh-CN"/>
        </w:rPr>
        <w:t>效果实现情况分析：对市级12345热线物业管理问题诉求量前100名的小区进行专项治理。督导相关属地明确整改完成时限，定期报送进展，破解物业管理难题。</w:t>
      </w:r>
      <w:r>
        <w:rPr>
          <w:rFonts w:hint="eastAsia" w:ascii="仿宋_GB2312" w:eastAsia="仿宋_GB2312"/>
          <w:sz w:val="28"/>
          <w:szCs w:val="28"/>
          <w:lang w:val="en-US" w:eastAsia="zh-CN"/>
        </w:rPr>
        <w:br w:type="textWrapping"/>
      </w:r>
      <w:r>
        <w:rPr>
          <w:rFonts w:hint="eastAsia" w:ascii="仿宋_GB2312" w:eastAsia="仿宋_GB2312"/>
          <w:sz w:val="28"/>
          <w:szCs w:val="28"/>
          <w:lang w:val="en-US" w:eastAsia="zh-CN"/>
        </w:rPr>
        <w:t xml:space="preserve">    </w:t>
      </w:r>
      <w:r>
        <w:rPr>
          <w:rFonts w:hint="eastAsia" w:ascii="黑体" w:eastAsia="黑体"/>
          <w:sz w:val="28"/>
          <w:szCs w:val="28"/>
        </w:rPr>
        <w:t>四、预算管理情况分析</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（一）财务管理</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1.财务管理制度健全性</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加强制度建设。我委制定了《预算管理制度》、《财务管理制度》、《预算绩效管理制度》、《收入管理办法》、《资金支出管理规定》、《共管账户管理办法》、《票据管理办法》、《财务安全保密制度》、《防治小金库管理制度》、《固定资产管理制度》、《政府采购管理制度》等。为防范财务工作中的风险隐患，奠定了坚实的基础。</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2.资金使用合规性和安全性</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业务科经办人提出费用报销申请，根据使用资金额度履行相应的审批流程。一次性金额2万元（含）以上的，填写初始动议事项记录单，科室负责人审核后签字；一次性金额2万元以下的，填写资金使用申请表，科室负责人审核后签字。业务主管领导审核费用报销申请，并于审批通过后签字确认：1.报销金额在2万元（含）以上，内审科审核费用报销申请，并于审核通过后签字确认，财务科审核费用报销申请，并于审核通过签字确认，主要领导审批费用报销申请，党组会审议费用报销申请，并于审议通过后签字确认，整理票据，转入费用报销（票据审核）流程。2.报销金额在2万元以下，财务主管领导审批费用报销申请，并于审批通过后签字确认，整理票据，转入费用报销（票据审核）流程。</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3.会计基础信息完善性</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贯彻节俭精神。压缩一般性支出，严格控制行政成本，大力推进节约型机关建设，从严从紧编制预算。</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（二）资产管理</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1.登记管理。财务科为验收入库和投入使用的固定资产建立固定资产卡片，并登记资产管理信息系统、固定资产明细账和总账。实现单位内部固定资产信息化管理和财政部门对单位的固定资产动态监管。库存固定资产未经管理人员同意，任何人不准随意领用或调换。 </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2.动态管理。财务科、行政办公室每年对占有、使用的固定资产至少组织一次清查，就清查结果、处理意见汇至财务科，财务科对盘盈、盘亏资产按规定程序处理，做到家底清楚，账、卡、实相符。科室负责人调整时应履行固定资产交接手续，确保账实相相符。 </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3.使用管理。各科室应使用本科室已配备的固定资产，不得私自借给其他科室。需要维修的固定资产应填写《资产使用申请表》（附件），批准后报至行政办公室进行维修。委内固定资产原则上不得对外投资、出租、出借、担保。 </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4.处置管理。包括调拨、捐赠、置换、出售、报废、报损、货币性资产损失核销等行为，均按照《大兴区行政事业单位国有资产处置管理办法》（京兴政办发〔2012〕42号）执行。其中，固定资产报废、报损程序规定如下： （1）由业务科室向行政办公室提出申请，说明报损或报废的原因，同时填写《资产使用申请表》（附件）。 （2）行政办公室对各科室的报废资产进行初始审核（属于房屋建筑物、交通工具等大型资产的，由具有评估资格的社会中介机构进行评估；属于计算机等小型办公设备，由行政办公室进行报废鉴定），并报委领导审批。委领导批准后，财务科上报区财政局审批。 （3）收到财政部门的资产处置批复后方可对相应资产进行处置，财务科将处置收入全额上缴大兴区财政局，并办理资产核销手续及账务处理工作，按照《北京市行政事业单位资产清查账销案存资产管理暂行规定》（京财绩效[2006]2819号）做好相关管理工作。 </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5. 保障房划拨流程按照《大兴区行政事业单位国有资产处置管理办法》（京兴政办发〔2012〕42号）执行，程序规定如下： （1）由业务科室将保障房划拨事宜上区住建委党组会，会议决议通过后及时进行划拨流程。 （2）由业务科室向财务科提供保障房划拨事宜的上级批复，提供电子及纸质说明，内容包含划拨具体原因、涉及文件、房屋单价、套数、合同面积、收购价款、公维和契税等其他费用，同时提供合同、房本及其他相关划拨材料。 （3）业务科室整理财政局所需划拨材料并报委领导审批。委领导批准后，由财务科上交至区财政局审批。 （4）收到区财政局的保障房划拨批复后方可对相应资产进行划拨，财务科通知业务科室办理保障房过户手续，并进行固定资产系统划拨操作及财务账务处理工作，按照《北京市行政事业单位资产清查账销案存资产管理暂行规定》（京财绩效[2006]2819号）做好相关管理工作。</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（三）绩效管理</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1.重点工作绩效管理</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年初办公室梳理我委各项重点工作，建立工作台账，按月动态追踪进展，按季上会通报情况，随时重点专题调度，将各项任务过程管理做细做实，随时查漏补缺、补齐短板。年中按区绩效办统一工作安排，对纳入绩效考核的任务进行任务分解，制作任务书。作为考评主体组织科室制定相关考核细则。年底组织科室对任务进行自评并提供佐证材料。</w:t>
      </w:r>
    </w:p>
    <w:p>
      <w:pPr>
        <w:tabs>
          <w:tab w:val="center" w:pos="6979"/>
        </w:tabs>
        <w:spacing w:line="580" w:lineRule="exact"/>
        <w:ind w:firstLine="570"/>
        <w:rPr>
          <w:rFonts w:hint="default" w:ascii="仿宋_GB2312" w:eastAsia="仿宋_GB2312"/>
          <w:sz w:val="28"/>
          <w:szCs w:val="28"/>
          <w:lang w:val="en-US" w:eastAsia="zh-CN"/>
        </w:rPr>
      </w:pPr>
      <w:r>
        <w:rPr>
          <w:rFonts w:hint="eastAsia" w:ascii="仿宋_GB2312" w:eastAsia="仿宋_GB2312"/>
          <w:sz w:val="28"/>
          <w:szCs w:val="28"/>
          <w:lang w:val="en-US" w:eastAsia="zh-CN"/>
        </w:rPr>
        <w:t>预算项目绩效管理</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根据《大兴区项目支出绩效评价管理办法》（京兴财〔2021〕58号）文件要求，预算编报阶段各业务科室进行绩效目标设定，年初财务科组织项目科室开展项目绩效自评工作。根据《大兴区预算绩效运行监控管理办法》（京兴财【2021】57号）文件的要求，年中对当年1-6月所有项目支出预算指标执行情况和绩效目标实现程度进行监控跟踪，形成绩效跟踪报告上报区绩效办，进一步加强预算绩效运行监控管理，提高预算执行效率和资金使用效益。</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（四）部门预决算差异率</w:t>
      </w:r>
    </w:p>
    <w:p>
      <w:pPr>
        <w:tabs>
          <w:tab w:val="center" w:pos="6979"/>
        </w:tabs>
        <w:spacing w:line="580" w:lineRule="exact"/>
        <w:ind w:firstLine="570"/>
        <w:rPr>
          <w:rFonts w:hint="default" w:ascii="仿宋_GB2312" w:eastAsia="仿宋_GB2312"/>
          <w:sz w:val="28"/>
          <w:szCs w:val="28"/>
          <w:lang w:val="en-US" w:eastAsia="zh-CN"/>
        </w:rPr>
      </w:pPr>
      <w:r>
        <w:rPr>
          <w:rFonts w:hint="eastAsia" w:ascii="仿宋_GB2312" w:eastAsia="仿宋_GB2312"/>
          <w:sz w:val="28"/>
          <w:szCs w:val="28"/>
          <w:lang w:val="en-US" w:eastAsia="zh-CN"/>
        </w:rPr>
        <w:t xml:space="preserve">2023年我委全年预算数869785.17万元，全年执行数869785.17万元，2023年全年预决算差异率0.00%。2024年我委全年预算数332879.76万元，全年执行数332879.76万元，2024年全年预决算差异率0.00%，与2023年全年预算差异率相比，无变动。 </w:t>
      </w:r>
    </w:p>
    <w:p>
      <w:pPr>
        <w:ind w:firstLine="560" w:firstLineChars="200"/>
        <w:rPr>
          <w:rFonts w:hint="eastAsia" w:ascii="黑体" w:eastAsia="黑体"/>
          <w:sz w:val="28"/>
          <w:szCs w:val="28"/>
        </w:rPr>
      </w:pPr>
      <w:r>
        <w:rPr>
          <w:rFonts w:hint="eastAsia" w:ascii="黑体" w:eastAsia="黑体"/>
          <w:sz w:val="28"/>
          <w:szCs w:val="28"/>
        </w:rPr>
        <w:t>五、总体评价结论</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（一）评价得分情况</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2024年度部门整体绩效评价100分。当年预算执行情况满分20分，得分20分，2024全年部门执行数均按区财政预算规定执行；整体绩效目标实现情况满分60分，得分60分，部门整体绩效目标完成情况均与年初设定绩效指标内容相符；预算管理情况满分20分，得分20分。</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（二）存在的问题及原因分析</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1.主要经验</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项目准备立项时，一定要将依据文件和所需材料准备齐全，严格按照财政局的预算编制要求执行。</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2.存在的问题</w:t>
      </w:r>
    </w:p>
    <w:p>
      <w:pPr>
        <w:tabs>
          <w:tab w:val="center" w:pos="6979"/>
        </w:tabs>
        <w:spacing w:line="580" w:lineRule="exact"/>
        <w:ind w:firstLine="570"/>
        <w:rPr>
          <w:rFonts w:hint="default" w:ascii="仿宋_GB2312" w:eastAsia="仿宋_GB2312"/>
          <w:sz w:val="28"/>
          <w:szCs w:val="28"/>
          <w:lang w:val="en-US" w:eastAsia="zh-CN"/>
        </w:rPr>
      </w:pPr>
      <w:r>
        <w:rPr>
          <w:rFonts w:hint="eastAsia" w:ascii="仿宋_GB2312" w:eastAsia="仿宋_GB2312"/>
          <w:sz w:val="28"/>
          <w:szCs w:val="28"/>
          <w:lang w:val="en-US" w:eastAsia="zh-CN"/>
        </w:rPr>
        <w:t xml:space="preserve"> 各项目科室年初预算填报绩效目标内容有待规范，满意度调查不严谨。部分项目的年度指标为合同的全部指标，自评年度应为支出年度与合同不一致，自评难度过大。</w:t>
      </w:r>
    </w:p>
    <w:p>
      <w:pPr>
        <w:ind w:firstLine="560" w:firstLineChars="200"/>
        <w:rPr>
          <w:rFonts w:hint="eastAsia" w:ascii="黑体" w:eastAsia="黑体"/>
          <w:sz w:val="28"/>
          <w:szCs w:val="28"/>
        </w:rPr>
      </w:pPr>
      <w:r>
        <w:rPr>
          <w:rFonts w:hint="eastAsia" w:ascii="黑体" w:eastAsia="黑体"/>
          <w:sz w:val="28"/>
          <w:szCs w:val="28"/>
          <w:lang w:eastAsia="zh-CN"/>
        </w:rPr>
        <w:t>六、</w:t>
      </w:r>
      <w:r>
        <w:rPr>
          <w:rFonts w:hint="eastAsia" w:ascii="黑体" w:eastAsia="黑体"/>
          <w:sz w:val="28"/>
          <w:szCs w:val="28"/>
        </w:rPr>
        <w:t>措施建议</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1.强化绩效意识，规范填报项目绩效目标申报表，科学设置绩效目标，细化、量化绩效指标，增强可考量性。</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val="en-US" w:eastAsia="zh-CN"/>
        </w:rPr>
        <w:t>2.重视满意度调查，根据项目内容和管理要求，明确调查对象及其范围，科学设计调查问卷，加强调查结果的统计分析和结果应用，有效促进项目绩效的改进和提高。</w:t>
      </w:r>
    </w:p>
    <w:p>
      <w:pPr>
        <w:pStyle w:val="2"/>
        <w:rPr>
          <w:rFonts w:hint="eastAsia" w:ascii="仿宋_GB2312" w:eastAsia="仿宋_GB2312"/>
          <w:sz w:val="28"/>
          <w:szCs w:val="28"/>
          <w:lang w:val="en-US" w:eastAsia="zh-CN"/>
        </w:rPr>
      </w:pPr>
    </w:p>
    <w:p>
      <w:pPr>
        <w:pStyle w:val="2"/>
        <w:rPr>
          <w:rFonts w:hint="eastAsia" w:ascii="仿宋_GB2312" w:eastAsia="仿宋_GB2312"/>
          <w:sz w:val="28"/>
          <w:szCs w:val="28"/>
          <w:lang w:val="en-US" w:eastAsia="zh-CN"/>
        </w:rPr>
      </w:pPr>
    </w:p>
    <w:p>
      <w:pPr>
        <w:pStyle w:val="2"/>
        <w:rPr>
          <w:rFonts w:hint="eastAsia" w:ascii="仿宋_GB2312" w:eastAsia="仿宋_GB2312"/>
          <w:sz w:val="28"/>
          <w:szCs w:val="28"/>
          <w:lang w:val="en-US" w:eastAsia="zh-CN"/>
        </w:rPr>
      </w:pPr>
    </w:p>
    <w:p>
      <w:pPr>
        <w:pStyle w:val="2"/>
        <w:ind w:left="0" w:leftChars="0" w:firstLine="0" w:firstLineChars="0"/>
        <w:rPr>
          <w:rFonts w:hint="eastAsia"/>
          <w:lang w:eastAsia="zh-CN"/>
        </w:rPr>
      </w:pPr>
    </w:p>
    <w:tbl>
      <w:tblPr>
        <w:tblStyle w:val="15"/>
        <w:tblW w:w="1478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47"/>
        <w:gridCol w:w="1148"/>
        <w:gridCol w:w="1434"/>
        <w:gridCol w:w="2830"/>
        <w:gridCol w:w="352"/>
        <w:gridCol w:w="3658"/>
        <w:gridCol w:w="94"/>
        <w:gridCol w:w="1080"/>
        <w:gridCol w:w="72"/>
        <w:gridCol w:w="276"/>
        <w:gridCol w:w="640"/>
        <w:gridCol w:w="296"/>
        <w:gridCol w:w="336"/>
        <w:gridCol w:w="54"/>
        <w:gridCol w:w="162"/>
        <w:gridCol w:w="555"/>
        <w:gridCol w:w="6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00" w:hRule="atLeast"/>
        </w:trPr>
        <w:tc>
          <w:tcPr>
            <w:tcW w:w="14786" w:type="dxa"/>
            <w:gridSpan w:val="17"/>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br w:type="page"/>
            </w:r>
            <w:r>
              <w:rPr>
                <w:rFonts w:hint="eastAsia" w:ascii="宋体" w:hAnsi="宋体" w:eastAsia="宋体" w:cs="宋体"/>
                <w:b/>
                <w:bCs/>
                <w:i w:val="0"/>
                <w:iCs w:val="0"/>
                <w:color w:val="000000"/>
                <w:kern w:val="0"/>
                <w:sz w:val="24"/>
                <w:szCs w:val="24"/>
                <w:highlight w:val="none"/>
                <w:u w:val="none"/>
                <w:lang w:val="en-US" w:eastAsia="zh-CN" w:bidi="ar"/>
              </w:rPr>
              <w:t>2024年度部门整体绩效评价表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14786" w:type="dxa"/>
            <w:gridSpan w:val="17"/>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一、当年预算执行情况（20分）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一级指标</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二级指标</w:t>
            </w:r>
          </w:p>
        </w:tc>
        <w:tc>
          <w:tcPr>
            <w:tcW w:w="14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三级指标</w:t>
            </w:r>
          </w:p>
        </w:tc>
        <w:tc>
          <w:tcPr>
            <w:tcW w:w="31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指标解释</w:t>
            </w:r>
          </w:p>
        </w:tc>
        <w:tc>
          <w:tcPr>
            <w:tcW w:w="365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评分标准</w:t>
            </w:r>
          </w:p>
        </w:tc>
        <w:tc>
          <w:tcPr>
            <w:tcW w:w="124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预算数（万元）</w:t>
            </w:r>
          </w:p>
        </w:tc>
        <w:tc>
          <w:tcPr>
            <w:tcW w:w="121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执行数（万元）</w:t>
            </w:r>
          </w:p>
        </w:tc>
        <w:tc>
          <w:tcPr>
            <w:tcW w:w="55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分值</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得分率</w:t>
            </w:r>
          </w:p>
        </w:tc>
        <w:tc>
          <w:tcPr>
            <w:tcW w:w="65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796" w:hRule="atLeast"/>
        </w:trPr>
        <w:tc>
          <w:tcPr>
            <w:tcW w:w="11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当年预算执行情况</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（20分）</w:t>
            </w:r>
          </w:p>
        </w:tc>
        <w:tc>
          <w:tcPr>
            <w:tcW w:w="114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当年预算执行情况（20）</w:t>
            </w:r>
          </w:p>
        </w:tc>
        <w:tc>
          <w:tcPr>
            <w:tcW w:w="14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资金总体</w:t>
            </w:r>
          </w:p>
        </w:tc>
        <w:tc>
          <w:tcPr>
            <w:tcW w:w="31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部门全年执行数与全年预算数的比率。资金总体=基本支出+项目支出+其他</w:t>
            </w:r>
          </w:p>
        </w:tc>
        <w:tc>
          <w:tcPr>
            <w:tcW w:w="365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①得分一档最高不能超过该指标分值上限（20分）。</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②该指标若为正向指标，得分计算方法为：执行数/预算数*20；</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③该指标得分计算资金总体即可，分类支出填写预算数及执行数，无需计算分项执行率；</w:t>
            </w:r>
          </w:p>
          <w:p>
            <w:pPr>
              <w:keepNext w:val="0"/>
              <w:keepLines w:val="0"/>
              <w:widowControl/>
              <w:suppressLineNumbers w:val="0"/>
              <w:jc w:val="left"/>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④若由于年初预算数编制不准确导致执行率过高，在200%-300%（含200%）区间，则按照该指标分值的10%扣分，计算得分率在300%-500%（含300%）区间，则按照该指标分值的20%扣分，计算得分率高于500%（含500%），则按照该指标分值的30%扣分。</w:t>
            </w:r>
          </w:p>
        </w:tc>
        <w:tc>
          <w:tcPr>
            <w:tcW w:w="124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sz w:val="21"/>
                <w:szCs w:val="21"/>
                <w:highlight w:val="none"/>
                <w:u w:val="none"/>
                <w:lang w:val="en-US" w:eastAsia="zh-CN"/>
              </w:rPr>
              <w:t>332879.76</w:t>
            </w:r>
          </w:p>
        </w:tc>
        <w:tc>
          <w:tcPr>
            <w:tcW w:w="121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332879.76</w:t>
            </w:r>
          </w:p>
        </w:tc>
        <w:tc>
          <w:tcPr>
            <w:tcW w:w="55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20</w:t>
            </w:r>
          </w:p>
        </w:tc>
        <w:tc>
          <w:tcPr>
            <w:tcW w:w="5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100%</w:t>
            </w:r>
          </w:p>
        </w:tc>
        <w:tc>
          <w:tcPr>
            <w:tcW w:w="65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72" w:hRule="atLeast"/>
        </w:trPr>
        <w:tc>
          <w:tcPr>
            <w:tcW w:w="1147"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148"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434"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基本支出</w:t>
            </w:r>
          </w:p>
        </w:tc>
        <w:tc>
          <w:tcPr>
            <w:tcW w:w="3182" w:type="dxa"/>
            <w:gridSpan w:val="2"/>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3658"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2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22"/>
                <w:szCs w:val="22"/>
                <w:highlight w:val="none"/>
                <w:u w:val="none"/>
                <w:lang w:val="en-US"/>
              </w:rPr>
            </w:pPr>
            <w:r>
              <w:rPr>
                <w:rFonts w:hint="eastAsia" w:ascii="宋体" w:hAnsi="宋体" w:eastAsia="宋体" w:cs="宋体"/>
                <w:i w:val="0"/>
                <w:iCs w:val="0"/>
                <w:color w:val="000000"/>
                <w:sz w:val="22"/>
                <w:szCs w:val="22"/>
                <w:highlight w:val="none"/>
                <w:u w:val="none"/>
                <w:lang w:val="en-US" w:eastAsia="zh-CN"/>
              </w:rPr>
              <w:t>12173.03</w:t>
            </w:r>
          </w:p>
        </w:tc>
        <w:tc>
          <w:tcPr>
            <w:tcW w:w="1212"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22"/>
                <w:szCs w:val="22"/>
                <w:highlight w:val="none"/>
                <w:u w:val="none"/>
                <w:lang w:val="en-US" w:eastAsia="zh-CN"/>
              </w:rPr>
            </w:pPr>
            <w:r>
              <w:rPr>
                <w:rFonts w:hint="eastAsia" w:ascii="宋体" w:hAnsi="宋体" w:eastAsia="宋体" w:cs="宋体"/>
                <w:i w:val="0"/>
                <w:iCs w:val="0"/>
                <w:color w:val="000000"/>
                <w:sz w:val="22"/>
                <w:szCs w:val="22"/>
                <w:highlight w:val="none"/>
                <w:u w:val="none"/>
                <w:lang w:val="en-US" w:eastAsia="zh-CN"/>
              </w:rPr>
              <w:t>12173.03</w:t>
            </w:r>
          </w:p>
        </w:tc>
        <w:tc>
          <w:tcPr>
            <w:tcW w:w="552" w:type="dxa"/>
            <w:gridSpan w:val="3"/>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555"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w:t>
            </w:r>
          </w:p>
        </w:tc>
        <w:tc>
          <w:tcPr>
            <w:tcW w:w="652" w:type="dxa"/>
            <w:vMerge w:val="continue"/>
            <w:tcBorders>
              <w:top w:val="single" w:color="auto"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66" w:hRule="atLeast"/>
        </w:trPr>
        <w:tc>
          <w:tcPr>
            <w:tcW w:w="1147"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1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项目支出</w:t>
            </w:r>
          </w:p>
        </w:tc>
        <w:tc>
          <w:tcPr>
            <w:tcW w:w="31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36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2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22"/>
                <w:szCs w:val="22"/>
                <w:highlight w:val="none"/>
                <w:u w:val="none"/>
                <w:lang w:val="en-US"/>
              </w:rPr>
            </w:pPr>
            <w:r>
              <w:rPr>
                <w:rFonts w:hint="eastAsia" w:ascii="宋体" w:hAnsi="宋体" w:eastAsia="宋体" w:cs="宋体"/>
                <w:i w:val="0"/>
                <w:iCs w:val="0"/>
                <w:color w:val="000000"/>
                <w:sz w:val="22"/>
                <w:szCs w:val="22"/>
                <w:highlight w:val="none"/>
                <w:u w:val="none"/>
                <w:lang w:val="en-US" w:eastAsia="zh-CN"/>
              </w:rPr>
              <w:t>320706.73</w:t>
            </w:r>
          </w:p>
        </w:tc>
        <w:tc>
          <w:tcPr>
            <w:tcW w:w="12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22"/>
                <w:szCs w:val="22"/>
                <w:highlight w:val="none"/>
                <w:u w:val="none"/>
                <w:lang w:val="en-US" w:eastAsia="zh-CN"/>
              </w:rPr>
            </w:pPr>
            <w:r>
              <w:rPr>
                <w:rFonts w:hint="eastAsia" w:ascii="宋体" w:hAnsi="宋体" w:eastAsia="宋体" w:cs="宋体"/>
                <w:i w:val="0"/>
                <w:iCs w:val="0"/>
                <w:color w:val="000000"/>
                <w:sz w:val="22"/>
                <w:szCs w:val="22"/>
                <w:highlight w:val="none"/>
                <w:u w:val="none"/>
                <w:lang w:val="en-US" w:eastAsia="zh-CN"/>
              </w:rPr>
              <w:t>320706.73</w:t>
            </w:r>
          </w:p>
        </w:tc>
        <w:tc>
          <w:tcPr>
            <w:tcW w:w="55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652"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6" w:hRule="atLeast"/>
        </w:trPr>
        <w:tc>
          <w:tcPr>
            <w:tcW w:w="1147"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1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其他</w:t>
            </w:r>
          </w:p>
        </w:tc>
        <w:tc>
          <w:tcPr>
            <w:tcW w:w="31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36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2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2"/>
                <w:szCs w:val="22"/>
                <w:highlight w:val="none"/>
                <w:u w:val="none"/>
              </w:rPr>
            </w:pPr>
          </w:p>
        </w:tc>
        <w:tc>
          <w:tcPr>
            <w:tcW w:w="12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2"/>
                <w:szCs w:val="22"/>
                <w:highlight w:val="none"/>
                <w:u w:val="none"/>
              </w:rPr>
            </w:pPr>
          </w:p>
        </w:tc>
        <w:tc>
          <w:tcPr>
            <w:tcW w:w="55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652"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47"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1880" w:type="dxa"/>
            <w:gridSpan w:val="11"/>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小计</w:t>
            </w:r>
          </w:p>
        </w:tc>
        <w:tc>
          <w:tcPr>
            <w:tcW w:w="5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20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1"/>
                <w:szCs w:val="21"/>
                <w:highlight w:val="none"/>
                <w:u w:val="none"/>
                <w:lang w:val="en-US" w:eastAsia="zh-CN"/>
              </w:rPr>
            </w:pPr>
            <w:r>
              <w:rPr>
                <w:rFonts w:hint="eastAsia" w:ascii="宋体" w:hAnsi="宋体" w:eastAsia="宋体" w:cs="宋体"/>
                <w:b/>
                <w:bCs/>
                <w:i w:val="0"/>
                <w:iCs w:val="0"/>
                <w:color w:val="000000"/>
                <w:sz w:val="21"/>
                <w:szCs w:val="21"/>
                <w:highlight w:val="none"/>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4786"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二、整体绩效目标实现情况（60分）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47"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一级指标</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任务名称</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指标名称</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指标内容和指标值</w:t>
            </w:r>
          </w:p>
        </w:tc>
        <w:tc>
          <w:tcPr>
            <w:tcW w:w="553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年度完成情况</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分值</w:t>
            </w:r>
          </w:p>
        </w:tc>
        <w:tc>
          <w:tcPr>
            <w:tcW w:w="7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得分率</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11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整体绩效目标实现情况（60分）</w:t>
            </w:r>
          </w:p>
        </w:tc>
        <w:tc>
          <w:tcPr>
            <w:tcW w:w="1148"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1.保障房筹集</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完成2024年保障房筹集任务</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新增保障性住房6000套，推进安置房项目开工建设。</w:t>
            </w:r>
          </w:p>
        </w:tc>
        <w:tc>
          <w:tcPr>
            <w:tcW w:w="553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强化保障性住房建设标准有效落实，优化户型设计，提升保障性住房品质，根据各保障房项目手续推进时序召开专家评审会，明确项目负责人，做好项目对接服务与协调工作，督促项目尽早开工。2024年，</w:t>
            </w:r>
            <w:r>
              <w:rPr>
                <w:rFonts w:hint="eastAsia" w:ascii="宋体" w:hAnsi="宋体" w:eastAsia="宋体" w:cs="宋体"/>
                <w:i w:val="0"/>
                <w:iCs w:val="0"/>
                <w:color w:val="000000"/>
                <w:sz w:val="21"/>
                <w:szCs w:val="21"/>
                <w:highlight w:val="none"/>
                <w:u w:val="none"/>
              </w:rPr>
              <w:t>已建设筹集保障性住房7477套。</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20</w:t>
            </w:r>
          </w:p>
        </w:tc>
        <w:tc>
          <w:tcPr>
            <w:tcW w:w="7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11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148"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2.老旧小区改造</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推进2024年老旧小区改造工作</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新开工10个老旧小区，完工20个老旧小区，改善百姓居住环境。</w:t>
            </w:r>
          </w:p>
        </w:tc>
        <w:tc>
          <w:tcPr>
            <w:tcW w:w="553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一是做好旧改小区施工管理工作。各镇街在施工前期，多轮次下场与居民面对面谈心的工作方式进行居民工作；施工过程中，督促监理、物业、施工等企业定期巡查，及时反映问题并协助施工方解决；施工中后期，提前做好项目验收、竣工备案等工作。二是做好旧改工程安全质量监督。建立管控机制，定期开展专项检查、巡查。严格检查施工、监理单位的质量、安全保证体系建立、运行情况，专项施工方案编制、审批情况、项目经理、监理到岗情况。2024年，开工21个小区，完工52个老旧小区。</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10</w:t>
            </w:r>
          </w:p>
        </w:tc>
        <w:tc>
          <w:tcPr>
            <w:tcW w:w="7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100%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11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148"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3</w:t>
            </w:r>
            <w:r>
              <w:rPr>
                <w:rFonts w:hint="eastAsia" w:ascii="宋体" w:hAnsi="宋体" w:eastAsia="宋体" w:cs="宋体"/>
                <w:i w:val="0"/>
                <w:iCs w:val="0"/>
                <w:color w:val="000000"/>
                <w:sz w:val="21"/>
                <w:szCs w:val="21"/>
                <w:highlight w:val="none"/>
                <w:u w:val="none"/>
              </w:rPr>
              <w:t>.老旧小区改造</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推进老楼加梯工作</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稳步开展群众意愿统一的老楼加装电梯工作，力争全年开工30部以上，解决群众上下楼难问题。</w:t>
            </w:r>
          </w:p>
        </w:tc>
        <w:tc>
          <w:tcPr>
            <w:tcW w:w="553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一是做好加梯工作前期准备。社区牵头做好协调协商工作，宣传加梯相关法律规定，提高居民思想认识，解决低层业主不同意的问题。二是做好加梯工作全程推进。做好加梯宣传力度，重点宣传好市级补贴政策、申请流程、加梯形式等内容，让居民熟悉加梯工作，动员居民充分利用现有政策红利尽快启动申请电梯加装工作。严格落实“一户申请就启动、达到比例就确认、协商一致就开工”的工作原则。规范加梯程序，各镇街需督促加梯企业按照加梯导则、图集等政策文件进行方案落实，对加梯材料认真把关，严格落实初审职责。2024年，全年开工电梯30部。</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10</w:t>
            </w:r>
          </w:p>
        </w:tc>
        <w:tc>
          <w:tcPr>
            <w:tcW w:w="7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100%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11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148"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4.规范物业服务</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加大物业执法检查力度</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全年开展两轮次专项执法检查，进一步规范物业服务。</w:t>
            </w:r>
          </w:p>
        </w:tc>
        <w:tc>
          <w:tcPr>
            <w:tcW w:w="553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围绕消防安全、物业管理开展专项检查2轮次。2024年1月1日至2024年8月12日，已完成两轮次专项检查。</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10</w:t>
            </w:r>
          </w:p>
        </w:tc>
        <w:tc>
          <w:tcPr>
            <w:tcW w:w="7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100%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11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148"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5.规范物业服务</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对“12345”市民热线物业管理诉求量市级前100名的居住小区开展专项治理</w:t>
            </w:r>
          </w:p>
        </w:tc>
        <w:tc>
          <w:tcPr>
            <w:tcW w:w="28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对“12345”市民热线物业管理诉求量市级前100名的居住小区开展专项治理，提升物业服务满意率。</w:t>
            </w:r>
          </w:p>
        </w:tc>
        <w:tc>
          <w:tcPr>
            <w:tcW w:w="553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督促属地针对市级前100名上账项目进行专项整治，并提交工作进展情况，保证上账项目及时销账。全年市级下发4批次榜单，2023年第四季度涉及项目8个，2024年一季度涉及项目9个,三季度涉及项目6个，2024年二季度涉及项目14个，共涉及24个小区37项次，目前均已完成治理。对市级12345热线物业管理问题诉求量前100名的小区进行专项治理。督导相关属地明确整改完成时限，定期报送进展，破解物业管理难题。</w:t>
            </w:r>
          </w:p>
        </w:tc>
        <w:tc>
          <w:tcPr>
            <w:tcW w:w="12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10</w:t>
            </w:r>
          </w:p>
        </w:tc>
        <w:tc>
          <w:tcPr>
            <w:tcW w:w="7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100%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0944" w:type="dxa"/>
            <w:gridSpan w:val="9"/>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小计</w:t>
            </w:r>
          </w:p>
        </w:tc>
        <w:tc>
          <w:tcPr>
            <w:tcW w:w="1272"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60</w:t>
            </w:r>
          </w:p>
        </w:tc>
        <w:tc>
          <w:tcPr>
            <w:tcW w:w="7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1"/>
                <w:szCs w:val="21"/>
                <w:highlight w:val="none"/>
                <w:u w:val="none"/>
                <w:lang w:val="en-US" w:eastAsia="zh-CN"/>
              </w:rPr>
            </w:pPr>
            <w:r>
              <w:rPr>
                <w:rFonts w:hint="eastAsia" w:ascii="宋体" w:hAnsi="宋体" w:eastAsia="宋体" w:cs="宋体"/>
                <w:b/>
                <w:bCs/>
                <w:i w:val="0"/>
                <w:iCs w:val="0"/>
                <w:color w:val="000000"/>
                <w:sz w:val="21"/>
                <w:szCs w:val="21"/>
                <w:highlight w:val="none"/>
                <w:u w:val="none"/>
                <w:lang w:val="en-US" w:eastAsia="zh-CN"/>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4786"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三、预算管理情况（20分）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147"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一级指标</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二级指标</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三级指标</w:t>
            </w:r>
          </w:p>
        </w:tc>
        <w:tc>
          <w:tcPr>
            <w:tcW w:w="31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指标解释</w:t>
            </w:r>
          </w:p>
        </w:tc>
        <w:tc>
          <w:tcPr>
            <w:tcW w:w="37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评分标准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2023年数据</w:t>
            </w:r>
          </w:p>
        </w:tc>
        <w:tc>
          <w:tcPr>
            <w:tcW w:w="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2024年数据</w:t>
            </w:r>
          </w:p>
        </w:tc>
        <w:tc>
          <w:tcPr>
            <w:tcW w:w="6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分值</w:t>
            </w:r>
          </w:p>
        </w:tc>
        <w:tc>
          <w:tcPr>
            <w:tcW w:w="7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得分率</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560" w:hRule="atLeast"/>
        </w:trPr>
        <w:tc>
          <w:tcPr>
            <w:tcW w:w="11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预算管理情况（20分）</w:t>
            </w:r>
          </w:p>
        </w:tc>
        <w:tc>
          <w:tcPr>
            <w:tcW w:w="1148"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财务管理（6）</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财务管理制度健全性</w:t>
            </w:r>
          </w:p>
        </w:tc>
        <w:tc>
          <w:tcPr>
            <w:tcW w:w="31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财务管理制度健全性：部门（单位）为加强财务管理、规范财务行为而制定的管理制度。</w:t>
            </w:r>
          </w:p>
        </w:tc>
        <w:tc>
          <w:tcPr>
            <w:tcW w:w="37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①预算资金管理办法、绩效跟踪管理办法、资产管理办法等各项制度是否健全；</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②部门内部财务管理制度是否完善、合规；</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③会计核算制度是否完整、合规。</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每有一项不合格扣1分，扣完为止。</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w:t>
            </w:r>
          </w:p>
        </w:tc>
        <w:tc>
          <w:tcPr>
            <w:tcW w:w="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w:t>
            </w:r>
          </w:p>
        </w:tc>
        <w:tc>
          <w:tcPr>
            <w:tcW w:w="6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7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sz w:val="21"/>
                <w:szCs w:val="21"/>
                <w:highlight w:val="none"/>
                <w:u w:val="none"/>
                <w:lang w:val="en-US" w:eastAsia="zh-CN"/>
              </w:rPr>
              <w:t>100%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70" w:hRule="atLeast"/>
        </w:trPr>
        <w:tc>
          <w:tcPr>
            <w:tcW w:w="11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148"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资金使用合规性和安全性</w:t>
            </w:r>
          </w:p>
        </w:tc>
        <w:tc>
          <w:tcPr>
            <w:tcW w:w="31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资金使用合规性和安全性：部门（单位）使用预算资金是否符合相关的预算财务管理制度的规定，是否符合相关规定的开支范围，用以反映考核部门（单位）预算资金的规范运行和安全运行情况。</w:t>
            </w:r>
          </w:p>
        </w:tc>
        <w:tc>
          <w:tcPr>
            <w:tcW w:w="37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①是否符合国家财经法规和财务管理制度规定以及有关专项资金管理办法的规定；</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②资金的拨付是否有完整的审批程序和手续；</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③项目的重大开支是否经过评估论证；</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④是否符合部门预算批复的用途；</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⑤是否存在截留、挤占、挪用情况；</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⑥资金使用是否符合政府采购的程序和流程；</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⑦资金使用是否符合公务卡结算相关制度和规定。</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每有一项不合格扣0.5分，扣完为止。</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w:t>
            </w:r>
          </w:p>
        </w:tc>
        <w:tc>
          <w:tcPr>
            <w:tcW w:w="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w:t>
            </w:r>
          </w:p>
        </w:tc>
        <w:tc>
          <w:tcPr>
            <w:tcW w:w="6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7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sz w:val="21"/>
                <w:szCs w:val="21"/>
                <w:highlight w:val="none"/>
                <w:u w:val="none"/>
                <w:lang w:val="en-US" w:eastAsia="zh-CN"/>
              </w:rPr>
              <w:t>100%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40" w:hRule="atLeast"/>
        </w:trPr>
        <w:tc>
          <w:tcPr>
            <w:tcW w:w="11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148"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会计基础信息完善性</w:t>
            </w:r>
          </w:p>
        </w:tc>
        <w:tc>
          <w:tcPr>
            <w:tcW w:w="31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会计基础信息完善性：部门（单位）会计基础信息情况。</w:t>
            </w:r>
          </w:p>
        </w:tc>
        <w:tc>
          <w:tcPr>
            <w:tcW w:w="37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①基础数据信息和会计信息资料是否真实；</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②基础数据信息和会计信息资料是否完整；</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③基础数据信息和会计信息资料是否准确。</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每有一项不合格扣1分，扣完为止。</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w:t>
            </w:r>
          </w:p>
        </w:tc>
        <w:tc>
          <w:tcPr>
            <w:tcW w:w="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w:t>
            </w:r>
          </w:p>
        </w:tc>
        <w:tc>
          <w:tcPr>
            <w:tcW w:w="6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7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sz w:val="21"/>
                <w:szCs w:val="21"/>
                <w:highlight w:val="none"/>
                <w:u w:val="none"/>
                <w:lang w:val="en-US" w:eastAsia="zh-CN"/>
              </w:rPr>
              <w:t>100%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440" w:hRule="atLeast"/>
        </w:trPr>
        <w:tc>
          <w:tcPr>
            <w:tcW w:w="11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148"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资产管理（5）</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资产管理规范性</w:t>
            </w:r>
          </w:p>
        </w:tc>
        <w:tc>
          <w:tcPr>
            <w:tcW w:w="31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资产管理规范性：部门（单位）的资产是否保持安全完整，资产配置是否合理，资产使用和资产处理是否规范，用以反映和考核部门（单位）资产管理的整体水平。</w:t>
            </w:r>
          </w:p>
        </w:tc>
        <w:tc>
          <w:tcPr>
            <w:tcW w:w="37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①对外投资行为是否经审批，是否存在投资亏损；</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②是否有因管理不当发生严重资产损失和丢失情况；</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③是否存在超标准配置资产；</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④资产使用是否规范，是否存在未经批准擅自出租、出借资产行为；</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⑤资产处置是否规范，是否存在不按要求进行报批或资产不公开处置行为；</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⑥其他资产管理制度办法执行情况。</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每有一项不合格扣1分，扣完为止。</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w:t>
            </w:r>
          </w:p>
        </w:tc>
        <w:tc>
          <w:tcPr>
            <w:tcW w:w="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w:t>
            </w:r>
          </w:p>
        </w:tc>
        <w:tc>
          <w:tcPr>
            <w:tcW w:w="6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c>
          <w:tcPr>
            <w:tcW w:w="7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sz w:val="21"/>
                <w:szCs w:val="21"/>
                <w:highlight w:val="none"/>
                <w:u w:val="none"/>
                <w:lang w:val="en-US" w:eastAsia="zh-CN"/>
              </w:rPr>
              <w:t>100%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60" w:hRule="atLeast"/>
        </w:trPr>
        <w:tc>
          <w:tcPr>
            <w:tcW w:w="11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148"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绩效管理（5）</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绩效管理情况</w:t>
            </w:r>
          </w:p>
        </w:tc>
        <w:tc>
          <w:tcPr>
            <w:tcW w:w="31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绩效管理情况：考核部门（单位）在绩效管理信息的汇总和应用情况。</w:t>
            </w:r>
          </w:p>
        </w:tc>
        <w:tc>
          <w:tcPr>
            <w:tcW w:w="37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①部门（单位）是否及时对绩效信息进行汇总分析整理；</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②部门（单位）是否对绩效目标偏离情况及时进行矫正。</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每有一项不合格扣2.5分。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w:t>
            </w:r>
          </w:p>
        </w:tc>
        <w:tc>
          <w:tcPr>
            <w:tcW w:w="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w:t>
            </w:r>
          </w:p>
        </w:tc>
        <w:tc>
          <w:tcPr>
            <w:tcW w:w="6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c>
          <w:tcPr>
            <w:tcW w:w="7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sz w:val="21"/>
                <w:szCs w:val="21"/>
                <w:highlight w:val="none"/>
                <w:u w:val="none"/>
                <w:lang w:val="en-US" w:eastAsia="zh-CN"/>
              </w:rPr>
              <w:t>100%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11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148"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部门预决算差异率（4）</w:t>
            </w:r>
          </w:p>
        </w:tc>
        <w:tc>
          <w:tcPr>
            <w:tcW w:w="1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部门预决算差异率</w:t>
            </w:r>
          </w:p>
        </w:tc>
        <w:tc>
          <w:tcPr>
            <w:tcW w:w="31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通过年度部门决算与年初部门预算对比，对部门的年度支出情况进行考核，衡量部门预算的约束力。</w:t>
            </w:r>
          </w:p>
        </w:tc>
        <w:tc>
          <w:tcPr>
            <w:tcW w:w="37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部门预决算差异率（绝对值）低于上年的不扣分；高于上年部门预决算差异率，每高出1个百分点扣0.4分，扣完为止。</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0</w:t>
            </w:r>
          </w:p>
        </w:tc>
        <w:tc>
          <w:tcPr>
            <w:tcW w:w="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0</w:t>
            </w:r>
          </w:p>
        </w:tc>
        <w:tc>
          <w:tcPr>
            <w:tcW w:w="6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w:t>
            </w:r>
          </w:p>
        </w:tc>
        <w:tc>
          <w:tcPr>
            <w:tcW w:w="7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100%</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0" w:hRule="atLeast"/>
        </w:trPr>
        <w:tc>
          <w:tcPr>
            <w:tcW w:w="11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11584" w:type="dxa"/>
            <w:gridSpan w:val="10"/>
            <w:tcBorders>
              <w:top w:val="single" w:color="000000" w:sz="4" w:space="0"/>
              <w:left w:val="single" w:color="auto"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小计</w:t>
            </w:r>
          </w:p>
        </w:tc>
        <w:tc>
          <w:tcPr>
            <w:tcW w:w="6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20</w:t>
            </w:r>
          </w:p>
        </w:tc>
        <w:tc>
          <w:tcPr>
            <w:tcW w:w="7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1"/>
                <w:szCs w:val="21"/>
                <w:highlight w:val="none"/>
                <w:u w:val="none"/>
                <w:lang w:val="en-US" w:eastAsia="zh-CN"/>
              </w:rPr>
            </w:pPr>
            <w:r>
              <w:rPr>
                <w:rFonts w:hint="eastAsia" w:ascii="宋体" w:hAnsi="宋体" w:eastAsia="宋体" w:cs="宋体"/>
                <w:b/>
                <w:bCs/>
                <w:i w:val="0"/>
                <w:iCs w:val="0"/>
                <w:color w:val="000000"/>
                <w:sz w:val="21"/>
                <w:szCs w:val="21"/>
                <w:highlight w:val="none"/>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0" w:hRule="atLeast"/>
        </w:trPr>
        <w:tc>
          <w:tcPr>
            <w:tcW w:w="1273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6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100</w:t>
            </w:r>
          </w:p>
        </w:tc>
        <w:tc>
          <w:tcPr>
            <w:tcW w:w="7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1"/>
                <w:szCs w:val="21"/>
                <w:highlight w:val="none"/>
                <w:u w:val="none"/>
                <w:lang w:val="en-US" w:eastAsia="zh-CN"/>
              </w:rPr>
            </w:pPr>
            <w:r>
              <w:rPr>
                <w:rFonts w:hint="eastAsia" w:ascii="宋体" w:hAnsi="宋体" w:eastAsia="宋体" w:cs="宋体"/>
                <w:b/>
                <w:bCs/>
                <w:i w:val="0"/>
                <w:iCs w:val="0"/>
                <w:color w:val="000000"/>
                <w:sz w:val="21"/>
                <w:szCs w:val="21"/>
                <w:highlight w:val="none"/>
                <w:u w:val="none"/>
                <w:lang w:val="en-US" w:eastAsia="zh-CN"/>
              </w:rPr>
              <w:t>100</w:t>
            </w:r>
          </w:p>
        </w:tc>
      </w:tr>
    </w:tbl>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填报说明：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jc w:val="both"/>
        <w:textAlignment w:val="auto"/>
        <w:outlineLvl w:val="9"/>
        <w:rPr>
          <w:rFonts w:hint="default" w:ascii="仿宋_GB2312" w:hAnsi="仿宋_GB2312" w:eastAsia="仿宋_GB2312" w:cs="仿宋_GB2312"/>
          <w:b/>
          <w:bCs/>
          <w:i w:val="0"/>
          <w:iCs w:val="0"/>
          <w:color w:val="000000"/>
          <w:kern w:val="0"/>
          <w:sz w:val="24"/>
          <w:szCs w:val="24"/>
          <w:highlight w:val="none"/>
          <w:u w:val="none"/>
          <w:lang w:val="en-US" w:eastAsia="zh-CN" w:bidi="ar"/>
        </w:rPr>
      </w:pPr>
      <w:r>
        <w:rPr>
          <w:rFonts w:hint="eastAsia" w:ascii="仿宋_GB2312" w:hAnsi="仿宋_GB2312" w:eastAsia="仿宋_GB2312" w:cs="仿宋_GB2312"/>
          <w:i w:val="0"/>
          <w:iCs w:val="0"/>
          <w:color w:val="000000"/>
          <w:kern w:val="0"/>
          <w:sz w:val="24"/>
          <w:szCs w:val="24"/>
          <w:highlight w:val="none"/>
          <w:u w:val="none"/>
          <w:lang w:val="en-US" w:eastAsia="zh-CN" w:bidi="ar"/>
        </w:rPr>
        <w:t>1.此表分为三个部分，各部分总体分值已经确定，第一部分总分20分，第二部分总分60分，第三部分总分20分，无需更改。根据各部分得分情况加总得到最终自评得分。资金支出金额应当为部门本级和所属单位2024年度全部支出金额（与决算保持一致）。</w:t>
      </w:r>
      <w:r>
        <w:rPr>
          <w:rFonts w:hint="eastAsia" w:ascii="仿宋_GB2312" w:hAnsi="仿宋_GB2312" w:eastAsia="仿宋_GB2312" w:cs="仿宋_GB2312"/>
          <w:b/>
          <w:bCs/>
          <w:i w:val="0"/>
          <w:iCs w:val="0"/>
          <w:color w:val="000000"/>
          <w:kern w:val="0"/>
          <w:sz w:val="24"/>
          <w:szCs w:val="24"/>
          <w:highlight w:val="none"/>
          <w:u w:val="none"/>
          <w:lang w:val="en-US" w:eastAsia="zh-CN" w:bidi="ar"/>
        </w:rPr>
        <w:t>预算数=年初预算+年中追加-12月1日前追减数。差异率=（预算数-决算数）/预算数*100%，打分时用2024年差异率（绝对值）-2023年差异率（绝对值），相减结果为1%（含）-2%，扣0.4分，2%（含）-3%，扣0.8分，以此类推，每高出1个百分点扣0.4分，扣完为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jc w:val="both"/>
        <w:textAlignment w:val="auto"/>
        <w:outlineLvl w:val="9"/>
        <w:rPr>
          <w:rFonts w:hint="eastAsia" w:ascii="仿宋_GB2312" w:hAnsi="仿宋_GB2312" w:eastAsia="仿宋_GB2312" w:cs="仿宋_GB2312"/>
          <w:i w:val="0"/>
          <w:iCs w:val="0"/>
          <w:color w:val="000000"/>
          <w:kern w:val="0"/>
          <w:sz w:val="24"/>
          <w:szCs w:val="24"/>
          <w:highlight w:val="none"/>
          <w:u w:val="none"/>
          <w:lang w:val="en-US" w:eastAsia="zh-CN" w:bidi="ar"/>
        </w:rPr>
      </w:pPr>
      <w:r>
        <w:rPr>
          <w:rFonts w:hint="eastAsia" w:ascii="仿宋_GB2312" w:hAnsi="仿宋_GB2312" w:eastAsia="仿宋_GB2312" w:cs="仿宋_GB2312"/>
          <w:i w:val="0"/>
          <w:iCs w:val="0"/>
          <w:color w:val="000000"/>
          <w:kern w:val="0"/>
          <w:sz w:val="24"/>
          <w:szCs w:val="24"/>
          <w:highlight w:val="none"/>
          <w:u w:val="none"/>
          <w:lang w:val="en-US" w:eastAsia="zh-CN" w:bidi="ar"/>
        </w:rPr>
        <w:t>2.第一部分“当年预算执行情况”与第三部分“预算管理情况”各级指标、指标解释、评分标准、单项指标分值均已确定，填报部门（单位）根据本部门对应年度执行情况进行自我评价打分，评分方式详见指标对应评分标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i w:val="0"/>
          <w:iCs w:val="0"/>
          <w:color w:val="000000"/>
          <w:kern w:val="0"/>
          <w:sz w:val="24"/>
          <w:szCs w:val="24"/>
          <w:highlight w:val="none"/>
          <w:u w:val="none"/>
          <w:lang w:val="en-US" w:eastAsia="zh-CN" w:bidi="ar"/>
        </w:rPr>
      </w:pPr>
      <w:r>
        <w:rPr>
          <w:rFonts w:hint="eastAsia" w:ascii="仿宋_GB2312" w:hAnsi="仿宋_GB2312" w:eastAsia="仿宋_GB2312" w:cs="仿宋_GB2312"/>
          <w:i w:val="0"/>
          <w:iCs w:val="0"/>
          <w:color w:val="000000"/>
          <w:kern w:val="0"/>
          <w:sz w:val="24"/>
          <w:szCs w:val="24"/>
          <w:highlight w:val="none"/>
          <w:u w:val="none"/>
          <w:lang w:val="en-US" w:eastAsia="zh-CN" w:bidi="ar"/>
        </w:rPr>
        <w:t>第二部分“整体绩效目标实现情况”填报分为四步。</w:t>
      </w:r>
      <w:r>
        <w:rPr>
          <w:rFonts w:hint="eastAsia" w:ascii="仿宋_GB2312" w:hAnsi="仿宋_GB2312" w:eastAsia="仿宋_GB2312" w:cs="仿宋_GB2312"/>
          <w:b/>
          <w:bCs/>
          <w:i w:val="0"/>
          <w:iCs w:val="0"/>
          <w:color w:val="000000"/>
          <w:kern w:val="0"/>
          <w:sz w:val="24"/>
          <w:szCs w:val="24"/>
          <w:highlight w:val="none"/>
          <w:u w:val="none"/>
          <w:lang w:val="en-US" w:eastAsia="zh-CN" w:bidi="ar"/>
        </w:rPr>
        <w:t>第一步：</w:t>
      </w:r>
      <w:r>
        <w:rPr>
          <w:rFonts w:hint="eastAsia" w:ascii="仿宋_GB2312" w:hAnsi="仿宋_GB2312" w:eastAsia="仿宋_GB2312" w:cs="仿宋_GB2312"/>
          <w:i w:val="0"/>
          <w:iCs w:val="0"/>
          <w:color w:val="000000"/>
          <w:kern w:val="0"/>
          <w:sz w:val="24"/>
          <w:szCs w:val="24"/>
          <w:highlight w:val="none"/>
          <w:u w:val="none"/>
          <w:lang w:val="en-US" w:eastAsia="zh-CN" w:bidi="ar"/>
        </w:rPr>
        <w:t>“任务名称”“指标名称”“指标内容和指标值”为当年度整体绩效目标申报表中对应内容，即年初申报的目标内容及指标值，将年初申报内容复制到表格中。</w:t>
      </w:r>
      <w:r>
        <w:rPr>
          <w:rFonts w:hint="eastAsia" w:ascii="仿宋_GB2312" w:hAnsi="仿宋_GB2312" w:eastAsia="仿宋_GB2312" w:cs="仿宋_GB2312"/>
          <w:b/>
          <w:bCs/>
          <w:i w:val="0"/>
          <w:iCs w:val="0"/>
          <w:color w:val="000000"/>
          <w:kern w:val="0"/>
          <w:sz w:val="24"/>
          <w:szCs w:val="24"/>
          <w:highlight w:val="none"/>
          <w:u w:val="none"/>
          <w:lang w:val="en-US" w:eastAsia="zh-CN" w:bidi="ar"/>
        </w:rPr>
        <w:t>第二步：</w:t>
      </w:r>
      <w:r>
        <w:rPr>
          <w:rFonts w:hint="eastAsia" w:ascii="仿宋_GB2312" w:hAnsi="仿宋_GB2312" w:eastAsia="仿宋_GB2312" w:cs="仿宋_GB2312"/>
          <w:i w:val="0"/>
          <w:iCs w:val="0"/>
          <w:color w:val="000000"/>
          <w:kern w:val="0"/>
          <w:sz w:val="24"/>
          <w:szCs w:val="24"/>
          <w:highlight w:val="none"/>
          <w:u w:val="none"/>
          <w:lang w:val="en-US" w:eastAsia="zh-CN" w:bidi="ar"/>
        </w:rPr>
        <w:t>“年度完成情况”填写当年度该项指标实际完成情况，完成情况应与指标内容和指标值对应。</w:t>
      </w:r>
      <w:r>
        <w:rPr>
          <w:rFonts w:hint="eastAsia" w:ascii="仿宋_GB2312" w:hAnsi="仿宋_GB2312" w:eastAsia="仿宋_GB2312" w:cs="仿宋_GB2312"/>
          <w:b/>
          <w:bCs/>
          <w:i w:val="0"/>
          <w:iCs w:val="0"/>
          <w:color w:val="000000"/>
          <w:kern w:val="0"/>
          <w:sz w:val="24"/>
          <w:szCs w:val="24"/>
          <w:highlight w:val="none"/>
          <w:u w:val="none"/>
          <w:lang w:val="en-US" w:eastAsia="zh-CN" w:bidi="ar"/>
        </w:rPr>
        <w:t>第三步：</w:t>
      </w:r>
      <w:r>
        <w:rPr>
          <w:rFonts w:hint="eastAsia" w:ascii="仿宋_GB2312" w:hAnsi="仿宋_GB2312" w:eastAsia="仿宋_GB2312" w:cs="仿宋_GB2312"/>
          <w:i w:val="0"/>
          <w:iCs w:val="0"/>
          <w:color w:val="000000"/>
          <w:kern w:val="0"/>
          <w:sz w:val="24"/>
          <w:szCs w:val="24"/>
          <w:highlight w:val="none"/>
          <w:u w:val="none"/>
          <w:lang w:val="en-US" w:eastAsia="zh-CN" w:bidi="ar"/>
        </w:rPr>
        <w:t>为每项指标赋予权重分值，该部分总体分值为60分，各项指标权重分值加和应等于60分。分值分配应体现突出重点、兼顾平均原则，各项指标分值可存在差异但不应差异过大。</w:t>
      </w:r>
      <w:r>
        <w:rPr>
          <w:rFonts w:hint="eastAsia" w:ascii="仿宋_GB2312" w:hAnsi="仿宋_GB2312" w:eastAsia="仿宋_GB2312" w:cs="仿宋_GB2312"/>
          <w:b/>
          <w:bCs/>
          <w:i w:val="0"/>
          <w:iCs w:val="0"/>
          <w:color w:val="000000"/>
          <w:kern w:val="0"/>
          <w:sz w:val="24"/>
          <w:szCs w:val="24"/>
          <w:highlight w:val="none"/>
          <w:u w:val="none"/>
          <w:lang w:val="en-US" w:eastAsia="zh-CN" w:bidi="ar"/>
        </w:rPr>
        <w:t>第四步：</w:t>
      </w:r>
      <w:r>
        <w:rPr>
          <w:rFonts w:hint="eastAsia" w:ascii="仿宋_GB2312" w:hAnsi="仿宋_GB2312" w:eastAsia="仿宋_GB2312" w:cs="仿宋_GB2312"/>
          <w:i w:val="0"/>
          <w:iCs w:val="0"/>
          <w:color w:val="000000"/>
          <w:kern w:val="0"/>
          <w:sz w:val="24"/>
          <w:szCs w:val="24"/>
          <w:highlight w:val="none"/>
          <w:u w:val="none"/>
          <w:lang w:val="en-US" w:eastAsia="zh-CN" w:bidi="ar"/>
        </w:rPr>
        <w:t>根据年度完成情况与年初设置目标进行对比，计算得分率，每项指标分值*得分率即为该项指标最终得分。计算规则如下</w:t>
      </w:r>
      <w:r>
        <w:rPr>
          <w:rFonts w:hint="eastAsia" w:ascii="仿宋_GB2312" w:hAnsi="仿宋_GB2312" w:eastAsia="仿宋_GB2312" w:cs="仿宋_GB2312"/>
          <w:b/>
          <w:bCs/>
          <w:i w:val="0"/>
          <w:iCs w:val="0"/>
          <w:color w:val="000000"/>
          <w:kern w:val="0"/>
          <w:sz w:val="24"/>
          <w:szCs w:val="24"/>
          <w:highlight w:val="none"/>
          <w:u w:val="none"/>
          <w:lang w:val="en-US" w:eastAsia="zh-CN" w:bidi="ar"/>
        </w:rPr>
        <w:t>①</w:t>
      </w:r>
      <w:r>
        <w:rPr>
          <w:rFonts w:hint="eastAsia" w:ascii="仿宋_GB2312" w:hAnsi="仿宋_GB2312" w:eastAsia="仿宋_GB2312" w:cs="仿宋_GB2312"/>
          <w:sz w:val="24"/>
          <w:szCs w:val="24"/>
          <w:highlight w:val="none"/>
          <w:lang w:val="en-US" w:eastAsia="zh-CN"/>
        </w:rPr>
        <w:t>若</w:t>
      </w:r>
      <w:r>
        <w:rPr>
          <w:rFonts w:hint="eastAsia" w:ascii="仿宋_GB2312" w:hAnsi="仿宋_GB2312" w:eastAsia="仿宋_GB2312" w:cs="仿宋_GB2312"/>
          <w:i w:val="0"/>
          <w:iCs w:val="0"/>
          <w:color w:val="000000"/>
          <w:kern w:val="0"/>
          <w:sz w:val="24"/>
          <w:szCs w:val="24"/>
          <w:highlight w:val="none"/>
          <w:u w:val="none"/>
          <w:lang w:val="en-US" w:eastAsia="zh-CN" w:bidi="ar"/>
        </w:rPr>
        <w:t>指标为定量正向指标，则得分率计算方法应用全年实际值（B）/年度指标值（A），若指标为定量反向指标，则得分率计算方法应用年度指标值（A）/全年实际值（B）。</w:t>
      </w:r>
      <w:r>
        <w:rPr>
          <w:rFonts w:hint="eastAsia" w:ascii="仿宋_GB2312" w:hAnsi="仿宋_GB2312" w:eastAsia="仿宋_GB2312" w:cs="仿宋_GB2312"/>
          <w:b/>
          <w:bCs/>
          <w:i w:val="0"/>
          <w:iCs w:val="0"/>
          <w:color w:val="000000"/>
          <w:kern w:val="0"/>
          <w:sz w:val="24"/>
          <w:szCs w:val="24"/>
          <w:highlight w:val="none"/>
          <w:u w:val="none"/>
          <w:lang w:val="en-US" w:eastAsia="zh-CN" w:bidi="ar"/>
        </w:rPr>
        <w:t>②</w:t>
      </w:r>
      <w:r>
        <w:rPr>
          <w:rFonts w:hint="eastAsia" w:ascii="仿宋_GB2312" w:hAnsi="仿宋_GB2312" w:eastAsia="仿宋_GB2312" w:cs="仿宋_GB2312"/>
          <w:i w:val="0"/>
          <w:iCs w:val="0"/>
          <w:color w:val="000000"/>
          <w:kern w:val="0"/>
          <w:sz w:val="24"/>
          <w:szCs w:val="24"/>
          <w:highlight w:val="none"/>
          <w:u w:val="none"/>
          <w:lang w:val="en-US" w:eastAsia="zh-CN" w:bidi="ar"/>
        </w:rPr>
        <w:t>若年初指标值设定偏低导致得分率在200%-300%（含200%）区间，则按照该指标分值的10%扣分，计算得分率在300%-500%（含300%）区间，则按照该指标分值的20%扣分，计算得分率高于500%（含500%），则按照该指标分值的30%扣分。</w:t>
      </w:r>
      <w:r>
        <w:rPr>
          <w:rFonts w:hint="eastAsia" w:ascii="仿宋_GB2312" w:hAnsi="仿宋_GB2312" w:eastAsia="仿宋_GB2312" w:cs="仿宋_GB2312"/>
          <w:b/>
          <w:bCs/>
          <w:i w:val="0"/>
          <w:iCs w:val="0"/>
          <w:color w:val="000000"/>
          <w:kern w:val="0"/>
          <w:sz w:val="24"/>
          <w:szCs w:val="24"/>
          <w:highlight w:val="none"/>
          <w:u w:val="none"/>
          <w:lang w:val="en-US" w:eastAsia="zh-CN" w:bidi="ar"/>
        </w:rPr>
        <w:t>③</w:t>
      </w:r>
      <w:r>
        <w:rPr>
          <w:rFonts w:hint="eastAsia" w:ascii="仿宋_GB2312" w:hAnsi="仿宋_GB2312" w:eastAsia="仿宋_GB2312" w:cs="仿宋_GB2312"/>
          <w:i w:val="0"/>
          <w:iCs w:val="0"/>
          <w:color w:val="000000"/>
          <w:kern w:val="0"/>
          <w:sz w:val="24"/>
          <w:szCs w:val="24"/>
          <w:highlight w:val="none"/>
          <w:u w:val="none"/>
          <w:lang w:val="en-US" w:eastAsia="zh-CN" w:bidi="ar"/>
        </w:rPr>
        <w:t>若为定性指标，则根据完成情况分为“优、良、中、差”四等，“优”获得该项分值90%-100%，“良”获得该项分值80%-90%，“中”获得该项分值60%-80%，“差”获得该项分值0%-60%。</w:t>
      </w:r>
    </w:p>
    <w:p>
      <w:pPr>
        <w:spacing w:line="560" w:lineRule="exact"/>
        <w:jc w:val="center"/>
        <w:rPr>
          <w:rFonts w:hint="eastAsia" w:ascii="宋体" w:hAnsi="宋体" w:eastAsia="宋体" w:cs="宋体"/>
          <w:b/>
          <w:bCs/>
          <w:sz w:val="32"/>
          <w:szCs w:val="32"/>
          <w:highlight w:val="none"/>
        </w:rPr>
      </w:pPr>
    </w:p>
    <w:p>
      <w:pPr>
        <w:pStyle w:val="2"/>
        <w:ind w:left="0" w:leftChars="0" w:firstLine="0" w:firstLineChars="0"/>
        <w:rPr>
          <w:rFonts w:hint="eastAsia" w:eastAsia="宋体"/>
          <w:lang w:eastAsia="zh-CN"/>
        </w:rPr>
      </w:pPr>
      <w:r>
        <w:rPr>
          <w:rFonts w:hint="eastAsia" w:ascii="宋体" w:hAnsi="宋体" w:cs="宋体"/>
          <w:b/>
          <w:bCs/>
          <w:sz w:val="32"/>
          <w:szCs w:val="32"/>
          <w:highlight w:val="none"/>
          <w:lang w:eastAsia="zh-CN"/>
        </w:rPr>
        <w:t>附件：</w:t>
      </w:r>
    </w:p>
    <w:p>
      <w:pPr>
        <w:spacing w:line="560" w:lineRule="exact"/>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项目支出绩效评价报告</w:t>
      </w:r>
    </w:p>
    <w:p>
      <w:pPr>
        <w:jc w:val="center"/>
        <w:rPr>
          <w:rFonts w:ascii="仿宋_GB2312"/>
          <w:szCs w:val="30"/>
          <w:highlight w:val="none"/>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rPr>
          <w:rFonts w:hint="eastAsia" w:ascii="黑体" w:hAnsi="黑体" w:eastAsia="黑体" w:cs="黑体"/>
          <w:b w:val="0"/>
          <w:bCs/>
          <w:color w:val="000000"/>
          <w:kern w:val="0"/>
          <w:sz w:val="28"/>
          <w:szCs w:val="28"/>
          <w:highlight w:val="none"/>
        </w:rPr>
      </w:pPr>
      <w:r>
        <w:rPr>
          <w:rFonts w:hint="eastAsia" w:ascii="黑体" w:hAnsi="黑体" w:eastAsia="黑体" w:cs="黑体"/>
          <w:b w:val="0"/>
          <w:bCs/>
          <w:color w:val="000000"/>
          <w:kern w:val="0"/>
          <w:sz w:val="28"/>
          <w:szCs w:val="28"/>
          <w:highlight w:val="none"/>
        </w:rPr>
        <w:t>一、基本情况</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（一）项目概况</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val="en-US" w:eastAsia="zh-CN"/>
        </w:rPr>
        <w:t>1.</w:t>
      </w:r>
      <w:r>
        <w:rPr>
          <w:rFonts w:hint="eastAsia" w:ascii="仿宋_GB2312" w:hAnsi="仿宋_GB2312" w:eastAsia="仿宋_GB2312" w:cs="仿宋_GB2312"/>
          <w:color w:val="000000"/>
          <w:kern w:val="0"/>
          <w:sz w:val="28"/>
          <w:szCs w:val="28"/>
          <w:highlight w:val="none"/>
        </w:rPr>
        <w:t>项目背景</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rPr>
          <w:rFonts w:hint="eastAsia"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lang w:val="en-US" w:eastAsia="zh-CN"/>
        </w:rPr>
        <w:t>为深入推进扬尘治理综合监管工作，全面提升建设工程施工现场污染防治规范化、标准化、精细化管控水平，申请建设工程扬尘治理服务项目。</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2</w:t>
      </w:r>
      <w:r>
        <w:rPr>
          <w:rFonts w:hint="eastAsia" w:ascii="仿宋_GB2312" w:hAnsi="仿宋_GB2312" w:eastAsia="仿宋_GB2312" w:cs="仿宋_GB2312"/>
          <w:color w:val="000000"/>
          <w:kern w:val="0"/>
          <w:sz w:val="28"/>
          <w:szCs w:val="28"/>
          <w:highlight w:val="none"/>
          <w:lang w:val="en-US" w:eastAsia="zh-CN"/>
        </w:rPr>
        <w:t>.</w:t>
      </w:r>
      <w:r>
        <w:rPr>
          <w:rFonts w:hint="eastAsia" w:ascii="仿宋_GB2312" w:hAnsi="仿宋_GB2312" w:eastAsia="仿宋_GB2312" w:cs="仿宋_GB2312"/>
          <w:color w:val="000000"/>
          <w:kern w:val="0"/>
          <w:sz w:val="28"/>
          <w:szCs w:val="28"/>
          <w:highlight w:val="none"/>
        </w:rPr>
        <w:t>主要内容及实施情况</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val="en-US" w:eastAsia="zh-CN"/>
        </w:rPr>
        <w:t>大兴区建设工程扬尘治理服务项目申报主体为北京市大兴区建设工程安全质量监督站，实施主体为北京市大兴区建设工程安全质量监督站。项目</w:t>
      </w:r>
      <w:r>
        <w:rPr>
          <w:rFonts w:hint="eastAsia" w:ascii="仿宋_GB2312" w:hAnsi="仿宋_GB2312" w:eastAsia="仿宋_GB2312" w:cs="仿宋_GB2312"/>
          <w:color w:val="000000"/>
          <w:kern w:val="0"/>
          <w:sz w:val="28"/>
          <w:szCs w:val="28"/>
          <w:highlight w:val="none"/>
        </w:rPr>
        <w:t>采取购买服务方式，选取第三方机构开展建设工程施工现场</w:t>
      </w:r>
      <w:r>
        <w:rPr>
          <w:rFonts w:hint="eastAsia" w:ascii="仿宋_GB2312" w:hAnsi="仿宋_GB2312" w:eastAsia="仿宋_GB2312" w:cs="仿宋_GB2312"/>
          <w:color w:val="000000"/>
          <w:kern w:val="0"/>
          <w:sz w:val="28"/>
          <w:szCs w:val="28"/>
          <w:highlight w:val="none"/>
          <w:lang w:val="en-US" w:eastAsia="zh-CN"/>
        </w:rPr>
        <w:t>扬尘治理</w:t>
      </w:r>
      <w:r>
        <w:rPr>
          <w:rFonts w:hint="eastAsia" w:ascii="仿宋_GB2312" w:hAnsi="仿宋_GB2312" w:eastAsia="仿宋_GB2312" w:cs="仿宋_GB2312"/>
          <w:color w:val="000000"/>
          <w:kern w:val="0"/>
          <w:sz w:val="28"/>
          <w:szCs w:val="28"/>
          <w:highlight w:val="none"/>
        </w:rPr>
        <w:t>监督</w:t>
      </w:r>
      <w:r>
        <w:rPr>
          <w:rFonts w:hint="eastAsia" w:ascii="仿宋_GB2312" w:hAnsi="仿宋_GB2312" w:eastAsia="仿宋_GB2312" w:cs="仿宋_GB2312"/>
          <w:color w:val="000000"/>
          <w:kern w:val="0"/>
          <w:sz w:val="28"/>
          <w:szCs w:val="28"/>
          <w:highlight w:val="none"/>
          <w:lang w:val="en-US" w:eastAsia="zh-CN"/>
        </w:rPr>
        <w:t>等</w:t>
      </w:r>
      <w:r>
        <w:rPr>
          <w:rFonts w:hint="eastAsia" w:ascii="仿宋_GB2312" w:hAnsi="仿宋_GB2312" w:eastAsia="仿宋_GB2312" w:cs="仿宋_GB2312"/>
          <w:color w:val="000000"/>
          <w:kern w:val="0"/>
          <w:sz w:val="28"/>
          <w:szCs w:val="28"/>
          <w:highlight w:val="none"/>
        </w:rPr>
        <w:t>工作。通过</w:t>
      </w:r>
      <w:r>
        <w:rPr>
          <w:rFonts w:hint="eastAsia" w:ascii="仿宋_GB2312" w:hAnsi="仿宋_GB2312" w:eastAsia="仿宋_GB2312" w:cs="仿宋_GB2312"/>
          <w:color w:val="000000"/>
          <w:kern w:val="0"/>
          <w:sz w:val="28"/>
          <w:szCs w:val="28"/>
          <w:highlight w:val="none"/>
          <w:lang w:val="en-US" w:eastAsia="zh-CN"/>
        </w:rPr>
        <w:t>公开招标</w:t>
      </w:r>
      <w:r>
        <w:rPr>
          <w:rFonts w:hint="eastAsia" w:ascii="仿宋_GB2312" w:hAnsi="仿宋_GB2312" w:eastAsia="仿宋_GB2312" w:cs="仿宋_GB2312"/>
          <w:color w:val="000000"/>
          <w:kern w:val="0"/>
          <w:sz w:val="28"/>
          <w:szCs w:val="28"/>
          <w:highlight w:val="none"/>
        </w:rPr>
        <w:t>，最终确定了</w:t>
      </w:r>
      <w:r>
        <w:rPr>
          <w:rFonts w:hint="eastAsia" w:ascii="仿宋_GB2312" w:hAnsi="仿宋_GB2312" w:eastAsia="仿宋_GB2312" w:cs="仿宋_GB2312"/>
          <w:color w:val="000000"/>
          <w:kern w:val="0"/>
          <w:sz w:val="28"/>
          <w:szCs w:val="28"/>
          <w:highlight w:val="none"/>
          <w:lang w:val="en-US" w:eastAsia="zh-CN"/>
        </w:rPr>
        <w:t>北京兴业建城工程管理咨询有限责任公司</w:t>
      </w:r>
      <w:r>
        <w:rPr>
          <w:rFonts w:hint="eastAsia" w:ascii="仿宋_GB2312" w:hAnsi="仿宋_GB2312" w:eastAsia="仿宋_GB2312" w:cs="仿宋_GB2312"/>
          <w:color w:val="000000"/>
          <w:kern w:val="0"/>
          <w:sz w:val="28"/>
          <w:szCs w:val="28"/>
          <w:highlight w:val="none"/>
        </w:rPr>
        <w:t>为本项目的服务机构。服务机构按照合同约定和</w:t>
      </w:r>
      <w:r>
        <w:rPr>
          <w:rFonts w:hint="eastAsia" w:ascii="仿宋_GB2312" w:hAnsi="仿宋_GB2312" w:eastAsia="仿宋_GB2312" w:cs="仿宋_GB2312"/>
          <w:color w:val="000000"/>
          <w:kern w:val="0"/>
          <w:sz w:val="28"/>
          <w:szCs w:val="28"/>
          <w:highlight w:val="none"/>
          <w:lang w:val="en-US" w:eastAsia="zh-CN"/>
        </w:rPr>
        <w:t>工作</w:t>
      </w:r>
      <w:r>
        <w:rPr>
          <w:rFonts w:hint="eastAsia" w:ascii="仿宋_GB2312" w:hAnsi="仿宋_GB2312" w:eastAsia="仿宋_GB2312" w:cs="仿宋_GB2312"/>
          <w:color w:val="000000"/>
          <w:kern w:val="0"/>
          <w:sz w:val="28"/>
          <w:szCs w:val="28"/>
          <w:highlight w:val="none"/>
        </w:rPr>
        <w:t>安排，协助开展</w:t>
      </w:r>
      <w:r>
        <w:rPr>
          <w:rFonts w:hint="eastAsia" w:ascii="仿宋_GB2312" w:hAnsi="仿宋_GB2312" w:eastAsia="仿宋_GB2312" w:cs="仿宋_GB2312"/>
          <w:color w:val="000000"/>
          <w:kern w:val="0"/>
          <w:sz w:val="28"/>
          <w:szCs w:val="28"/>
          <w:highlight w:val="none"/>
          <w:lang w:val="en-US" w:eastAsia="zh-CN"/>
        </w:rPr>
        <w:t>对监督项目的施工扬尘专项检查，督促检查发现的施工扬尘问题的整改，并定期对检查情况进行总结分析。</w:t>
      </w:r>
      <w:r>
        <w:rPr>
          <w:rFonts w:hint="eastAsia" w:ascii="仿宋_GB2312" w:hAnsi="仿宋_GB2312" w:eastAsia="仿宋_GB2312" w:cs="仿宋_GB2312"/>
          <w:color w:val="000000"/>
          <w:kern w:val="0"/>
          <w:sz w:val="28"/>
          <w:szCs w:val="28"/>
          <w:highlight w:val="none"/>
        </w:rPr>
        <w:t>通过以上工作，</w:t>
      </w:r>
      <w:r>
        <w:rPr>
          <w:rFonts w:hint="eastAsia" w:ascii="仿宋_GB2312" w:hAnsi="仿宋_GB2312" w:eastAsia="仿宋_GB2312" w:cs="仿宋_GB2312"/>
          <w:color w:val="000000"/>
          <w:kern w:val="0"/>
          <w:sz w:val="28"/>
          <w:szCs w:val="28"/>
          <w:highlight w:val="none"/>
          <w:lang w:val="en-US" w:eastAsia="zh-CN"/>
        </w:rPr>
        <w:t>进一步督促全区施工现场扬尘治理责任落实，减少施工扬尘污染，</w:t>
      </w:r>
      <w:r>
        <w:rPr>
          <w:rFonts w:hint="eastAsia" w:ascii="仿宋_GB2312" w:hAnsi="仿宋_GB2312" w:eastAsia="仿宋_GB2312" w:cs="仿宋_GB2312"/>
          <w:color w:val="000000"/>
          <w:kern w:val="0"/>
          <w:sz w:val="28"/>
          <w:szCs w:val="28"/>
          <w:highlight w:val="none"/>
        </w:rPr>
        <w:t>保障</w:t>
      </w:r>
      <w:r>
        <w:rPr>
          <w:rFonts w:hint="eastAsia" w:ascii="仿宋_GB2312" w:hAnsi="仿宋_GB2312" w:eastAsia="仿宋_GB2312" w:cs="仿宋_GB2312"/>
          <w:color w:val="000000"/>
          <w:kern w:val="0"/>
          <w:sz w:val="28"/>
          <w:szCs w:val="28"/>
          <w:highlight w:val="none"/>
          <w:lang w:val="en-US" w:eastAsia="zh-CN"/>
        </w:rPr>
        <w:t>全</w:t>
      </w:r>
      <w:r>
        <w:rPr>
          <w:rFonts w:hint="eastAsia" w:ascii="仿宋_GB2312" w:hAnsi="仿宋_GB2312" w:eastAsia="仿宋_GB2312" w:cs="仿宋_GB2312"/>
          <w:color w:val="000000"/>
          <w:kern w:val="0"/>
          <w:sz w:val="28"/>
          <w:szCs w:val="28"/>
          <w:highlight w:val="none"/>
        </w:rPr>
        <w:t>区</w:t>
      </w:r>
      <w:r>
        <w:rPr>
          <w:rFonts w:hint="eastAsia" w:ascii="仿宋_GB2312" w:hAnsi="仿宋_GB2312" w:eastAsia="仿宋_GB2312" w:cs="仿宋_GB2312"/>
          <w:color w:val="000000"/>
          <w:kern w:val="0"/>
          <w:sz w:val="28"/>
          <w:szCs w:val="28"/>
          <w:highlight w:val="none"/>
          <w:lang w:val="en-US" w:eastAsia="zh-CN"/>
        </w:rPr>
        <w:t>空气质量提升改善</w:t>
      </w:r>
      <w:r>
        <w:rPr>
          <w:rFonts w:hint="eastAsia" w:ascii="仿宋_GB2312" w:hAnsi="仿宋_GB2312" w:eastAsia="仿宋_GB2312" w:cs="仿宋_GB2312"/>
          <w:color w:val="000000"/>
          <w:kern w:val="0"/>
          <w:sz w:val="28"/>
          <w:szCs w:val="28"/>
          <w:highlight w:val="none"/>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rPr>
          <w:rFonts w:hint="eastAsia"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lang w:val="en-US" w:eastAsia="zh-CN"/>
        </w:rPr>
        <w:t>3.资金投入和使用情况</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rPr>
          <w:rFonts w:hint="eastAsia"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lang w:val="en-US" w:eastAsia="zh-CN"/>
        </w:rPr>
        <w:t>该项目2024年预算资金为3096900.00元，其中：区级资金0元、市级资金3096900.00元；实际到位资金区级0元、市级资金3096900.00元；2024年核减预算资金区级0元、市级1003153.80元；实际执行资金区级0元、市级2093746.20元。</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rPr>
          <w:rFonts w:hint="eastAsia"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lang w:val="en-US" w:eastAsia="zh-CN"/>
        </w:rPr>
        <w:t>2024年付该项目合同金额为2093746.20元。其中，通过区级财政资金支付0元，市级资金支付2093746.20元。</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rPr>
          <w:rFonts w:hint="eastAsia"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lang w:val="en-US" w:eastAsia="zh-CN"/>
        </w:rPr>
        <w:t>（二）项目绩效目标</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rPr>
          <w:rFonts w:hint="eastAsia"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lang w:val="en-US" w:eastAsia="zh-CN"/>
        </w:rPr>
        <w:t>1.总体目标</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rPr>
          <w:rFonts w:hint="eastAsia"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lang w:val="en-US" w:eastAsia="zh-CN"/>
        </w:rPr>
        <w:t>为贯彻落实《北京市大气污染防治条理》和污染防治攻坚战相关要求，创新扬尘治理监管模式，开展覆盖全面、聚焦重点、分类施策的施工扬尘治理专项检查工作，提升全区住建系统扬尘治理精细化管理水平。</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rPr>
          <w:rFonts w:hint="eastAsia"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lang w:val="en-US" w:eastAsia="zh-CN"/>
        </w:rPr>
        <w:t>2.2024年度绩效目标</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rPr>
          <w:rFonts w:hint="eastAsia"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lang w:val="en-US" w:eastAsia="zh-CN"/>
        </w:rPr>
        <w:t>依照《北京市建设工程扬尘治理综合监管实施方案》，购买第三方服务机构协助开展施工扬尘专项检查，督促检查发现问题的整改，并定期对检查发现问题进行总结分析，督促监管工程落实施工现场扬尘治理责任。</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rPr>
          <w:rFonts w:hint="default"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lang w:val="en-US" w:eastAsia="zh-CN"/>
        </w:rPr>
        <w:t>2024年，每月按照监督检查计划，第三方服务机构协助开展检查不少于172项(次)，协助开展检查总数不少于1634项(次)，对监督的房建、市政类工程项目进行100%覆盖，发现的问题全部整改，并根据检查情况，分析总结形成月度、半年和年度检查报告。同时加强第三方服务机构管理，确保被检查对象满意度达到95%以上。</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rPr>
          <w:rFonts w:hint="eastAsia" w:ascii="黑体" w:hAnsi="黑体" w:eastAsia="黑体" w:cs="黑体"/>
          <w:b w:val="0"/>
          <w:bCs/>
          <w:color w:val="000000"/>
          <w:kern w:val="0"/>
          <w:sz w:val="28"/>
          <w:szCs w:val="28"/>
          <w:highlight w:val="none"/>
        </w:rPr>
      </w:pPr>
      <w:r>
        <w:rPr>
          <w:rFonts w:hint="eastAsia" w:ascii="黑体" w:hAnsi="黑体" w:eastAsia="黑体" w:cs="黑体"/>
          <w:b w:val="0"/>
          <w:bCs/>
          <w:color w:val="000000"/>
          <w:kern w:val="0"/>
          <w:sz w:val="28"/>
          <w:szCs w:val="28"/>
          <w:highlight w:val="none"/>
        </w:rPr>
        <w:t>二、绩效评价工作开展情况</w:t>
      </w:r>
    </w:p>
    <w:p>
      <w:pPr>
        <w:pStyle w:val="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000000"/>
          <w:kern w:val="0"/>
          <w:sz w:val="28"/>
          <w:szCs w:val="28"/>
          <w:highlight w:val="none"/>
          <w:lang w:val="en-US" w:eastAsia="zh-CN" w:bidi="ar-SA"/>
        </w:rPr>
      </w:pPr>
      <w:bookmarkStart w:id="0" w:name="_Toc26165"/>
      <w:r>
        <w:rPr>
          <w:rFonts w:hint="eastAsia" w:ascii="仿宋_GB2312" w:hAnsi="仿宋_GB2312" w:eastAsia="仿宋_GB2312" w:cs="仿宋_GB2312"/>
          <w:color w:val="000000"/>
          <w:kern w:val="0"/>
          <w:sz w:val="28"/>
          <w:szCs w:val="28"/>
          <w:highlight w:val="none"/>
          <w:lang w:val="en-US" w:eastAsia="zh-CN" w:bidi="ar-SA"/>
        </w:rPr>
        <w:t>（一）基本情况</w:t>
      </w:r>
      <w:bookmarkEnd w:id="0"/>
    </w:p>
    <w:p>
      <w:pPr>
        <w:pStyle w:val="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1.评价目的</w:t>
      </w:r>
    </w:p>
    <w:p>
      <w:pPr>
        <w:pStyle w:val="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（1）加强预算绩效管理，强化支出责任，提高财政资金使用效益。</w:t>
      </w:r>
    </w:p>
    <w:p>
      <w:pPr>
        <w:pStyle w:val="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（2）进一步总结和分析财政资金支出效果，了解、分析、检验资金使用是否达到预期目标，资金管理是否规范，资金使用是否有效，考核财政支出效率和综合效果。</w:t>
      </w:r>
    </w:p>
    <w:p>
      <w:pPr>
        <w:pStyle w:val="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（3）通过绩效评价，促进项目单位发现问题、总结经验、改进工作，进一步加强项目管理，提高预算绩效质量水平。</w:t>
      </w:r>
    </w:p>
    <w:p>
      <w:pPr>
        <w:pStyle w:val="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2.评价对象及范围</w:t>
      </w:r>
    </w:p>
    <w:p>
      <w:pPr>
        <w:pStyle w:val="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根据《北京市项目支出绩效评价管理办法》（京财绩效〔2020〕2146号），本次绩效评价对象为纳入政府预算管理支出的建设工程施工现场监督管理服务项目资金。</w:t>
      </w:r>
    </w:p>
    <w:p>
      <w:pPr>
        <w:pStyle w:val="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3.评价原则</w:t>
      </w:r>
    </w:p>
    <w:p>
      <w:pPr>
        <w:pStyle w:val="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本次绩效评价遵循以下原则:</w:t>
      </w:r>
    </w:p>
    <w:p>
      <w:pPr>
        <w:pStyle w:val="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客观公正原则。本次绩效评价工作本着实事求是的原则，站在客观、公正的立场发表评价意见。</w:t>
      </w:r>
    </w:p>
    <w:p>
      <w:pPr>
        <w:pStyle w:val="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科学规范原则。评价方法和指标设计科学合理,评价流程统一规范,评价数据真实准确。</w:t>
      </w:r>
    </w:p>
    <w:p>
      <w:pPr>
        <w:pStyle w:val="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（3）客观公正、公开透明。绩效评价工作坚持从客观实际出发,以真实的数据和资料为基础,按照公开、公平、公正的原则开展。</w:t>
      </w:r>
    </w:p>
    <w:p>
      <w:pPr>
        <w:pStyle w:val="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4.评价方法</w:t>
      </w:r>
    </w:p>
    <w:p>
      <w:pPr>
        <w:pStyle w:val="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根据《大兴区项目支出绩效评价管理办法》（京兴财〔2021〕58号）规定的绩效评价方法，结合项目实际情况，本次评价采用成本效益分析法、比较法、因素分析法、公众评判法以及其他方法等一种或多种方法相结合的方法进行评价。</w:t>
      </w:r>
    </w:p>
    <w:p>
      <w:pPr>
        <w:pStyle w:val="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（1）成本效益分析法。是指将投入与产出、效益进行关联性分析的方法。</w:t>
      </w:r>
    </w:p>
    <w:p>
      <w:pPr>
        <w:pStyle w:val="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（2）比较法。是指将实施情况与绩效目标、历史情况、不同部门和地区同类支出情况进行比较的方法。</w:t>
      </w:r>
    </w:p>
    <w:p>
      <w:pPr>
        <w:pStyle w:val="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（3）因素分析法。是指综合分析影响绩效目标实现、实施效果的内外部因素的方法。</w:t>
      </w:r>
    </w:p>
    <w:p>
      <w:pPr>
        <w:pStyle w:val="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（4）公众评判法。是指通过专家评估、公众问卷及抽样调查的方式进行评判的方法。</w:t>
      </w:r>
    </w:p>
    <w:p>
      <w:pPr>
        <w:pStyle w:val="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（5）其他方法。</w:t>
      </w:r>
    </w:p>
    <w:p>
      <w:pPr>
        <w:pStyle w:val="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5.指标体系与评分标准</w:t>
      </w:r>
    </w:p>
    <w:p>
      <w:pPr>
        <w:pStyle w:val="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评价工作组根据《大兴区项目支出绩效评价管理办法》（京兴财〔2021〕58号）的相关要求，依据“大兴区项目支出绩效评价评分表（见附件）”按照对应评分标准，从项目决策、项目过程、项目产出及项目效益四个指标进行评价打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rPr>
          <w:rFonts w:hint="eastAsia" w:ascii="黑体" w:hAnsi="黑体" w:eastAsia="黑体" w:cs="黑体"/>
          <w:b w:val="0"/>
          <w:bCs/>
          <w:color w:val="000000"/>
          <w:kern w:val="0"/>
          <w:sz w:val="28"/>
          <w:szCs w:val="28"/>
          <w:highlight w:val="none"/>
        </w:rPr>
      </w:pPr>
      <w:r>
        <w:rPr>
          <w:rFonts w:hint="eastAsia" w:ascii="黑体" w:hAnsi="黑体" w:eastAsia="黑体" w:cs="黑体"/>
          <w:b w:val="0"/>
          <w:bCs/>
          <w:color w:val="000000"/>
          <w:kern w:val="0"/>
          <w:sz w:val="28"/>
          <w:szCs w:val="28"/>
          <w:highlight w:val="none"/>
        </w:rPr>
        <w:t>三、综合评价情况及评价结论（附相关评分表）</w:t>
      </w:r>
    </w:p>
    <w:p>
      <w:pPr>
        <w:pStyle w:val="6"/>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000000"/>
          <w:kern w:val="0"/>
          <w:sz w:val="28"/>
          <w:szCs w:val="28"/>
          <w:highlight w:val="none"/>
          <w:lang w:val="en-US" w:eastAsia="zh-CN" w:bidi="ar-SA"/>
        </w:rPr>
        <w:t>大兴区建设工程扬尘治理服务项目综合得分96.00分，其中项目决策10.00分；项目过程30.00分；项目产出得分43.00分；项目效益13.00分，绩效评定结论为“优秀”。具体评分情况见下表：</w:t>
      </w:r>
    </w:p>
    <w:tbl>
      <w:tblPr>
        <w:tblStyle w:val="15"/>
        <w:tblpPr w:leftFromText="180" w:rightFromText="180" w:vertAnchor="text" w:horzAnchor="page" w:tblpX="2671" w:tblpY="874"/>
        <w:tblOverlap w:val="never"/>
        <w:tblW w:w="115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7"/>
        <w:gridCol w:w="4209"/>
        <w:gridCol w:w="4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blHeader/>
          <w:jc w:val="center"/>
        </w:trPr>
        <w:tc>
          <w:tcPr>
            <w:tcW w:w="3307" w:type="dxa"/>
            <w:tcBorders>
              <w:bottom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60" w:lineRule="exact"/>
              <w:contextualSpacing/>
              <w:jc w:val="center"/>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评价内容</w:t>
            </w:r>
          </w:p>
        </w:tc>
        <w:tc>
          <w:tcPr>
            <w:tcW w:w="4209" w:type="dxa"/>
            <w:tcBorders>
              <w:bottom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60" w:lineRule="exact"/>
              <w:contextualSpacing/>
              <w:jc w:val="center"/>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标准分值</w:t>
            </w:r>
          </w:p>
        </w:tc>
        <w:tc>
          <w:tcPr>
            <w:tcW w:w="4080" w:type="dxa"/>
            <w:tcBorders>
              <w:bottom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60" w:lineRule="exact"/>
              <w:contextualSpacing/>
              <w:jc w:val="center"/>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3307" w:type="dxa"/>
            <w:tcBorders>
              <w:top w:val="single" w:color="auto" w:sz="4" w:space="0"/>
            </w:tcBorders>
            <w:vAlign w:val="center"/>
          </w:tcPr>
          <w:p>
            <w:pPr>
              <w:pStyle w:val="2"/>
              <w:keepNext w:val="0"/>
              <w:keepLines w:val="0"/>
              <w:pageBreakBefore w:val="0"/>
              <w:kinsoku/>
              <w:wordWrap/>
              <w:overflowPunct/>
              <w:topLinePunct w:val="0"/>
              <w:autoSpaceDE/>
              <w:autoSpaceDN/>
              <w:bidi w:val="0"/>
              <w:adjustRightInd w:val="0"/>
              <w:snapToGrid w:val="0"/>
              <w:spacing w:line="560" w:lineRule="exact"/>
              <w:ind w:firstLine="0" w:firstLineChars="0"/>
              <w:contextualSpacing/>
              <w:jc w:val="center"/>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项目决策</w:t>
            </w:r>
          </w:p>
        </w:tc>
        <w:tc>
          <w:tcPr>
            <w:tcW w:w="4209" w:type="dxa"/>
            <w:tcBorders>
              <w:top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10.00</w:t>
            </w:r>
          </w:p>
        </w:tc>
        <w:tc>
          <w:tcPr>
            <w:tcW w:w="4080" w:type="dxa"/>
            <w:tcBorders>
              <w:top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560" w:lineRule="exact"/>
              <w:contextualSpacing/>
              <w:jc w:val="center"/>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3307" w:type="dxa"/>
            <w:vAlign w:val="center"/>
          </w:tcPr>
          <w:p>
            <w:pPr>
              <w:keepNext w:val="0"/>
              <w:keepLines w:val="0"/>
              <w:pageBreakBefore w:val="0"/>
              <w:widowControl/>
              <w:kinsoku/>
              <w:wordWrap/>
              <w:overflowPunct/>
              <w:topLinePunct w:val="0"/>
              <w:autoSpaceDE/>
              <w:autoSpaceDN/>
              <w:bidi w:val="0"/>
              <w:adjustRightInd w:val="0"/>
              <w:snapToGrid w:val="0"/>
              <w:spacing w:line="560" w:lineRule="exact"/>
              <w:contextualSpacing/>
              <w:jc w:val="center"/>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项目过程</w:t>
            </w:r>
          </w:p>
        </w:tc>
        <w:tc>
          <w:tcPr>
            <w:tcW w:w="4209" w:type="dxa"/>
            <w:vAlign w:val="center"/>
          </w:tcPr>
          <w:p>
            <w:pPr>
              <w:keepNext w:val="0"/>
              <w:keepLines w:val="0"/>
              <w:pageBreakBefore w:val="0"/>
              <w:widowControl/>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30.00</w:t>
            </w:r>
          </w:p>
        </w:tc>
        <w:tc>
          <w:tcPr>
            <w:tcW w:w="4080" w:type="dxa"/>
            <w:vAlign w:val="center"/>
          </w:tcPr>
          <w:p>
            <w:pPr>
              <w:keepNext w:val="0"/>
              <w:keepLines w:val="0"/>
              <w:pageBreakBefore w:val="0"/>
              <w:widowControl/>
              <w:kinsoku/>
              <w:wordWrap/>
              <w:overflowPunct/>
              <w:topLinePunct w:val="0"/>
              <w:autoSpaceDE/>
              <w:autoSpaceDN/>
              <w:bidi w:val="0"/>
              <w:adjustRightInd w:val="0"/>
              <w:snapToGrid w:val="0"/>
              <w:spacing w:line="560" w:lineRule="exact"/>
              <w:contextualSpacing/>
              <w:jc w:val="center"/>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3307" w:type="dxa"/>
            <w:vAlign w:val="center"/>
          </w:tcPr>
          <w:p>
            <w:pPr>
              <w:keepNext w:val="0"/>
              <w:keepLines w:val="0"/>
              <w:pageBreakBefore w:val="0"/>
              <w:widowControl/>
              <w:kinsoku/>
              <w:wordWrap/>
              <w:overflowPunct/>
              <w:topLinePunct w:val="0"/>
              <w:autoSpaceDE/>
              <w:autoSpaceDN/>
              <w:bidi w:val="0"/>
              <w:adjustRightInd w:val="0"/>
              <w:snapToGrid w:val="0"/>
              <w:spacing w:line="560" w:lineRule="exact"/>
              <w:contextualSpacing/>
              <w:jc w:val="center"/>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项目产出</w:t>
            </w:r>
          </w:p>
        </w:tc>
        <w:tc>
          <w:tcPr>
            <w:tcW w:w="4209" w:type="dxa"/>
            <w:vAlign w:val="center"/>
          </w:tcPr>
          <w:p>
            <w:pPr>
              <w:keepNext w:val="0"/>
              <w:keepLines w:val="0"/>
              <w:pageBreakBefore w:val="0"/>
              <w:widowControl/>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45.00</w:t>
            </w:r>
          </w:p>
        </w:tc>
        <w:tc>
          <w:tcPr>
            <w:tcW w:w="4080" w:type="dxa"/>
            <w:vAlign w:val="center"/>
          </w:tcPr>
          <w:p>
            <w:pPr>
              <w:keepNext w:val="0"/>
              <w:keepLines w:val="0"/>
              <w:pageBreakBefore w:val="0"/>
              <w:widowControl/>
              <w:kinsoku/>
              <w:wordWrap/>
              <w:overflowPunct/>
              <w:topLinePunct w:val="0"/>
              <w:autoSpaceDE/>
              <w:autoSpaceDN/>
              <w:bidi w:val="0"/>
              <w:adjustRightInd w:val="0"/>
              <w:snapToGrid w:val="0"/>
              <w:spacing w:line="560" w:lineRule="exact"/>
              <w:contextualSpacing/>
              <w:jc w:val="center"/>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43.00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3307" w:type="dxa"/>
            <w:vAlign w:val="center"/>
          </w:tcPr>
          <w:p>
            <w:pPr>
              <w:keepNext w:val="0"/>
              <w:keepLines w:val="0"/>
              <w:pageBreakBefore w:val="0"/>
              <w:widowControl/>
              <w:kinsoku/>
              <w:wordWrap/>
              <w:overflowPunct/>
              <w:topLinePunct w:val="0"/>
              <w:autoSpaceDE/>
              <w:autoSpaceDN/>
              <w:bidi w:val="0"/>
              <w:adjustRightInd w:val="0"/>
              <w:snapToGrid w:val="0"/>
              <w:spacing w:line="560" w:lineRule="exact"/>
              <w:contextualSpacing/>
              <w:jc w:val="center"/>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项目效益</w:t>
            </w:r>
          </w:p>
        </w:tc>
        <w:tc>
          <w:tcPr>
            <w:tcW w:w="4209" w:type="dxa"/>
            <w:vAlign w:val="center"/>
          </w:tcPr>
          <w:p>
            <w:pPr>
              <w:keepNext w:val="0"/>
              <w:keepLines w:val="0"/>
              <w:pageBreakBefore w:val="0"/>
              <w:widowControl/>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15.00</w:t>
            </w:r>
          </w:p>
        </w:tc>
        <w:tc>
          <w:tcPr>
            <w:tcW w:w="4080" w:type="dxa"/>
            <w:vAlign w:val="center"/>
          </w:tcPr>
          <w:p>
            <w:pPr>
              <w:keepNext w:val="0"/>
              <w:keepLines w:val="0"/>
              <w:pageBreakBefore w:val="0"/>
              <w:widowControl/>
              <w:kinsoku/>
              <w:wordWrap/>
              <w:overflowPunct/>
              <w:topLinePunct w:val="0"/>
              <w:autoSpaceDE/>
              <w:autoSpaceDN/>
              <w:bidi w:val="0"/>
              <w:adjustRightInd w:val="0"/>
              <w:snapToGrid w:val="0"/>
              <w:spacing w:line="560" w:lineRule="exact"/>
              <w:contextualSpacing/>
              <w:jc w:val="center"/>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3307" w:type="dxa"/>
            <w:vAlign w:val="center"/>
          </w:tcPr>
          <w:p>
            <w:pPr>
              <w:keepNext w:val="0"/>
              <w:keepLines w:val="0"/>
              <w:pageBreakBefore w:val="0"/>
              <w:widowControl/>
              <w:kinsoku/>
              <w:wordWrap/>
              <w:overflowPunct/>
              <w:topLinePunct w:val="0"/>
              <w:autoSpaceDE/>
              <w:autoSpaceDN/>
              <w:bidi w:val="0"/>
              <w:adjustRightInd w:val="0"/>
              <w:snapToGrid w:val="0"/>
              <w:spacing w:line="560" w:lineRule="exact"/>
              <w:contextualSpacing/>
              <w:jc w:val="center"/>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得分</w:t>
            </w:r>
          </w:p>
        </w:tc>
        <w:tc>
          <w:tcPr>
            <w:tcW w:w="4209" w:type="dxa"/>
            <w:vAlign w:val="center"/>
          </w:tcPr>
          <w:p>
            <w:pPr>
              <w:keepNext w:val="0"/>
              <w:keepLines w:val="0"/>
              <w:pageBreakBefore w:val="0"/>
              <w:widowControl/>
              <w:kinsoku/>
              <w:wordWrap/>
              <w:overflowPunct/>
              <w:topLinePunct w:val="0"/>
              <w:autoSpaceDE/>
              <w:autoSpaceDN/>
              <w:bidi w:val="0"/>
              <w:adjustRightInd w:val="0"/>
              <w:snapToGrid w:val="0"/>
              <w:spacing w:line="560" w:lineRule="exact"/>
              <w:contextualSpacing/>
              <w:jc w:val="center"/>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100.00</w:t>
            </w:r>
          </w:p>
        </w:tc>
        <w:tc>
          <w:tcPr>
            <w:tcW w:w="4080" w:type="dxa"/>
            <w:vAlign w:val="center"/>
          </w:tcPr>
          <w:p>
            <w:pPr>
              <w:keepNext w:val="0"/>
              <w:keepLines w:val="0"/>
              <w:pageBreakBefore w:val="0"/>
              <w:widowControl/>
              <w:kinsoku/>
              <w:wordWrap/>
              <w:overflowPunct/>
              <w:topLinePunct w:val="0"/>
              <w:autoSpaceDE/>
              <w:autoSpaceDN/>
              <w:bidi w:val="0"/>
              <w:adjustRightInd w:val="0"/>
              <w:snapToGrid w:val="0"/>
              <w:spacing w:line="560" w:lineRule="exact"/>
              <w:contextualSpacing/>
              <w:jc w:val="center"/>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96.00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3307" w:type="dxa"/>
            <w:vAlign w:val="center"/>
          </w:tcPr>
          <w:p>
            <w:pPr>
              <w:keepNext w:val="0"/>
              <w:keepLines w:val="0"/>
              <w:pageBreakBefore w:val="0"/>
              <w:widowControl/>
              <w:kinsoku/>
              <w:wordWrap/>
              <w:overflowPunct/>
              <w:topLinePunct w:val="0"/>
              <w:autoSpaceDE/>
              <w:autoSpaceDN/>
              <w:bidi w:val="0"/>
              <w:adjustRightInd w:val="0"/>
              <w:snapToGrid w:val="0"/>
              <w:spacing w:line="560" w:lineRule="exact"/>
              <w:contextualSpacing/>
              <w:jc w:val="center"/>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绩效级别评价</w:t>
            </w:r>
          </w:p>
        </w:tc>
        <w:tc>
          <w:tcPr>
            <w:tcW w:w="8289" w:type="dxa"/>
            <w:gridSpan w:val="2"/>
            <w:vAlign w:val="center"/>
          </w:tcPr>
          <w:p>
            <w:pPr>
              <w:keepNext w:val="0"/>
              <w:keepLines w:val="0"/>
              <w:pageBreakBefore w:val="0"/>
              <w:widowControl/>
              <w:kinsoku/>
              <w:wordWrap/>
              <w:overflowPunct/>
              <w:topLinePunct w:val="0"/>
              <w:autoSpaceDE/>
              <w:autoSpaceDN/>
              <w:bidi w:val="0"/>
              <w:adjustRightInd w:val="0"/>
              <w:snapToGrid w:val="0"/>
              <w:spacing w:line="560" w:lineRule="exact"/>
              <w:contextualSpacing/>
              <w:jc w:val="center"/>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优秀</w:t>
            </w:r>
          </w:p>
        </w:tc>
      </w:tr>
    </w:tbl>
    <w:p>
      <w:pPr>
        <w:pStyle w:val="10"/>
        <w:keepNext w:val="0"/>
        <w:keepLines w:val="0"/>
        <w:pageBreakBefore w:val="0"/>
        <w:widowControl/>
        <w:kinsoku/>
        <w:wordWrap/>
        <w:overflowPunct/>
        <w:topLinePunct w:val="0"/>
        <w:autoSpaceDE/>
        <w:autoSpaceDN/>
        <w:bidi w:val="0"/>
        <w:spacing w:before="156" w:beforeLines="50" w:line="560" w:lineRule="exact"/>
        <w:jc w:val="center"/>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rPr>
        <w:t>大兴区建设工程扬尘治理服务项目</w:t>
      </w:r>
      <w:r>
        <w:rPr>
          <w:rFonts w:hint="eastAsia" w:ascii="宋体" w:hAnsi="宋体" w:eastAsia="宋体" w:cs="宋体"/>
          <w:b/>
          <w:bCs/>
          <w:color w:val="auto"/>
          <w:kern w:val="0"/>
          <w:sz w:val="24"/>
          <w:szCs w:val="24"/>
          <w:highlight w:val="none"/>
          <w:lang w:val="en-US" w:eastAsia="zh-CN" w:bidi="ar-SA"/>
        </w:rPr>
        <w:t>绩效评价综合评分表</w:t>
      </w:r>
    </w:p>
    <w:p>
      <w:pPr>
        <w:rPr>
          <w:rFonts w:hint="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rPr>
          <w:rFonts w:hint="eastAsia" w:ascii="仿宋_GB2312" w:hAnsi="仿宋_GB2312" w:eastAsia="仿宋_GB2312" w:cs="仿宋_GB2312"/>
          <w:b w:val="0"/>
          <w:bCs/>
          <w:color w:val="000000"/>
          <w:kern w:val="0"/>
          <w:sz w:val="24"/>
          <w:szCs w:val="24"/>
          <w:highlight w:val="none"/>
          <w:lang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rPr>
          <w:rFonts w:hint="eastAsia" w:ascii="黑体" w:hAnsi="黑体" w:eastAsia="黑体" w:cs="黑体"/>
          <w:b w:val="0"/>
          <w:bCs/>
          <w:color w:val="000000"/>
          <w:kern w:val="0"/>
          <w:sz w:val="24"/>
          <w:szCs w:val="24"/>
          <w:highlight w:val="none"/>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rPr>
          <w:rFonts w:hint="eastAsia" w:ascii="黑体" w:hAnsi="黑体" w:eastAsia="黑体" w:cs="黑体"/>
          <w:b w:val="0"/>
          <w:bCs/>
          <w:color w:val="000000"/>
          <w:kern w:val="0"/>
          <w:sz w:val="24"/>
          <w:szCs w:val="24"/>
          <w:highlight w:val="none"/>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rPr>
          <w:rFonts w:hint="eastAsia" w:ascii="黑体" w:hAnsi="黑体" w:eastAsia="黑体" w:cs="黑体"/>
          <w:b w:val="0"/>
          <w:bCs/>
          <w:color w:val="000000"/>
          <w:kern w:val="0"/>
          <w:sz w:val="28"/>
          <w:szCs w:val="28"/>
          <w:highlight w:val="none"/>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rPr>
          <w:rFonts w:hint="eastAsia" w:ascii="黑体" w:hAnsi="黑体" w:eastAsia="黑体" w:cs="黑体"/>
          <w:b w:val="0"/>
          <w:bCs/>
          <w:color w:val="000000"/>
          <w:kern w:val="0"/>
          <w:sz w:val="28"/>
          <w:szCs w:val="28"/>
          <w:highlight w:val="none"/>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jc w:val="both"/>
        <w:textAlignment w:val="auto"/>
        <w:rPr>
          <w:rFonts w:hint="eastAsia" w:ascii="黑体" w:hAnsi="黑体" w:eastAsia="黑体" w:cs="黑体"/>
          <w:b w:val="0"/>
          <w:bCs/>
          <w:color w:val="000000"/>
          <w:kern w:val="0"/>
          <w:sz w:val="28"/>
          <w:szCs w:val="28"/>
          <w:highlight w:val="none"/>
        </w:rPr>
      </w:pPr>
    </w:p>
    <w:p>
      <w:pPr>
        <w:keepNext w:val="0"/>
        <w:keepLines w:val="0"/>
        <w:pageBreakBefore w:val="0"/>
        <w:widowControl w:val="0"/>
        <w:kinsoku/>
        <w:wordWrap/>
        <w:overflowPunct/>
        <w:topLinePunct w:val="0"/>
        <w:autoSpaceDE/>
        <w:autoSpaceDN/>
        <w:bidi w:val="0"/>
        <w:adjustRightInd/>
        <w:snapToGrid/>
        <w:spacing w:line="520" w:lineRule="exact"/>
        <w:ind w:right="0" w:rightChars="0"/>
        <w:jc w:val="both"/>
        <w:textAlignment w:val="auto"/>
        <w:rPr>
          <w:rFonts w:hint="eastAsia" w:ascii="黑体" w:hAnsi="黑体" w:eastAsia="黑体" w:cs="黑体"/>
          <w:b w:val="0"/>
          <w:bCs/>
          <w:color w:val="000000"/>
          <w:kern w:val="0"/>
          <w:sz w:val="28"/>
          <w:szCs w:val="28"/>
          <w:highlight w:val="none"/>
        </w:rPr>
      </w:pPr>
      <w:r>
        <w:rPr>
          <w:rFonts w:hint="eastAsia" w:ascii="黑体" w:hAnsi="黑体" w:eastAsia="黑体" w:cs="黑体"/>
          <w:b w:val="0"/>
          <w:bCs/>
          <w:color w:val="000000"/>
          <w:kern w:val="0"/>
          <w:sz w:val="28"/>
          <w:szCs w:val="28"/>
          <w:highlight w:val="none"/>
          <w:lang w:val="en-US" w:eastAsia="zh-CN"/>
        </w:rPr>
        <w:t xml:space="preserve">    </w:t>
      </w:r>
      <w:r>
        <w:rPr>
          <w:rFonts w:hint="eastAsia" w:ascii="黑体" w:hAnsi="黑体" w:eastAsia="黑体" w:cs="黑体"/>
          <w:b w:val="0"/>
          <w:bCs/>
          <w:color w:val="000000"/>
          <w:kern w:val="0"/>
          <w:sz w:val="28"/>
          <w:szCs w:val="28"/>
          <w:highlight w:val="none"/>
        </w:rPr>
        <w:t>四、绩效评价指标分析</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0"/>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（一）项目决策情况</w:t>
      </w:r>
    </w:p>
    <w:p>
      <w:pPr>
        <w:pStyle w:val="6"/>
        <w:keepNext w:val="0"/>
        <w:keepLines w:val="0"/>
        <w:pageBreakBefore w:val="0"/>
        <w:kinsoku/>
        <w:wordWrap/>
        <w:overflowPunct/>
        <w:topLinePunct w:val="0"/>
        <w:autoSpaceDE/>
        <w:autoSpaceDN/>
        <w:bidi w:val="0"/>
        <w:spacing w:line="560" w:lineRule="exact"/>
        <w:ind w:firstLine="640"/>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1.项目立项依据充分性</w:t>
      </w:r>
    </w:p>
    <w:p>
      <w:pPr>
        <w:pStyle w:val="6"/>
        <w:keepNext w:val="0"/>
        <w:keepLines w:val="0"/>
        <w:pageBreakBefore w:val="0"/>
        <w:kinsoku/>
        <w:wordWrap/>
        <w:overflowPunct/>
        <w:topLinePunct w:val="0"/>
        <w:autoSpaceDE/>
        <w:autoSpaceDN/>
        <w:bidi w:val="0"/>
        <w:spacing w:line="560" w:lineRule="exact"/>
        <w:ind w:firstLine="640"/>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为深入推进施工扬尘监管工作，贯彻落实《北京市大气污染防治条例》和污染防治攻坚战相关要求，加强对规模以上房屋和市政基础设施施工工地的扬尘治理监管力度，根据相关文件及财务、审计方面的要求，区监督站通过政府购买服务方式，采购服务机构，协助开展施工扬尘治理专项检查工作。此项目资金由市财政拨款，资金支出严格执行国家及市、区制定的各项财务制度。</w:t>
      </w:r>
    </w:p>
    <w:p>
      <w:pPr>
        <w:pStyle w:val="6"/>
        <w:keepNext w:val="0"/>
        <w:keepLines w:val="0"/>
        <w:pageBreakBefore w:val="0"/>
        <w:kinsoku/>
        <w:wordWrap/>
        <w:overflowPunct/>
        <w:topLinePunct w:val="0"/>
        <w:autoSpaceDE/>
        <w:autoSpaceDN/>
        <w:bidi w:val="0"/>
        <w:spacing w:line="560" w:lineRule="exact"/>
        <w:ind w:firstLine="640"/>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2.项目立项程序规范性</w:t>
      </w:r>
    </w:p>
    <w:p>
      <w:pPr>
        <w:pStyle w:val="6"/>
        <w:keepNext w:val="0"/>
        <w:keepLines w:val="0"/>
        <w:pageBreakBefore w:val="0"/>
        <w:kinsoku/>
        <w:wordWrap/>
        <w:overflowPunct/>
        <w:topLinePunct w:val="0"/>
        <w:autoSpaceDE/>
        <w:autoSpaceDN/>
        <w:bidi w:val="0"/>
        <w:spacing w:line="560" w:lineRule="exact"/>
        <w:ind w:firstLine="640"/>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北京市大兴区建设工程安全质量监督站根据2024年全区施工工地开复工情况、检查需求和往年工作情况，确定项目工作目标和工作措施，编制项目申报书、绩效目标表，项目设立过程中严格遵守立项相关要求。</w:t>
      </w:r>
    </w:p>
    <w:p>
      <w:pPr>
        <w:pStyle w:val="6"/>
        <w:keepNext w:val="0"/>
        <w:keepLines w:val="0"/>
        <w:pageBreakBefore w:val="0"/>
        <w:kinsoku/>
        <w:wordWrap/>
        <w:overflowPunct/>
        <w:topLinePunct w:val="0"/>
        <w:autoSpaceDE/>
        <w:autoSpaceDN/>
        <w:bidi w:val="0"/>
        <w:spacing w:line="560" w:lineRule="exact"/>
        <w:ind w:firstLine="640"/>
        <w:rPr>
          <w:rFonts w:hint="default"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3.项目决策合规性</w:t>
      </w:r>
    </w:p>
    <w:p>
      <w:pPr>
        <w:pStyle w:val="6"/>
        <w:keepNext w:val="0"/>
        <w:keepLines w:val="0"/>
        <w:pageBreakBefore w:val="0"/>
        <w:kinsoku/>
        <w:wordWrap/>
        <w:overflowPunct/>
        <w:topLinePunct w:val="0"/>
        <w:autoSpaceDE/>
        <w:autoSpaceDN/>
        <w:bidi w:val="0"/>
        <w:spacing w:line="560" w:lineRule="exact"/>
        <w:ind w:firstLine="640"/>
        <w:rPr>
          <w:rFonts w:hint="default"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区住建委按照污染防治攻坚战转移支付工作要求，向相关部门申请使用市级污染防治专项转移支付资金购买专项服务。监督站为项目具体执行单位，2024年3月依据相关法规和政策要求，通过公开招标方式，选定北京兴业建城工程管理咨询有限责任公司为服务提供单位，经区住建委党组会讨论通过后，双方于2024年3月13日签订《大兴区建设工程扬尘治理服务合同》。项目决策符合程序要求。</w:t>
      </w:r>
    </w:p>
    <w:p>
      <w:pPr>
        <w:pStyle w:val="6"/>
        <w:keepNext w:val="0"/>
        <w:keepLines w:val="0"/>
        <w:pageBreakBefore w:val="0"/>
        <w:kinsoku/>
        <w:wordWrap/>
        <w:overflowPunct/>
        <w:topLinePunct w:val="0"/>
        <w:autoSpaceDE/>
        <w:autoSpaceDN/>
        <w:bidi w:val="0"/>
        <w:spacing w:line="560" w:lineRule="exact"/>
        <w:ind w:firstLine="640"/>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4.项目绩效目标合理性</w:t>
      </w:r>
    </w:p>
    <w:p>
      <w:pPr>
        <w:pStyle w:val="6"/>
        <w:keepNext w:val="0"/>
        <w:keepLines w:val="0"/>
        <w:pageBreakBefore w:val="0"/>
        <w:kinsoku/>
        <w:wordWrap/>
        <w:overflowPunct/>
        <w:topLinePunct w:val="0"/>
        <w:autoSpaceDE/>
        <w:autoSpaceDN/>
        <w:bidi w:val="0"/>
        <w:spacing w:line="560" w:lineRule="exact"/>
        <w:ind w:firstLine="640"/>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该项目所设立的绩效目标与实际工作内容较为相符，预期产出效益和效果符合正常的业绩水平，与预算确定的项目资金量相匹配。</w:t>
      </w:r>
    </w:p>
    <w:p>
      <w:pPr>
        <w:pStyle w:val="6"/>
        <w:keepNext w:val="0"/>
        <w:keepLines w:val="0"/>
        <w:pageBreakBefore w:val="0"/>
        <w:kinsoku/>
        <w:wordWrap/>
        <w:overflowPunct/>
        <w:topLinePunct w:val="0"/>
        <w:autoSpaceDE/>
        <w:autoSpaceDN/>
        <w:bidi w:val="0"/>
        <w:spacing w:line="560" w:lineRule="exact"/>
        <w:ind w:firstLine="640"/>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5.项目绩效指标明确性</w:t>
      </w:r>
    </w:p>
    <w:p>
      <w:pPr>
        <w:pStyle w:val="6"/>
        <w:keepNext w:val="0"/>
        <w:keepLines w:val="0"/>
        <w:pageBreakBefore w:val="0"/>
        <w:kinsoku/>
        <w:wordWrap/>
        <w:overflowPunct/>
        <w:topLinePunct w:val="0"/>
        <w:autoSpaceDE/>
        <w:autoSpaceDN/>
        <w:bidi w:val="0"/>
        <w:spacing w:line="560" w:lineRule="exact"/>
        <w:ind w:firstLine="640"/>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区监督站在设立绩效目标时，将项目绩效目标细化分解为具体的绩效指标，指标基本涵盖所有工作内容，与合同约定基本相符。</w:t>
      </w:r>
    </w:p>
    <w:p>
      <w:pPr>
        <w:pStyle w:val="6"/>
        <w:keepNext w:val="0"/>
        <w:keepLines w:val="0"/>
        <w:pageBreakBefore w:val="0"/>
        <w:kinsoku/>
        <w:wordWrap/>
        <w:overflowPunct/>
        <w:topLinePunct w:val="0"/>
        <w:autoSpaceDE/>
        <w:autoSpaceDN/>
        <w:bidi w:val="0"/>
        <w:spacing w:line="560" w:lineRule="exact"/>
        <w:ind w:firstLine="640"/>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6.项目预算编制科学性</w:t>
      </w:r>
    </w:p>
    <w:p>
      <w:pPr>
        <w:pStyle w:val="6"/>
        <w:keepNext w:val="0"/>
        <w:keepLines w:val="0"/>
        <w:pageBreakBefore w:val="0"/>
        <w:kinsoku/>
        <w:wordWrap/>
        <w:overflowPunct/>
        <w:topLinePunct w:val="0"/>
        <w:autoSpaceDE/>
        <w:autoSpaceDN/>
        <w:bidi w:val="0"/>
        <w:spacing w:line="560" w:lineRule="exact"/>
        <w:ind w:firstLine="640"/>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北京市大兴区建设工程安全质量监督站按照全区施工工地开复工情况、检查需求确定检查数量。根据《北京市建设工程扬尘治理综合监管实施方案》确定检查工作内容。参照《北京市安全生产技术服务协会安全评价咨询服务收费指导意见》中技术人员服务费用和北京市平均工资收入标准，确定人工费用，综合计算后，报请大兴区财政局审批确定该项目预算金额为3096900.00元，其中：区级资金0元，市级资金3096900.00元。</w:t>
      </w:r>
    </w:p>
    <w:p>
      <w:pPr>
        <w:pStyle w:val="6"/>
        <w:keepNext w:val="0"/>
        <w:keepLines w:val="0"/>
        <w:pageBreakBefore w:val="0"/>
        <w:kinsoku/>
        <w:wordWrap/>
        <w:overflowPunct/>
        <w:topLinePunct w:val="0"/>
        <w:autoSpaceDE/>
        <w:autoSpaceDN/>
        <w:bidi w:val="0"/>
        <w:spacing w:line="560" w:lineRule="exact"/>
        <w:ind w:firstLine="640"/>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7.项目资金分配合理性</w:t>
      </w:r>
    </w:p>
    <w:p>
      <w:pPr>
        <w:pStyle w:val="6"/>
        <w:keepNext w:val="0"/>
        <w:keepLines w:val="0"/>
        <w:pageBreakBefore w:val="0"/>
        <w:kinsoku/>
        <w:wordWrap/>
        <w:overflowPunct/>
        <w:topLinePunct w:val="0"/>
        <w:autoSpaceDE/>
        <w:autoSpaceDN/>
        <w:bidi w:val="0"/>
        <w:spacing w:line="560" w:lineRule="exact"/>
        <w:ind w:firstLine="640"/>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本项目依据财务支出时限及流程要求确定支付节点。北京市大兴区建设工程安全质量监督站于2024年2月开展了该项目的采购的公开招标工作。2024年2月26日通过公开招标，确定了北京兴业建城工程管理咨询有限责任公司为本项目的服务机构。经协商合同金额为2991066.00元，服务周期为2024年3月13日至2025年3月12日。按照合同约定，于2024年6月、2024年11月和2025年4月，分3次支付合同价款。截至2024年12月31日，该项目支付金额2093746.20元，其中：市级资金支付2093746.20元，区级资金支付0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0"/>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（二）项目过程情况</w:t>
      </w:r>
    </w:p>
    <w:p>
      <w:pPr>
        <w:pStyle w:val="6"/>
        <w:keepNext w:val="0"/>
        <w:keepLines w:val="0"/>
        <w:pageBreakBefore w:val="0"/>
        <w:kinsoku/>
        <w:wordWrap/>
        <w:overflowPunct/>
        <w:topLinePunct w:val="0"/>
        <w:autoSpaceDE/>
        <w:autoSpaceDN/>
        <w:bidi w:val="0"/>
        <w:spacing w:line="560" w:lineRule="exact"/>
        <w:ind w:firstLine="640"/>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1.资金到位率</w:t>
      </w:r>
    </w:p>
    <w:p>
      <w:pPr>
        <w:pStyle w:val="6"/>
        <w:keepNext w:val="0"/>
        <w:keepLines w:val="0"/>
        <w:pageBreakBefore w:val="0"/>
        <w:kinsoku/>
        <w:wordWrap/>
        <w:overflowPunct/>
        <w:topLinePunct w:val="0"/>
        <w:autoSpaceDE/>
        <w:autoSpaceDN/>
        <w:bidi w:val="0"/>
        <w:spacing w:line="560" w:lineRule="exact"/>
        <w:ind w:firstLine="640"/>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2024年该项目预算批复金额为3096900.00元，其中：区级资金0元，市级资金3096900.00元。实际到位资金3096900.00元，其中：区级资金0元，市级资金3096900.00元。资金到位率100.00%。</w:t>
      </w:r>
    </w:p>
    <w:p>
      <w:pPr>
        <w:pStyle w:val="6"/>
        <w:keepNext w:val="0"/>
        <w:keepLines w:val="0"/>
        <w:pageBreakBefore w:val="0"/>
        <w:kinsoku/>
        <w:wordWrap/>
        <w:overflowPunct/>
        <w:topLinePunct w:val="0"/>
        <w:autoSpaceDE/>
        <w:autoSpaceDN/>
        <w:bidi w:val="0"/>
        <w:spacing w:line="560" w:lineRule="exact"/>
        <w:ind w:firstLine="640"/>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2.预算执行率</w:t>
      </w:r>
    </w:p>
    <w:p>
      <w:pPr>
        <w:pStyle w:val="6"/>
        <w:keepNext w:val="0"/>
        <w:keepLines w:val="0"/>
        <w:pageBreakBefore w:val="0"/>
        <w:kinsoku/>
        <w:wordWrap/>
        <w:overflowPunct/>
        <w:topLinePunct w:val="0"/>
        <w:autoSpaceDE/>
        <w:autoSpaceDN/>
        <w:bidi w:val="0"/>
        <w:spacing w:line="560" w:lineRule="exact"/>
        <w:ind w:firstLine="640"/>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2024年该项目实际到位资金3096900.00元，其中：区级资金0元，市级资金3096900.00元。2024年核减预算资金1003153.80元，其中：区级资金0元、市级资金1003153.80元。实际支出资金2093746.20元，其中：区级资金0元，市级资金2093746.20元。按照双方合同约定合同金额为2991066元，2024年6月支付合同金额的30%（897319.8元），2024年11月支付合同金额的40%（1196426.4元），2025年4月支付合同金额的30%（897319.8元），2024年已按照合同完成支付总金额的70%，预算执行率100%。</w:t>
      </w:r>
    </w:p>
    <w:p>
      <w:pPr>
        <w:pStyle w:val="6"/>
        <w:keepNext w:val="0"/>
        <w:keepLines w:val="0"/>
        <w:pageBreakBefore w:val="0"/>
        <w:kinsoku/>
        <w:wordWrap/>
        <w:overflowPunct/>
        <w:topLinePunct w:val="0"/>
        <w:autoSpaceDE/>
        <w:autoSpaceDN/>
        <w:bidi w:val="0"/>
        <w:spacing w:line="560" w:lineRule="exact"/>
        <w:ind w:firstLine="640"/>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3.资金使用合规性</w:t>
      </w:r>
    </w:p>
    <w:p>
      <w:pPr>
        <w:pStyle w:val="6"/>
        <w:keepNext w:val="0"/>
        <w:keepLines w:val="0"/>
        <w:pageBreakBefore w:val="0"/>
        <w:kinsoku/>
        <w:wordWrap/>
        <w:overflowPunct/>
        <w:topLinePunct w:val="0"/>
        <w:autoSpaceDE/>
        <w:autoSpaceDN/>
        <w:bidi w:val="0"/>
        <w:spacing w:line="560" w:lineRule="exact"/>
        <w:ind w:firstLine="640"/>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项目实施过程中，项目单位遵循相关财务管理制度，严格执行资金的申请、审批、结算程序，资金符合项目预算批复用途，未发现截留、挤占、挪用、虚列支出等情况。</w:t>
      </w:r>
    </w:p>
    <w:p>
      <w:pPr>
        <w:pStyle w:val="6"/>
        <w:keepNext w:val="0"/>
        <w:keepLines w:val="0"/>
        <w:pageBreakBefore w:val="0"/>
        <w:kinsoku/>
        <w:wordWrap/>
        <w:overflowPunct/>
        <w:topLinePunct w:val="0"/>
        <w:autoSpaceDE/>
        <w:autoSpaceDN/>
        <w:bidi w:val="0"/>
        <w:spacing w:line="560" w:lineRule="exact"/>
        <w:ind w:firstLine="640"/>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4.管理制度健全性</w:t>
      </w:r>
    </w:p>
    <w:p>
      <w:pPr>
        <w:pStyle w:val="6"/>
        <w:keepNext w:val="0"/>
        <w:keepLines w:val="0"/>
        <w:pageBreakBefore w:val="0"/>
        <w:kinsoku/>
        <w:wordWrap/>
        <w:overflowPunct/>
        <w:topLinePunct w:val="0"/>
        <w:autoSpaceDE/>
        <w:autoSpaceDN/>
        <w:bidi w:val="0"/>
        <w:spacing w:line="560" w:lineRule="exact"/>
        <w:ind w:firstLine="640"/>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依据《大兴区住建委资金支出管理规定》及监督站制定的《购买施工扬尘管理服务项目考核办法》，对于购买服务项目、第三方的管理、考核制度形成体系，制定了相关管理制度。</w:t>
      </w:r>
    </w:p>
    <w:p>
      <w:pPr>
        <w:pStyle w:val="6"/>
        <w:keepNext w:val="0"/>
        <w:keepLines w:val="0"/>
        <w:pageBreakBefore w:val="0"/>
        <w:kinsoku/>
        <w:wordWrap/>
        <w:overflowPunct/>
        <w:topLinePunct w:val="0"/>
        <w:autoSpaceDE/>
        <w:autoSpaceDN/>
        <w:bidi w:val="0"/>
        <w:spacing w:line="560" w:lineRule="exact"/>
        <w:ind w:firstLine="640"/>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5.制度执行有效性</w:t>
      </w:r>
    </w:p>
    <w:p>
      <w:pPr>
        <w:pStyle w:val="6"/>
        <w:keepNext w:val="0"/>
        <w:keepLines w:val="0"/>
        <w:pageBreakBefore w:val="0"/>
        <w:kinsoku/>
        <w:wordWrap/>
        <w:overflowPunct/>
        <w:topLinePunct w:val="0"/>
        <w:autoSpaceDE/>
        <w:autoSpaceDN/>
        <w:bidi w:val="0"/>
        <w:spacing w:line="560" w:lineRule="exact"/>
        <w:ind w:firstLine="640"/>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服务单位于2024年3月13日起，按照合同约定开展服务工作。服务机构按照合同约定和检查任务安排，协助施工扬尘专项检查等工作。服务机构按照合同及《购买施工扬尘管理服务项目考核办法》要求开展工作，监督站负责监督项目资金的使用、组织开展检查服务工作、处理检查发现问题，并定期对相关单位管理服务的机构及人员设置、检查成果及廉洁自律情况进行监督。截止2024年底，项目运行良好，无违规违约情况，资金支付严格按照《资金支出管理规定》执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0"/>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（三）项目产出情况</w:t>
      </w:r>
    </w:p>
    <w:p>
      <w:pPr>
        <w:pStyle w:val="6"/>
        <w:keepNext w:val="0"/>
        <w:keepLines w:val="0"/>
        <w:pageBreakBefore w:val="0"/>
        <w:kinsoku/>
        <w:wordWrap/>
        <w:overflowPunct/>
        <w:topLinePunct w:val="0"/>
        <w:autoSpaceDE/>
        <w:autoSpaceDN/>
        <w:bidi w:val="0"/>
        <w:spacing w:line="560" w:lineRule="exact"/>
        <w:ind w:firstLine="640"/>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1.产出数量</w:t>
      </w:r>
    </w:p>
    <w:p>
      <w:pPr>
        <w:pStyle w:val="6"/>
        <w:keepNext w:val="0"/>
        <w:keepLines w:val="0"/>
        <w:pageBreakBefore w:val="0"/>
        <w:kinsoku/>
        <w:wordWrap/>
        <w:overflowPunct/>
        <w:topLinePunct w:val="0"/>
        <w:autoSpaceDE/>
        <w:autoSpaceDN/>
        <w:bidi w:val="0"/>
        <w:spacing w:line="560" w:lineRule="exact"/>
        <w:ind w:firstLine="640"/>
        <w:rPr>
          <w:rFonts w:hint="default"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2024年初预估全区开、复工项目约200项，根据《北京市建设工程扬尘治理综合监管实施方案（试行）》要求，对不同风险、信用项目开展差异化检查，根据经验估算每月开展2次检查项目约35项，每月开展1次检查项目约80项，每三月开展检查项目约45项，每6月开展检查项目约40项，合计每月需开展扬尘检查约为172项。根据项目合同，2024年服务期为3月13日至12月底共9.5个月，预计开展检查1634项次，编制月度报告9份，半年报告1份。</w:t>
      </w:r>
    </w:p>
    <w:p>
      <w:pPr>
        <w:pStyle w:val="22"/>
        <w:keepNext w:val="0"/>
        <w:keepLines w:val="0"/>
        <w:pageBreakBefore w:val="0"/>
        <w:widowControl w:val="0"/>
        <w:kinsoku/>
        <w:wordWrap/>
        <w:overflowPunct/>
        <w:topLinePunct w:val="0"/>
        <w:autoSpaceDE/>
        <w:autoSpaceDN/>
        <w:bidi w:val="0"/>
        <w:snapToGrid/>
        <w:spacing w:line="560" w:lineRule="exact"/>
        <w:ind w:firstLine="640" w:firstLineChars="200"/>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2024年实际开展扬尘检查1772项次，检查中对施工现场视频监控安装使用、建筑垃圾管理、预警响应情况、预拌砂浆混凝土、主体责任落实情况、施工现场出入口公示情况、工地周边围挡、裸地土堆物料覆盖、土方开挖湿法作业、出入车辆清洗、 易产生扬尘作业降尘防尘措施、门前“三包”、外脚手架封闭措施、路面硬化、“进门查证、出门查车”执行情况、施工现场建筑垃圾存放、建筑垃圾清运、非道路移动机械管理、应急预案制定情况共19项内容进行检查。截止2024年底累计编制报告10份，其中，月度报告9份、半年报告1份。报告中对上一期检查情况进行汇总，并分析总结施工现场扬尘治理工作。</w:t>
      </w:r>
    </w:p>
    <w:p>
      <w:pPr>
        <w:pStyle w:val="6"/>
        <w:keepNext w:val="0"/>
        <w:keepLines w:val="0"/>
        <w:pageBreakBefore w:val="0"/>
        <w:widowControl w:val="0"/>
        <w:kinsoku/>
        <w:wordWrap/>
        <w:overflowPunct/>
        <w:topLinePunct w:val="0"/>
        <w:autoSpaceDE/>
        <w:autoSpaceDN/>
        <w:bidi w:val="0"/>
        <w:snapToGrid/>
        <w:spacing w:line="560" w:lineRule="exact"/>
        <w:ind w:firstLine="640"/>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2.产出质量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服务单位应按照要求设置人员管理机构、建立人员管理制度，检查工作应按照计划及时开展，检查中对各检查项认真检查，合理运用各项标准、规范和文件要求，及时反馈检查信息，扬尘检查工作质量达标率100%，确保检查质量和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2024年服务单位开展扬尘检查过程中，出动人员、检查内容等符合合同约定，各项标准、技术规范使用无明显错误，资料整理收集比较及时，检查人员无违法违规行为，检查质量符合要求。</w:t>
      </w:r>
    </w:p>
    <w:p>
      <w:pPr>
        <w:pStyle w:val="6"/>
        <w:keepNext w:val="0"/>
        <w:keepLines w:val="0"/>
        <w:pageBreakBefore w:val="0"/>
        <w:widowControl w:val="0"/>
        <w:kinsoku/>
        <w:wordWrap/>
        <w:overflowPunct/>
        <w:topLinePunct w:val="0"/>
        <w:autoSpaceDE/>
        <w:autoSpaceDN/>
        <w:bidi w:val="0"/>
        <w:snapToGrid/>
        <w:spacing w:line="560" w:lineRule="exact"/>
        <w:ind w:firstLine="640"/>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3.产出时效</w:t>
      </w:r>
    </w:p>
    <w:p>
      <w:pPr>
        <w:pStyle w:val="6"/>
        <w:keepNext w:val="0"/>
        <w:keepLines w:val="0"/>
        <w:pageBreakBefore w:val="0"/>
        <w:widowControl w:val="0"/>
        <w:kinsoku/>
        <w:wordWrap/>
        <w:overflowPunct/>
        <w:topLinePunct w:val="0"/>
        <w:autoSpaceDE/>
        <w:autoSpaceDN/>
        <w:bidi w:val="0"/>
        <w:snapToGrid/>
        <w:spacing w:line="560" w:lineRule="exact"/>
        <w:ind w:firstLine="640"/>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项目服务期为2024年3月13日至2025年3月12日，2024年度服务时间为3月13日至12月31日。按照合同约定，每月应开展施工扬尘检查不少于172项。因重大活动保障、空气污染应急期间按要求需加大检查频次和力度，2024年度，每月检查数量均高于合同约定检查量，平均每月开展检查186.5项。但是，个别项目检查完成，整改情况收集不及时。</w:t>
      </w:r>
    </w:p>
    <w:p>
      <w:pPr>
        <w:pStyle w:val="6"/>
        <w:keepNext w:val="0"/>
        <w:keepLines w:val="0"/>
        <w:pageBreakBefore w:val="0"/>
        <w:widowControl w:val="0"/>
        <w:kinsoku/>
        <w:wordWrap/>
        <w:overflowPunct/>
        <w:topLinePunct w:val="0"/>
        <w:autoSpaceDE/>
        <w:autoSpaceDN/>
        <w:bidi w:val="0"/>
        <w:snapToGrid/>
        <w:spacing w:line="560" w:lineRule="exact"/>
        <w:ind w:firstLine="640"/>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4.产出成本</w:t>
      </w:r>
    </w:p>
    <w:p>
      <w:pPr>
        <w:pStyle w:val="6"/>
        <w:keepNext w:val="0"/>
        <w:keepLines w:val="0"/>
        <w:pageBreakBefore w:val="0"/>
        <w:widowControl w:val="0"/>
        <w:kinsoku/>
        <w:wordWrap/>
        <w:overflowPunct/>
        <w:topLinePunct w:val="0"/>
        <w:autoSpaceDE/>
        <w:autoSpaceDN/>
        <w:bidi w:val="0"/>
        <w:snapToGrid/>
        <w:spacing w:line="560" w:lineRule="exact"/>
        <w:ind w:firstLine="640"/>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2024年项目预算金额2167830‬元，实际支出资金2093746.2元，成本节约率3.4%。</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（四）项目效益情况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1.社会效益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服务单位按照检查要求，已完成对全部房建、市政工程的扬尘检查，检查覆盖率100%。扬尘检查工作的开展，能够及时发现监管项目施工扬尘治理存在的问题，通过督促责任单位对问题的整改，有效提高了裸地土堆物料覆盖、土方开挖湿法作业、出入车辆清洗、 门前“三包”等施工扬尘治理措施的落实，进一步减少施工工地扬尘污染。发现问题均已整改完成，并将过参建单位验证，问题整改率100%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2.满意度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根据项目单位提供的满意度调查资料显示，被检查工程对该项目的满意度为98%，服务对象对该项目的实施过程基本认可。但满意度调查问卷中调查内容不够全面，缺乏针对性，调查样本抽取方式较随意。</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right="0" w:rightChars="0" w:firstLine="560" w:firstLineChars="200"/>
        <w:jc w:val="both"/>
        <w:textAlignment w:val="auto"/>
        <w:rPr>
          <w:rFonts w:hint="eastAsia" w:ascii="黑体" w:hAnsi="黑体" w:eastAsia="黑体" w:cs="黑体"/>
          <w:b w:val="0"/>
          <w:bCs/>
          <w:color w:val="000000"/>
          <w:kern w:val="0"/>
          <w:sz w:val="28"/>
          <w:szCs w:val="28"/>
          <w:highlight w:val="none"/>
        </w:rPr>
      </w:pPr>
      <w:r>
        <w:rPr>
          <w:rFonts w:hint="eastAsia" w:ascii="黑体" w:hAnsi="黑体" w:eastAsia="黑体" w:cs="黑体"/>
          <w:b w:val="0"/>
          <w:bCs/>
          <w:color w:val="000000"/>
          <w:kern w:val="0"/>
          <w:sz w:val="28"/>
          <w:szCs w:val="28"/>
          <w:highlight w:val="none"/>
        </w:rPr>
        <w:t>主要经验及做法、存在的问题及原因分析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（一）项目产出方面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完成扬尘专项检查后，应及时督促项目完成问题整改，并收集整改情况。个别项目在检查后虽然及时进行整改，但是整改报告提交不及时，项目相关人员督促、跟进力度不足，导致部分项目检查后的整改情况收集不及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（二）项目效益方面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rPr>
      </w:pPr>
      <w:r>
        <w:rPr>
          <w:rFonts w:hint="eastAsia" w:ascii="仿宋_GB2312" w:hAnsi="仿宋_GB2312" w:eastAsia="仿宋_GB2312" w:cs="仿宋_GB2312"/>
          <w:color w:val="000000"/>
          <w:kern w:val="0"/>
          <w:sz w:val="28"/>
          <w:szCs w:val="28"/>
          <w:highlight w:val="none"/>
          <w:lang w:val="en-US" w:eastAsia="zh-CN" w:bidi="ar-SA"/>
        </w:rPr>
        <w:t>满意度调查问卷内容设置较简单，还需要进一步完善、修订，选取的调查项目随意性大，代表性和针对性不足。</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right="0" w:rightChars="0" w:firstLine="560" w:firstLineChars="200"/>
        <w:jc w:val="both"/>
        <w:textAlignment w:val="auto"/>
        <w:rPr>
          <w:rFonts w:hint="eastAsia" w:ascii="黑体" w:hAnsi="黑体" w:eastAsia="黑体" w:cs="黑体"/>
          <w:b w:val="0"/>
          <w:bCs/>
          <w:color w:val="000000"/>
          <w:kern w:val="0"/>
          <w:sz w:val="28"/>
          <w:szCs w:val="28"/>
          <w:highlight w:val="none"/>
        </w:rPr>
      </w:pPr>
      <w:r>
        <w:rPr>
          <w:rFonts w:hint="eastAsia" w:ascii="黑体" w:hAnsi="黑体" w:eastAsia="黑体" w:cs="黑体"/>
          <w:b w:val="0"/>
          <w:bCs/>
          <w:color w:val="000000"/>
          <w:kern w:val="0"/>
          <w:sz w:val="28"/>
          <w:szCs w:val="28"/>
          <w:highlight w:val="none"/>
        </w:rPr>
        <w:t>有关建议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（一）项目决策方面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1.及时根据全区施工工地数量和施工扬尘治理工作要求，动态调整项目预算。提高财政资金投入效率，保证项目平稳履行。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2.进一步丰富服务内容，充分利用服务机构人力、技术、资源方面的优势，开展扬尘治理服务工作。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（二）项目过程方面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1.依据年度预算资金数额、实际承担的工作量，以及各类工作在全年的分布情况，深入核算项目成本，实现资金的高效利用与合规使用。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2.在现有管理制度的基础上，不断健全项目管理制度，对项目从启动到结束的全流程、全过程进行完善管理。增加考评结果的指导价值与实际效果。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3.在项目开展过程中，及时收集能够记录管理过程的留痕资料。借助资料，切实确保工作内容和成果便于追溯。同时充分利用检查数据开展全区施工扬尘治理情况分析，提高分析报告的针对性和指导性，为监管工作提供有效支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（三）项目效益方面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进一步做好满意度调查工作，明确调查对象及其范围，科学设计调查问卷，合理选取调查对象，加强调查结果的统计分析和结果应用，有效促进项目绩效的改进和提高。</w:t>
      </w:r>
    </w:p>
    <w:p>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right="0" w:rightChars="0" w:firstLine="560" w:firstLineChars="200"/>
        <w:jc w:val="both"/>
        <w:textAlignment w:val="auto"/>
        <w:rPr>
          <w:rFonts w:hint="eastAsia" w:ascii="黑体" w:hAnsi="黑体" w:eastAsia="黑体" w:cs="黑体"/>
          <w:b w:val="0"/>
          <w:bCs/>
          <w:color w:val="000000"/>
          <w:kern w:val="0"/>
          <w:sz w:val="28"/>
          <w:szCs w:val="28"/>
          <w:highlight w:val="none"/>
        </w:rPr>
      </w:pPr>
      <w:r>
        <w:rPr>
          <w:rFonts w:hint="eastAsia" w:ascii="黑体" w:hAnsi="黑体" w:eastAsia="黑体" w:cs="黑体"/>
          <w:b w:val="0"/>
          <w:bCs/>
          <w:color w:val="000000"/>
          <w:kern w:val="0"/>
          <w:sz w:val="28"/>
          <w:szCs w:val="28"/>
          <w:highlight w:val="none"/>
        </w:rPr>
        <w:t>其他需要说明的问题</w:t>
      </w:r>
    </w:p>
    <w:p>
      <w:pPr>
        <w:pStyle w:val="2"/>
        <w:numPr>
          <w:ilvl w:val="0"/>
          <w:numId w:val="0"/>
        </w:numPr>
        <w:ind w:leftChars="200"/>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 xml:space="preserve">  无</w:t>
      </w:r>
    </w:p>
    <w:p>
      <w:pPr>
        <w:pStyle w:val="2"/>
        <w:rPr>
          <w:rFonts w:hint="eastAsia" w:ascii="仿宋_GB2312" w:eastAsia="仿宋_GB2312"/>
          <w:sz w:val="28"/>
          <w:szCs w:val="28"/>
          <w:lang w:val="en-US" w:eastAsia="zh-CN"/>
        </w:rPr>
      </w:pPr>
    </w:p>
    <w:p>
      <w:pPr>
        <w:spacing w:line="560" w:lineRule="exact"/>
        <w:jc w:val="left"/>
        <w:rPr>
          <w:rFonts w:hint="eastAsia" w:ascii="方正黑体_GBK" w:hAnsi="方正黑体_GBK" w:eastAsia="方正黑体_GBK" w:cs="方正黑体_GBK"/>
          <w:sz w:val="32"/>
          <w:szCs w:val="32"/>
          <w:highlight w:val="none"/>
        </w:rPr>
      </w:pPr>
    </w:p>
    <w:p>
      <w:pPr>
        <w:pStyle w:val="2"/>
        <w:ind w:left="0" w:leftChars="0" w:firstLine="0" w:firstLineChars="0"/>
        <w:rPr>
          <w:rFonts w:hint="eastAsia" w:ascii="仿宋_GB2312" w:hAnsi="仿宋_GB2312" w:eastAsia="仿宋_GB2312" w:cs="仿宋_GB2312"/>
          <w:sz w:val="32"/>
          <w:szCs w:val="32"/>
        </w:rPr>
      </w:pPr>
    </w:p>
    <w:p>
      <w:pPr>
        <w:spacing w:line="480" w:lineRule="exact"/>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Droid Sans">
    <w:altName w:val="微软雅黑"/>
    <w:panose1 w:val="00000000000000000000"/>
    <w:charset w:val="00"/>
    <w:family w:val="auto"/>
    <w:pitch w:val="default"/>
    <w:sig w:usb0="00000000" w:usb1="00000000" w:usb2="00000000" w:usb3="00000000" w:csb0="00040001" w:csb1="00000000"/>
  </w:font>
  <w:font w:name="Noto Sans CJK JP Bold">
    <w:altName w:val="宋体"/>
    <w:panose1 w:val="020B0800000000000000"/>
    <w:charset w:val="86"/>
    <w:family w:val="auto"/>
    <w:pitch w:val="default"/>
    <w:sig w:usb0="00000000" w:usb1="00000000" w:usb2="00000016" w:usb3="00000000" w:csb0="602E0107" w:csb1="00000000"/>
  </w:font>
  <w:font w:name="微软雅黑">
    <w:panose1 w:val="020B0503020204020204"/>
    <w:charset w:val="86"/>
    <w:family w:val="auto"/>
    <w:pitch w:val="default"/>
    <w:sig w:usb0="80000287" w:usb1="280F3C52" w:usb2="00000016" w:usb3="00000000" w:csb0="0004001F" w:csb1="00000000"/>
  </w:font>
  <w:font w:name="方正黑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Noto Sans SC">
    <w:altName w:val="宋体"/>
    <w:panose1 w:val="020B0200000000000000"/>
    <w:charset w:val="86"/>
    <w:family w:val="auto"/>
    <w:pitch w:val="default"/>
    <w:sig w:usb0="00000000" w:usb1="00000000" w:usb2="00000016" w:usb3="00000000" w:csb0="60060107"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default"/>
    <w:sig w:usb0="E0002AFF" w:usb1="C0007843" w:usb2="00000009" w:usb3="00000000" w:csb0="400001FF" w:csb1="FFFF0000"/>
  </w:font>
  <w:font w:name="方正黑体_GBK">
    <w:altName w:val="微软雅黑"/>
    <w:panose1 w:val="02000000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黑体">
    <w:panose1 w:val="02010609060101010101"/>
    <w:charset w:val="86"/>
    <w:family w:val="modern"/>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等线">
    <w:altName w:val="宋体"/>
    <w:panose1 w:val="02010600030101010101"/>
    <w:charset w:val="86"/>
    <w:family w:val="auto"/>
    <w:pitch w:val="default"/>
    <w:sig w:usb0="00000000" w:usb1="00000000" w:usb2="00000016" w:usb3="00000000" w:csb0="0004000F" w:csb1="00000000"/>
  </w:font>
  <w:font w:name="方正小标宋简体">
    <w:altName w:val="微软雅黑"/>
    <w:panose1 w:val="02010601030101010101"/>
    <w:charset w:val="86"/>
    <w:family w:val="auto"/>
    <w:pitch w:val="default"/>
    <w:sig w:usb0="00000000" w:usb1="0000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4"/>
      </w:rPr>
    </w:pPr>
    <w:r>
      <w:fldChar w:fldCharType="begin"/>
    </w:r>
    <w:r>
      <w:rPr>
        <w:rStyle w:val="14"/>
      </w:rPr>
      <w:instrText xml:space="preserve">PAGE  </w:instrText>
    </w:r>
    <w:r>
      <w:fldChar w:fldCharType="separate"/>
    </w:r>
    <w:r>
      <w:rPr>
        <w:rStyle w:val="14"/>
      </w:rPr>
      <w:t>3</w:t>
    </w:r>
    <w:r>
      <w:fldChar w:fldCharType="end"/>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4"/>
      </w:rPr>
    </w:pPr>
    <w:r>
      <w:fldChar w:fldCharType="begin"/>
    </w:r>
    <w:r>
      <w:rPr>
        <w:rStyle w:val="14"/>
      </w:rPr>
      <w:instrText xml:space="preserve">PAGE  </w:instrText>
    </w:r>
    <w:r>
      <w:fldChar w:fldCharType="separate"/>
    </w:r>
    <w:r>
      <w:rPr>
        <w:rStyle w:val="14"/>
      </w:rPr>
      <w:t>5</w:t>
    </w:r>
    <w:r>
      <w:fldChar w:fldCharType="end"/>
    </w:r>
  </w:p>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4"/>
      </w:rPr>
    </w:pPr>
    <w:r>
      <w:fldChar w:fldCharType="begin"/>
    </w:r>
    <w:r>
      <w:rPr>
        <w:rStyle w:val="14"/>
      </w:rPr>
      <w:instrText xml:space="preserve">PAGE  </w:instrText>
    </w:r>
    <w:r>
      <w:fldChar w:fldCharType="separate"/>
    </w:r>
    <w:r>
      <w:rPr>
        <w:rStyle w:val="14"/>
      </w:rPr>
      <w:t>15</w:t>
    </w:r>
    <w: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373878974">
    <w:nsid w:val="8D7E84BE"/>
    <w:multiLevelType w:val="singleLevel"/>
    <w:tmpl w:val="8D7E84BE"/>
    <w:lvl w:ilvl="0" w:tentative="1">
      <w:start w:val="1"/>
      <w:numFmt w:val="chineseCounting"/>
      <w:suff w:val="nothing"/>
      <w:lvlText w:val="%1、"/>
      <w:lvlJc w:val="left"/>
      <w:rPr>
        <w:rFonts w:hint="eastAsia"/>
      </w:rPr>
    </w:lvl>
  </w:abstractNum>
  <w:abstractNum w:abstractNumId="1750817937">
    <w:nsid w:val="685B5C91"/>
    <w:multiLevelType w:val="singleLevel"/>
    <w:tmpl w:val="685B5C91"/>
    <w:lvl w:ilvl="0" w:tentative="1">
      <w:start w:val="5"/>
      <w:numFmt w:val="chineseCounting"/>
      <w:suff w:val="nothing"/>
      <w:lvlText w:val="%1、"/>
      <w:lvlJc w:val="left"/>
    </w:lvl>
  </w:abstractNum>
  <w:num w:numId="1">
    <w:abstractNumId w:val="2373878974"/>
  </w:num>
  <w:num w:numId="2">
    <w:abstractNumId w:val="17508179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1C0666E"/>
    <w:rsid w:val="02F120AB"/>
    <w:rsid w:val="032B5196"/>
    <w:rsid w:val="04C3537C"/>
    <w:rsid w:val="079004AC"/>
    <w:rsid w:val="0BA148CA"/>
    <w:rsid w:val="0C1165C4"/>
    <w:rsid w:val="0CD662CD"/>
    <w:rsid w:val="0D6D544B"/>
    <w:rsid w:val="0DD136FE"/>
    <w:rsid w:val="0F542F2C"/>
    <w:rsid w:val="0F8E2C57"/>
    <w:rsid w:val="1059665E"/>
    <w:rsid w:val="10AC13BA"/>
    <w:rsid w:val="145A6C1B"/>
    <w:rsid w:val="14B73493"/>
    <w:rsid w:val="167A2FF9"/>
    <w:rsid w:val="1764587C"/>
    <w:rsid w:val="18581C69"/>
    <w:rsid w:val="1AEC0734"/>
    <w:rsid w:val="1DEF20B0"/>
    <w:rsid w:val="1F5C0EB3"/>
    <w:rsid w:val="1FF7AB17"/>
    <w:rsid w:val="214243FA"/>
    <w:rsid w:val="21AD613C"/>
    <w:rsid w:val="22467189"/>
    <w:rsid w:val="257A14F5"/>
    <w:rsid w:val="27196C26"/>
    <w:rsid w:val="28180652"/>
    <w:rsid w:val="282B762A"/>
    <w:rsid w:val="29EF086F"/>
    <w:rsid w:val="2BC34C59"/>
    <w:rsid w:val="2EFFE297"/>
    <w:rsid w:val="301437CA"/>
    <w:rsid w:val="349D1F0A"/>
    <w:rsid w:val="34DD0473"/>
    <w:rsid w:val="3A8E35DC"/>
    <w:rsid w:val="3C58089A"/>
    <w:rsid w:val="3C684897"/>
    <w:rsid w:val="3F0B6E34"/>
    <w:rsid w:val="433E495C"/>
    <w:rsid w:val="489F2FD7"/>
    <w:rsid w:val="4AC27CB3"/>
    <w:rsid w:val="4BF72BEF"/>
    <w:rsid w:val="4FA90297"/>
    <w:rsid w:val="4FC41A43"/>
    <w:rsid w:val="51565463"/>
    <w:rsid w:val="51DB3C59"/>
    <w:rsid w:val="550C0952"/>
    <w:rsid w:val="55762E42"/>
    <w:rsid w:val="57A7B272"/>
    <w:rsid w:val="58470068"/>
    <w:rsid w:val="58747CAC"/>
    <w:rsid w:val="5A1720F9"/>
    <w:rsid w:val="5B9C37C2"/>
    <w:rsid w:val="5BA7C654"/>
    <w:rsid w:val="5DF716AE"/>
    <w:rsid w:val="5F9F507E"/>
    <w:rsid w:val="60A54109"/>
    <w:rsid w:val="61D01CDF"/>
    <w:rsid w:val="638C68A6"/>
    <w:rsid w:val="64C0607C"/>
    <w:rsid w:val="65756C86"/>
    <w:rsid w:val="674D385B"/>
    <w:rsid w:val="676F09E1"/>
    <w:rsid w:val="71691990"/>
    <w:rsid w:val="71793A80"/>
    <w:rsid w:val="723B447D"/>
    <w:rsid w:val="7357290B"/>
    <w:rsid w:val="756E3DEA"/>
    <w:rsid w:val="76FB1693"/>
    <w:rsid w:val="798524E4"/>
    <w:rsid w:val="7A7F1C49"/>
    <w:rsid w:val="7B5B7AE6"/>
    <w:rsid w:val="7B7B6628"/>
    <w:rsid w:val="7BA7071E"/>
    <w:rsid w:val="7BDF6DA8"/>
    <w:rsid w:val="7C7EDC1A"/>
    <w:rsid w:val="7CCED98D"/>
    <w:rsid w:val="7D08410F"/>
    <w:rsid w:val="7DB96DED"/>
    <w:rsid w:val="7DD3AD81"/>
    <w:rsid w:val="7DFFF77E"/>
    <w:rsid w:val="7F53A862"/>
    <w:rsid w:val="7F7FE70F"/>
    <w:rsid w:val="7FDF365A"/>
    <w:rsid w:val="7FEC8BC6"/>
    <w:rsid w:val="7FFF772F"/>
    <w:rsid w:val="95F35EF6"/>
    <w:rsid w:val="9BFFD860"/>
    <w:rsid w:val="A77B4E4D"/>
    <w:rsid w:val="AC5F73DE"/>
    <w:rsid w:val="B5DDD2C8"/>
    <w:rsid w:val="B9DFABD9"/>
    <w:rsid w:val="BC0D83FC"/>
    <w:rsid w:val="BF3BDEFB"/>
    <w:rsid w:val="BFB7A454"/>
    <w:rsid w:val="C75F6086"/>
    <w:rsid w:val="C7F7ED2D"/>
    <w:rsid w:val="CFAF854E"/>
    <w:rsid w:val="D8D7928E"/>
    <w:rsid w:val="D8FE3136"/>
    <w:rsid w:val="DDDE60B7"/>
    <w:rsid w:val="DE9F6A22"/>
    <w:rsid w:val="DF4FCE6A"/>
    <w:rsid w:val="DFD6CE7C"/>
    <w:rsid w:val="DFE93440"/>
    <w:rsid w:val="DFEF5C84"/>
    <w:rsid w:val="E4FED278"/>
    <w:rsid w:val="EDAA365C"/>
    <w:rsid w:val="EDADFC12"/>
    <w:rsid w:val="F2FD229B"/>
    <w:rsid w:val="F65F79E2"/>
    <w:rsid w:val="F776A00A"/>
    <w:rsid w:val="F7F709E9"/>
    <w:rsid w:val="F7FF3690"/>
    <w:rsid w:val="F9BD3900"/>
    <w:rsid w:val="FBF76749"/>
    <w:rsid w:val="FC8B9876"/>
    <w:rsid w:val="FCBFBAB5"/>
    <w:rsid w:val="FEDFF218"/>
    <w:rsid w:val="FEDFFFFF"/>
    <w:rsid w:val="FFBF8D1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2">
    <w:name w:val="Default Paragraph Font"/>
    <w:unhideWhenUsed/>
    <w:qFormat/>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ody Text Indent 2"/>
    <w:basedOn w:val="1"/>
    <w:next w:val="1"/>
    <w:uiPriority w:val="0"/>
    <w:pPr>
      <w:ind w:firstLine="600" w:firstLineChars="200"/>
    </w:pPr>
    <w:rPr>
      <w:rFonts w:eastAsia="仿宋_GB2312"/>
      <w:sz w:val="30"/>
    </w:rPr>
  </w:style>
  <w:style w:type="paragraph" w:styleId="7">
    <w:name w:val="Balloon Text"/>
    <w:basedOn w:val="1"/>
    <w:semiHidden/>
    <w:qFormat/>
    <w:uiPriority w:val="0"/>
    <w:rPr>
      <w:sz w:val="18"/>
      <w:szCs w:val="18"/>
    </w:rPr>
  </w:style>
  <w:style w:type="paragraph" w:styleId="8">
    <w:name w:val="footer"/>
    <w:basedOn w:val="1"/>
    <w:link w:val="16"/>
    <w:qFormat/>
    <w:uiPriority w:val="0"/>
    <w:pPr>
      <w:tabs>
        <w:tab w:val="center" w:pos="4153"/>
        <w:tab w:val="right" w:pos="8306"/>
      </w:tabs>
      <w:snapToGrid w:val="0"/>
      <w:jc w:val="left"/>
    </w:pPr>
    <w:rPr>
      <w:sz w:val="18"/>
      <w:szCs w:val="18"/>
    </w:rPr>
  </w:style>
  <w:style w:type="paragraph" w:styleId="9">
    <w:name w:val="header"/>
    <w:basedOn w:val="1"/>
    <w:link w:val="17"/>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10">
    <w:name w:val="toc 1"/>
    <w:basedOn w:val="1"/>
    <w:next w:val="1"/>
    <w:uiPriority w:val="0"/>
  </w:style>
  <w:style w:type="paragraph" w:styleId="11">
    <w:name w:val="Normal (Web)"/>
    <w:basedOn w:val="1"/>
    <w:unhideWhenUsed/>
    <w:qFormat/>
    <w:uiPriority w:val="0"/>
    <w:pPr>
      <w:spacing w:before="100" w:beforeAutospacing="1" w:after="100" w:afterAutospacing="1"/>
      <w:ind w:right="238"/>
      <w:jc w:val="left"/>
    </w:pPr>
    <w:rPr>
      <w:b/>
      <w:kern w:val="0"/>
      <w:sz w:val="24"/>
      <w:szCs w:val="20"/>
    </w:rPr>
  </w:style>
  <w:style w:type="character" w:styleId="13">
    <w:name w:val="Strong"/>
    <w:qFormat/>
    <w:uiPriority w:val="0"/>
    <w:rPr>
      <w:b/>
    </w:rPr>
  </w:style>
  <w:style w:type="character" w:styleId="14">
    <w:name w:val="page number"/>
    <w:qFormat/>
    <w:uiPriority w:val="0"/>
  </w:style>
  <w:style w:type="character" w:customStyle="1" w:styleId="16">
    <w:name w:val="页脚 Char"/>
    <w:link w:val="8"/>
    <w:qFormat/>
    <w:uiPriority w:val="0"/>
    <w:rPr>
      <w:rFonts w:eastAsia="宋体"/>
      <w:kern w:val="2"/>
      <w:sz w:val="18"/>
      <w:szCs w:val="18"/>
      <w:lang w:val="en-US" w:eastAsia="zh-CN" w:bidi="ar-SA"/>
    </w:rPr>
  </w:style>
  <w:style w:type="character" w:customStyle="1" w:styleId="17">
    <w:name w:val="页眉 Char"/>
    <w:link w:val="9"/>
    <w:qFormat/>
    <w:uiPriority w:val="0"/>
    <w:rPr>
      <w:rFonts w:ascii="Calibri" w:hAnsi="Calibri" w:eastAsia="宋体"/>
      <w:kern w:val="2"/>
      <w:sz w:val="18"/>
      <w:szCs w:val="18"/>
      <w:lang w:val="en-US" w:eastAsia="zh-CN" w:bidi="ar-SA"/>
    </w:rPr>
  </w:style>
  <w:style w:type="paragraph" w:customStyle="1" w:styleId="18">
    <w:name w:val="Char Char Char Char Char Char Char"/>
    <w:basedOn w:val="1"/>
    <w:qFormat/>
    <w:uiPriority w:val="0"/>
    <w:rPr>
      <w:rFonts w:ascii="Tahoma" w:hAnsi="Tahoma"/>
      <w:sz w:val="24"/>
      <w:szCs w:val="20"/>
    </w:rPr>
  </w:style>
  <w:style w:type="paragraph" w:customStyle="1" w:styleId="19">
    <w:name w:val="Char1 Char Char Char"/>
    <w:basedOn w:val="1"/>
    <w:qFormat/>
    <w:uiPriority w:val="0"/>
    <w:pPr>
      <w:widowControl/>
      <w:spacing w:after="160" w:line="240" w:lineRule="exact"/>
      <w:jc w:val="left"/>
    </w:pPr>
    <w:rPr>
      <w:szCs w:val="20"/>
    </w:rPr>
  </w:style>
  <w:style w:type="paragraph" w:customStyle="1" w:styleId="20">
    <w:name w:val="Char"/>
    <w:basedOn w:val="1"/>
    <w:qFormat/>
    <w:uiPriority w:val="0"/>
    <w:rPr>
      <w:rFonts w:ascii="Tahoma" w:hAnsi="Tahoma"/>
      <w:sz w:val="24"/>
      <w:szCs w:val="20"/>
    </w:rPr>
  </w:style>
  <w:style w:type="paragraph" w:customStyle="1" w:styleId="21">
    <w:name w:val="Char Char3 Char Char"/>
    <w:basedOn w:val="1"/>
    <w:qFormat/>
    <w:uiPriority w:val="0"/>
    <w:rPr>
      <w:szCs w:val="21"/>
    </w:rPr>
  </w:style>
  <w:style w:type="paragraph" w:customStyle="1" w:styleId="22">
    <w:name w:val="样式 小四"/>
    <w:qFormat/>
    <w:uiPriority w:val="0"/>
    <w:pPr>
      <w:widowControl w:val="0"/>
      <w:adjustRightInd w:val="0"/>
      <w:spacing w:line="360" w:lineRule="atLeast"/>
      <w:textAlignment w:val="baseline"/>
    </w:pPr>
    <w:rPr>
      <w:rFonts w:ascii="Calibri" w:hAnsi="Calibri" w:eastAsia="宋体" w:cs="Arial"/>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D:\&#24037;&#20316;&#36164;&#26009;\&#20915;&#31639;\2024\&#33609;&#26696;\&#37096;&#38376;\2024-055-&#21271;&#20140;&#24066;&#22823;&#20852;&#21306;&#20303;&#25151;&#21644;&#22478;&#20065;&#24314;&#35774;&#22996;&#21592;&#20250;&#20915;&#31639;&#33609;&#26696;&#25253;&#34920;.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D:\&#24037;&#20316;&#36164;&#26009;\&#20915;&#31639;\2024\&#33609;&#26696;\&#37096;&#38376;\2024-055-&#21271;&#20140;&#24066;&#22823;&#20852;&#21306;&#20303;&#25151;&#21644;&#22478;&#20065;&#24314;&#35774;&#22996;&#21592;&#20250;&#20915;&#31639;&#33609;&#26696;&#25253;&#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a:effectLst/>
          </c:spPr>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Lbl>
              <c:idx val="1"/>
              <c:layout>
                <c:manualLayout>
                  <c:x val="-0.0411912051210687"/>
                  <c:y val="0.141472104935318"/>
                </c:manualLayout>
              </c:layout>
              <c:numFmt formatCode="General" sourceLinked="1"/>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333982744224882"/>
                  <c:y val="0.21970768505422"/>
                </c:manualLayout>
              </c:layout>
              <c:numFmt formatCode="General" sourceLinked="1"/>
              <c:dLblPos val="bestFit"/>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horzOverflow="overflow" vert="horz" wrap="square" anchor="ctr" anchorCtr="1"/>
              <a:lstStyle/>
              <a:p>
                <a:pPr>
                  <a:defRPr sz="900" kern="120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noFill/>
                    <a:ln w="9525" cap="flat" cmpd="sng" algn="ctr">
                      <a:solidFill>
                        <a:schemeClr val="tx1">
                          <a:lumMod val="35000"/>
                          <a:lumOff val="65000"/>
                        </a:schemeClr>
                      </a:solidFill>
                      <a:round/>
                    </a:ln>
                    <a:effectLst/>
                  </c:spPr>
                </c15:leaderLines>
              </c:ext>
            </c:extLst>
          </c:dLbls>
          <c:cat>
            <c:strRef>
              <c:f>'[2024-055-北京市大兴区住房和城乡建设委员会决算草案报表.xlsx]C02收入决算表'!$P$12:$P$14</c:f>
              <c:strCache>
                <c:ptCount val="3"/>
                <c:pt idx="0">
                  <c:v>财政拨款收入</c:v>
                </c:pt>
                <c:pt idx="1">
                  <c:v>事业收入</c:v>
                </c:pt>
                <c:pt idx="2">
                  <c:v>其他收入</c:v>
                </c:pt>
              </c:strCache>
            </c:strRef>
          </c:cat>
          <c:val>
            <c:numRef>
              <c:f>'[2024-055-北京市大兴区住房和城乡建设委员会决算草案报表.xlsx]C02收入决算表'!$Q$12:$Q$14</c:f>
              <c:numCache>
                <c:formatCode>General</c:formatCode>
                <c:ptCount val="3"/>
                <c:pt idx="0" c:formatCode="General">
                  <c:v>328911.01</c:v>
                </c:pt>
                <c:pt idx="1" c:formatCode="General">
                  <c:v>267.59</c:v>
                </c:pt>
                <c:pt idx="2" c:formatCode="General">
                  <c:v>10.59</c:v>
                </c:pt>
              </c:numCache>
            </c:numRef>
          </c:val>
        </c:ser>
        <c:dLbls>
          <c:dLblPos val="bestFit"/>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horzOverflow="overflow" vert="horz" wrap="square" anchor="ctr" anchorCtr="1"/>
        <a:lstStyle/>
        <a:p>
          <a:pPr>
            <a:defRPr sz="900" kern="120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rot="0" spcFirstLastPara="0" vertOverflow="ellipsis" horzOverflow="overflow" vert="horz" wrap="square" anchor="ctr" anchorCtr="1"/>
    <a:lstStyle/>
    <a:p>
      <a:pPr>
        <a:defRPr lang="zh-CN" sz="900" kern="1200">
          <a:solidFill>
            <a:schemeClr val="tx1"/>
          </a:solidFill>
          <a:latin typeface="+mn-lt"/>
          <a:ea typeface="+mn-ea"/>
          <a:cs typeface="+mn-cs"/>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a:effectLst/>
          </c:spPr>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Lbl>
              <c:idx val="0"/>
              <c:layout>
                <c:manualLayout>
                  <c:x val="0.00971143174250832"/>
                  <c:y val="0.160018881283927"/>
                </c:manualLayout>
              </c:layout>
              <c:numFmt formatCode="General" sourceLinked="1"/>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253884572697003"/>
                  <c:y val="-0.193297144205806"/>
                </c:manualLayout>
              </c:layout>
              <c:numFmt formatCode="General" sourceLinked="1"/>
              <c:dLblPos val="bestFit"/>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horzOverflow="overflow" vert="horz" wrap="square" anchor="ctr" anchorCtr="1"/>
              <a:lstStyle/>
              <a:p>
                <a:pPr>
                  <a:defRPr sz="900" kern="120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noFill/>
                    <a:ln w="9525" cap="flat" cmpd="sng" algn="ctr">
                      <a:solidFill>
                        <a:schemeClr val="tx1">
                          <a:lumMod val="35000"/>
                          <a:lumOff val="65000"/>
                        </a:schemeClr>
                      </a:solidFill>
                      <a:round/>
                    </a:ln>
                    <a:effectLst/>
                  </c:spPr>
                </c15:leaderLines>
              </c:ext>
            </c:extLst>
          </c:dLbls>
          <c:cat>
            <c:strRef>
              <c:f>'[2024-055-北京市大兴区住房和城乡建设委员会决算草案报表.xlsx]C03支出决算表'!$K$11:$K$12</c:f>
              <c:strCache>
                <c:ptCount val="2"/>
                <c:pt idx="0">
                  <c:v>基本支出</c:v>
                </c:pt>
                <c:pt idx="1">
                  <c:v>项目支出</c:v>
                </c:pt>
              </c:strCache>
            </c:strRef>
          </c:cat>
          <c:val>
            <c:numRef>
              <c:f>'[2024-055-北京市大兴区住房和城乡建设委员会决算草案报表.xlsx]C03支出决算表'!$L$11:$L$12</c:f>
              <c:numCache>
                <c:formatCode>General</c:formatCode>
                <c:ptCount val="2"/>
                <c:pt idx="0" c:formatCode="General">
                  <c:v>12173.03</c:v>
                </c:pt>
                <c:pt idx="1" c:formatCode="General">
                  <c:v>320706.72</c:v>
                </c:pt>
              </c:numCache>
            </c:numRef>
          </c:val>
        </c:ser>
        <c:dLbls>
          <c:dLblPos val="bestFit"/>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horzOverflow="overflow" vert="horz" wrap="square" anchor="ctr" anchorCtr="1"/>
        <a:lstStyle/>
        <a:p>
          <a:pPr>
            <a:defRPr sz="900" kern="120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rot="0" spcFirstLastPara="0" vertOverflow="ellipsis" horzOverflow="overflow" vert="horz" wrap="square" anchor="ctr" anchorCtr="1"/>
    <a:lstStyle/>
    <a:p>
      <a:pPr>
        <a:defRPr lang="zh-CN" sz="900" kern="1200">
          <a:solidFill>
            <a:schemeClr val="tx1"/>
          </a:solidFill>
          <a:latin typeface="+mn-lt"/>
          <a:ea typeface="+mn-ea"/>
          <a:cs typeface="+mn-cs"/>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268</Words>
  <Characters>286</Characters>
  <Lines>44</Lines>
  <Paragraphs>12</Paragraphs>
  <ScaleCrop>false</ScaleCrop>
  <LinksUpToDate>false</LinksUpToDate>
  <CharactersWithSpaces>298</CharactersWithSpaces>
  <Application>WPS Office_10.1.0.5559_F1E327BC-269C-435d-A152-05C5408002CA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2017-07-13T07:16:00Z</dcterms:created>
  <dc:creator>常程</dc:creator>
  <cp:lastModifiedBy>Administrator</cp:lastModifiedBy>
  <cp:lastPrinted>2020-08-09T03:39:00Z</cp:lastPrinted>
  <dcterms:modified xsi:type="dcterms:W3CDTF">2025-09-23T08:17:03Z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y fmtid="{D5CDD505-2E9C-101B-9397-08002B2CF9AE}" pid="3" name="ICV">
    <vt:lpwstr>A7F78878FB63AC2F75B4B7682BD79272</vt:lpwstr>
  </property>
  <property fmtid="{D5CDD505-2E9C-101B-9397-08002B2CF9AE}" pid="4" name="KSOTemplateDocerSaveRecord">
    <vt:lpwstr>eyJoZGlkIjoiMjQwNjQzNTg4ZDE0ZTBiOGFjNjE4NDNkMzM5NWRjMzIiLCJ1c2VySWQiOiI4OTI4ODkxNzIifQ==</vt:lpwstr>
  </property>
</Properties>
</file>