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FD667">
      <w:pPr>
        <w:jc w:val="center"/>
        <w:rPr>
          <w:rFonts w:ascii="仿宋_GB2312" w:eastAsia="仿宋_GB2312"/>
          <w:b/>
          <w:sz w:val="32"/>
          <w:szCs w:val="32"/>
        </w:rPr>
      </w:pPr>
    </w:p>
    <w:p w14:paraId="576351E2">
      <w:pPr>
        <w:jc w:val="center"/>
        <w:rPr>
          <w:rFonts w:ascii="黑体" w:eastAsia="黑体"/>
          <w:sz w:val="72"/>
          <w:szCs w:val="72"/>
        </w:rPr>
      </w:pPr>
    </w:p>
    <w:p w14:paraId="67A07B9E">
      <w:pPr>
        <w:jc w:val="center"/>
        <w:rPr>
          <w:rFonts w:ascii="黑体" w:eastAsia="黑体"/>
          <w:sz w:val="72"/>
          <w:szCs w:val="72"/>
        </w:rPr>
      </w:pPr>
    </w:p>
    <w:p w14:paraId="0632B0CA">
      <w:pPr>
        <w:jc w:val="center"/>
        <w:rPr>
          <w:rFonts w:ascii="黑体" w:eastAsia="黑体"/>
          <w:sz w:val="72"/>
          <w:szCs w:val="72"/>
        </w:rPr>
      </w:pPr>
    </w:p>
    <w:p w14:paraId="6DC7FDD8">
      <w:pPr>
        <w:jc w:val="center"/>
        <w:rPr>
          <w:rFonts w:ascii="黑体" w:eastAsia="黑体"/>
          <w:sz w:val="72"/>
          <w:szCs w:val="72"/>
        </w:rPr>
      </w:pPr>
    </w:p>
    <w:p w14:paraId="1B7B5D98">
      <w:pPr>
        <w:jc w:val="center"/>
        <w:rPr>
          <w:rFonts w:hint="eastAsia"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bookmarkStart w:id="0" w:name="_GoBack"/>
      <w:bookmarkEnd w:id="0"/>
      <w:r>
        <w:rPr>
          <w:rFonts w:hint="eastAsia" w:ascii="黑体" w:eastAsia="黑体"/>
          <w:sz w:val="72"/>
          <w:szCs w:val="72"/>
        </w:rPr>
        <w:t>年度部门决算（</w:t>
      </w:r>
      <w:r>
        <w:rPr>
          <w:rFonts w:hint="eastAsia" w:ascii="黑体" w:eastAsia="黑体"/>
          <w:sz w:val="72"/>
          <w:szCs w:val="72"/>
          <w:lang w:val="en-US" w:eastAsia="zh-CN"/>
        </w:rPr>
        <w:t>公开</w:t>
      </w:r>
      <w:r>
        <w:rPr>
          <w:rFonts w:hint="eastAsia" w:ascii="黑体" w:eastAsia="黑体"/>
          <w:sz w:val="72"/>
          <w:szCs w:val="72"/>
        </w:rPr>
        <w:t>）</w:t>
      </w:r>
    </w:p>
    <w:p w14:paraId="7D3D36BE">
      <w:pPr>
        <w:jc w:val="center"/>
        <w:rPr>
          <w:rFonts w:ascii="黑体" w:eastAsia="黑体"/>
          <w:sz w:val="52"/>
          <w:szCs w:val="52"/>
        </w:rPr>
      </w:pPr>
    </w:p>
    <w:p w14:paraId="2C8A8596">
      <w:pPr>
        <w:jc w:val="center"/>
        <w:rPr>
          <w:rFonts w:ascii="黑体" w:eastAsia="黑体"/>
          <w:sz w:val="52"/>
          <w:szCs w:val="52"/>
        </w:rPr>
      </w:pPr>
    </w:p>
    <w:p w14:paraId="3A5E4E35">
      <w:pPr>
        <w:jc w:val="center"/>
        <w:rPr>
          <w:rFonts w:ascii="黑体" w:eastAsia="黑体"/>
          <w:sz w:val="52"/>
          <w:szCs w:val="52"/>
        </w:rPr>
      </w:pPr>
    </w:p>
    <w:p w14:paraId="124919CA">
      <w:pPr>
        <w:jc w:val="center"/>
        <w:rPr>
          <w:rFonts w:ascii="黑体" w:eastAsia="黑体"/>
          <w:sz w:val="52"/>
          <w:szCs w:val="52"/>
        </w:rPr>
      </w:pPr>
    </w:p>
    <w:p w14:paraId="5EA60475">
      <w:pPr>
        <w:jc w:val="center"/>
        <w:rPr>
          <w:rFonts w:ascii="黑体" w:eastAsia="黑体"/>
          <w:sz w:val="32"/>
          <w:szCs w:val="32"/>
        </w:rPr>
      </w:pPr>
    </w:p>
    <w:p w14:paraId="6BC5488B">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61A82A08">
      <w:pPr>
        <w:spacing w:line="500" w:lineRule="exact"/>
        <w:ind w:firstLine="645"/>
        <w:jc w:val="center"/>
        <w:rPr>
          <w:rFonts w:hint="eastAsia" w:ascii="宋体" w:hAnsi="宋体" w:cs="宋体"/>
          <w:b/>
          <w:bCs/>
          <w:kern w:val="0"/>
          <w:sz w:val="36"/>
          <w:szCs w:val="36"/>
        </w:rPr>
      </w:pPr>
    </w:p>
    <w:p w14:paraId="2DDD694A">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1506F929">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182811E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667E728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12E7B6FB">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5DEB2C8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6471230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4638F0C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3C1E72D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3740516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602DD89E">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2FBB68D5">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327A11A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0131333F">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2446FA7A">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63B4F587">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759FABFB">
      <w:pPr>
        <w:tabs>
          <w:tab w:val="center" w:pos="6979"/>
        </w:tabs>
        <w:spacing w:before="156" w:beforeLines="50" w:after="156" w:afterLines="50"/>
        <w:jc w:val="center"/>
        <w:rPr>
          <w:rFonts w:ascii="宋体" w:hAnsi="宋体" w:cs="宋体"/>
          <w:b/>
          <w:bCs/>
          <w:spacing w:val="40"/>
          <w:kern w:val="0"/>
          <w:sz w:val="32"/>
          <w:szCs w:val="32"/>
        </w:rPr>
      </w:pPr>
    </w:p>
    <w:p w14:paraId="07C6242E">
      <w:pPr>
        <w:tabs>
          <w:tab w:val="center" w:pos="6979"/>
        </w:tabs>
        <w:spacing w:before="156" w:beforeLines="50" w:after="156" w:afterLines="50"/>
        <w:jc w:val="center"/>
        <w:rPr>
          <w:rFonts w:ascii="宋体" w:hAnsi="宋体" w:cs="宋体"/>
          <w:b/>
          <w:bCs/>
          <w:spacing w:val="40"/>
          <w:kern w:val="0"/>
          <w:sz w:val="32"/>
          <w:szCs w:val="32"/>
        </w:rPr>
      </w:pPr>
    </w:p>
    <w:p w14:paraId="11C8B0B4">
      <w:pPr>
        <w:tabs>
          <w:tab w:val="center" w:pos="6979"/>
        </w:tabs>
        <w:spacing w:before="156" w:beforeLines="50" w:after="156" w:afterLines="50"/>
        <w:jc w:val="center"/>
        <w:rPr>
          <w:rFonts w:ascii="宋体" w:hAnsi="宋体" w:cs="宋体"/>
          <w:b/>
          <w:bCs/>
          <w:spacing w:val="40"/>
          <w:kern w:val="0"/>
          <w:sz w:val="32"/>
          <w:szCs w:val="32"/>
        </w:rPr>
      </w:pPr>
    </w:p>
    <w:p w14:paraId="3966A746">
      <w:pPr>
        <w:tabs>
          <w:tab w:val="center" w:pos="6979"/>
        </w:tabs>
        <w:spacing w:before="156" w:beforeLines="50" w:after="156" w:afterLines="50"/>
        <w:jc w:val="center"/>
        <w:rPr>
          <w:rFonts w:ascii="宋体" w:hAnsi="宋体" w:cs="宋体"/>
          <w:b/>
          <w:bCs/>
          <w:spacing w:val="40"/>
          <w:kern w:val="0"/>
          <w:sz w:val="32"/>
          <w:szCs w:val="32"/>
        </w:rPr>
      </w:pPr>
    </w:p>
    <w:p w14:paraId="389FA01F">
      <w:pPr>
        <w:tabs>
          <w:tab w:val="center" w:pos="6979"/>
        </w:tabs>
        <w:spacing w:before="156" w:beforeLines="50" w:after="156" w:afterLines="50"/>
        <w:jc w:val="center"/>
        <w:rPr>
          <w:rFonts w:ascii="宋体" w:hAnsi="宋体" w:cs="宋体"/>
          <w:b/>
          <w:bCs/>
          <w:spacing w:val="40"/>
          <w:kern w:val="0"/>
          <w:sz w:val="32"/>
          <w:szCs w:val="32"/>
        </w:rPr>
      </w:pPr>
    </w:p>
    <w:p w14:paraId="4B09241E">
      <w:pPr>
        <w:tabs>
          <w:tab w:val="center" w:pos="6979"/>
        </w:tabs>
        <w:spacing w:before="156" w:beforeLines="50" w:after="156" w:afterLines="50"/>
        <w:jc w:val="center"/>
        <w:rPr>
          <w:rFonts w:hint="eastAsia" w:ascii="宋体" w:hAnsi="宋体" w:cs="宋体"/>
          <w:b/>
          <w:bCs/>
          <w:spacing w:val="40"/>
          <w:kern w:val="0"/>
          <w:sz w:val="44"/>
          <w:szCs w:val="44"/>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1C10C41C">
      <w:pPr>
        <w:pStyle w:val="5"/>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033ACC40">
      <w:pPr>
        <w:tabs>
          <w:tab w:val="center" w:pos="6979"/>
        </w:tabs>
        <w:spacing w:before="156" w:beforeLines="50" w:after="156" w:afterLines="50"/>
        <w:jc w:val="center"/>
        <w:rPr>
          <w:rFonts w:hint="eastAsia" w:ascii="宋体" w:hAnsi="宋体" w:cs="宋体"/>
          <w:b/>
          <w:bCs/>
          <w:spacing w:val="40"/>
          <w:kern w:val="0"/>
          <w:sz w:val="32"/>
          <w:szCs w:val="32"/>
        </w:rPr>
      </w:pPr>
      <w:r>
        <w:rPr>
          <w:rFonts w:hint="eastAsia" w:ascii="宋体" w:hAnsi="宋体" w:cs="宋体"/>
          <w:b/>
          <w:bCs/>
          <w:spacing w:val="40"/>
          <w:kern w:val="0"/>
          <w:sz w:val="32"/>
          <w:szCs w:val="32"/>
        </w:rPr>
        <w:t>第二部分 202</w:t>
      </w:r>
      <w:r>
        <w:rPr>
          <w:rFonts w:hint="eastAsia" w:ascii="宋体" w:hAnsi="宋体" w:cs="宋体"/>
          <w:b/>
          <w:bCs/>
          <w:spacing w:val="40"/>
          <w:kern w:val="0"/>
          <w:sz w:val="32"/>
          <w:szCs w:val="32"/>
          <w:lang w:val="en-US" w:eastAsia="zh-CN"/>
        </w:rPr>
        <w:t>4</w:t>
      </w:r>
      <w:r>
        <w:rPr>
          <w:rFonts w:hint="eastAsia" w:ascii="宋体" w:hAnsi="宋体" w:cs="宋体"/>
          <w:b/>
          <w:bCs/>
          <w:spacing w:val="40"/>
          <w:kern w:val="0"/>
          <w:sz w:val="32"/>
          <w:szCs w:val="32"/>
        </w:rPr>
        <w:t>年度部门决算说明</w:t>
      </w:r>
    </w:p>
    <w:p w14:paraId="6F4150F6">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w:t>
      </w:r>
      <w:r>
        <w:rPr>
          <w:rFonts w:hint="eastAsia" w:ascii="黑体" w:eastAsia="黑体"/>
          <w:b/>
          <w:sz w:val="28"/>
          <w:szCs w:val="28"/>
          <w:lang w:val="en-US" w:eastAsia="zh-CN"/>
        </w:rPr>
        <w:t>部门</w:t>
      </w:r>
      <w:r>
        <w:rPr>
          <w:rFonts w:hint="eastAsia" w:ascii="黑体" w:eastAsia="黑体"/>
          <w:b/>
          <w:sz w:val="28"/>
          <w:szCs w:val="28"/>
        </w:rPr>
        <w:t>基本情况</w:t>
      </w:r>
    </w:p>
    <w:p w14:paraId="3E698086">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（一）单位主要职能：</w:t>
      </w:r>
    </w:p>
    <w:p w14:paraId="103558D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负责建立健全本区生态环境基本制度。贯彻落实国家和市、区关于生态环境方面的法律法规、规章和政策。会同有关部门拟定本区生态环境政策、规划、措施并组织实施，会同有关部门编制并监督实施重点区域、流域、饮用水源地生态环境规划和水功能区划。按照地方污染物排放标准和生态环境质量标准，执行生态环境技术政策。</w:t>
      </w:r>
    </w:p>
    <w:p w14:paraId="2B368C46">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负责本区重大环境问题的统筹协调和监督管理。牵头组织协调重大环境污染事故和生态破坏事件的调查处理，参与突发环境事件的应急处置和预警工作。牵头指导实施生态环境损害赔偿制度。统筹协调重点区域、流域的生态环境保护工作。承担大兴区空气重污染应急指挥部的具体工作。</w:t>
      </w:r>
    </w:p>
    <w:p w14:paraId="7DF9531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负责监督管理本区污染减排目标的落实。组织制定主要污染物排放总量控制计划并监督实施，负责排污许可证核发、监督和管理。监督检查本区有关部门和单位污染物减排任务完成情况，实施生态环境目标责任制。</w:t>
      </w:r>
    </w:p>
    <w:p w14:paraId="47D2675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4.负责提出本区生态环境领域固定资产投资方向、规模建议，参与提出生态环境项目财政性资金安排的意见，配合有关部门做好组织实施和监督工作。</w:t>
      </w:r>
    </w:p>
    <w:p w14:paraId="1B162F7A">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5.负责本区环境污染防治的监督管理。负责制定本区大气、水、土壤、噪声、光、恶臭、固体废物、化学品、机动车等的污染防治管理制度并监督实施。会同有关部门监督管理引用水源地生态环境保护工作。组织指导本区生态环境综合整治工作。监督指导农业面源污染治理工作。</w:t>
      </w:r>
    </w:p>
    <w:p w14:paraId="4DC4A55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6.指导协调和监督本区生态保护修复工作。组织编制本区生态保护规划。监督对生态环境有影响的自然资源开发利用活动、重要生态环境建设和生态破坏恢复工作。组织制定本区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2E3ADDD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7.负责本区辐射安全的监督管理。按照辐射安全相关政策、规划、标准监督实施。参与辐射环境事故应急响应，参与核事故应急处理。监督管理核技术利用、电磁辐射、伴有放射性矿产资源开发利用中的污染防治。对废弃的放射源、放射性废物处置进行监督管理。参与核安全管理工作。</w:t>
      </w:r>
    </w:p>
    <w:p w14:paraId="5DFA99B2">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8.负责本区生态环境准入的监督管理。受区政府委托，对本区重大经济和技术政策、发展规划以及重大经济开发计划进行环境影响评价。按国家、市和区规定审批或审查重大开发建设区城、规划、项目环境影响评价文件。拟订本区生态环境准入清单，并组织实施。</w:t>
      </w:r>
    </w:p>
    <w:p w14:paraId="1D0DCCE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9.负责本区生态环境监测和信息发布工作。按照市级生态环境监测制度、规范和相关标准监督实施。配合市有关部门做好本区生态环境监测网建设和管理。会同有关部门统一规划生态环境质量监测站点设置，组织实施污染源监督性监测、温室气体减排监测、应急监测。组织对生态环境质量状况进行调查评价、预警监测。建立和实行生态环境质量公告制度，统一发布生态环境状况公报和重大生态环境信息。</w:t>
      </w:r>
    </w:p>
    <w:p w14:paraId="18261C8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10.开展本区应对气候变化工作。负责应对气候变化工作的综合协调。组织拟订应对气候变化和温室气体减排的规划和政策措施，并协调实施。组织落实清洁发展机制等相关工作。</w:t>
      </w:r>
    </w:p>
    <w:p w14:paraId="0D0ED59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11.配合做好本市生态环境保护督察工作。组织协调中央、市级环境保护督察工作。根据授权对区委区政府贯彻落实生态环境保护决策部署情况进行督促检查，牵头负责督促相关部门关于中央、市级生态环境保护督察反馈情况的整改落实。</w:t>
      </w:r>
    </w:p>
    <w:p w14:paraId="3106611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12.组织指导和协调本区生态环境保护宣传教育工作制定本区生态环境保护宣传教育方案，并组织实施。组织开展生态环境保护新闻宣传和生态文明建设宣传教育工作，推动社会组织和公众参与生态环境保护。</w:t>
      </w:r>
    </w:p>
    <w:p w14:paraId="1D2B1B8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13.开展本区生态环境科技工作。组织开展生态环境领域重点科学研究和技术工程示范。推动生态环境保护科研成果和技术应用。参与指导推动循环经济和生态环保产业发展。</w:t>
      </w:r>
    </w:p>
    <w:p w14:paraId="7457386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14.负责组织开展生态环境监督执法。</w:t>
      </w:r>
    </w:p>
    <w:p w14:paraId="3FF10F0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15.负责指导、监督检查本区生态环境工作。</w:t>
      </w:r>
    </w:p>
    <w:p w14:paraId="4A270DD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16.完成市生态环境局和区委区政府交办的其他任务。</w:t>
      </w:r>
    </w:p>
    <w:p w14:paraId="2DFED1B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17.职能转变。区生态环境局要统一行使生态和城乡各类污染排放监管与行政执法职责，切实履行监管责任，全面落实大气、水、土壤污染防治行动计划，构建政府为主导、企业为主体、社会组织和公众共同参与的生态环境治理体系，实行最严格的生态环境保护制度，严守生态保护红线和环境质量底线，坚决打好污染防治攻坚战，保障区域生态安全，为建设美丽中国贡献力量。</w:t>
      </w:r>
    </w:p>
    <w:p w14:paraId="7974FDB4">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18.与区水务局有关职责分工。</w:t>
      </w:r>
    </w:p>
    <w:p w14:paraId="414AE2BE">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区生态环境局依法加强对水污染防治的统一监督管理，强化对本区城镇污水处理设施的出水水质和直排地表水水体单位的监督检查职责。负责划定水功能区，制定水污染防治管理制度并组织实施。负责饮用水水源地生态环境保护监督管理。负责排污口的监督管理。监督防止地下水污染。统筹协调流域水环境保护工作，牵头组织协调重大水污染事故和水生态破坏事件的调查处理。</w:t>
      </w:r>
    </w:p>
    <w:p w14:paraId="642088AC">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区水务局负责制定水资源保护规划。依法指导监督饮用水水源保护和水生态保护工作。组织开展地下水资源保护、水土流失防治和水生态修复。组织实施地下水监测工作。组织建设城乡污水处理和再生水设施，推进城镇雨污分流工程建设，完善污水收集系统。依法加强对城镇排水与污水处理设施运营情况监督管理和绩效考核以及向城镇排水设施排放污水情况的监督管理。统筹河湖生态用水流量水量。</w:t>
      </w:r>
    </w:p>
    <w:p w14:paraId="7CD740D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（3）两部门要建立健全水污染防治协调机制，加强工作衔接，形成监管合力。</w:t>
      </w:r>
    </w:p>
    <w:p w14:paraId="57D3D45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（二）机构设置情况</w:t>
      </w:r>
    </w:p>
    <w:p w14:paraId="20129B0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现有行政机关1个，行政执法单位1个，全额拨款事业单位4个。其中行政机关下设4 个科室：办公室（党建工作科）、行政审批科、生态管理科、生态建设科（法宣科）。行政执法单位即北京市大兴区生态环境综合执法大队；4个全额拨款事业单位分别是北京市大兴区环境保护监测站、北京市大兴区污染源防治事务中心、北京市大兴区生态环境督查事务中心、北京市大兴区生态环境科技应用事务中心。</w:t>
      </w:r>
    </w:p>
    <w:p w14:paraId="44CBC380">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二、收入支出决算总体情况说明</w:t>
      </w:r>
    </w:p>
    <w:p w14:paraId="7AEE6D8B">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2024年度收、支总计18586.43万元，比上年增加235.93万元，增长1.29%。</w:t>
      </w:r>
    </w:p>
    <w:p w14:paraId="10DF611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（一）收入决算说明</w:t>
      </w:r>
      <w:r>
        <w:rPr>
          <w:rFonts w:hint="eastAsia" w:ascii="仿宋_GB2312" w:hAnsi="Times New Roman" w:eastAsia="仿宋_GB2312" w:cs="Times New Roman"/>
          <w:sz w:val="28"/>
          <w:szCs w:val="28"/>
          <w:highlight w:val="none"/>
          <w:lang w:val="en-US" w:eastAsia="zh-CN"/>
        </w:rPr>
        <w:tab/>
      </w:r>
    </w:p>
    <w:p w14:paraId="7DA26DE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2024年度本年收入合计18123.74万元，比上年减少226.76万元，下降1.24%。</w:t>
      </w:r>
    </w:p>
    <w:p w14:paraId="6FB32ABC">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财政拨款收入18121.74万元，占收入合计的99.99%。其中：一般公共预算财政拨款收入17954.39万元，占收入合计的99.07%；政府性基金预算财政拨款收入167.35万元，占收入合计的0.92%；国有资本经营预算财政拨款收入0.00万元，占收入合计的0.00%；</w:t>
      </w:r>
    </w:p>
    <w:p w14:paraId="7508F70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2.上级补助收入0.00万元，占收入合计的0.00%；</w:t>
      </w:r>
    </w:p>
    <w:p w14:paraId="535240F6">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3.事业收入0.00万元，占收入合计的0.00%；</w:t>
      </w:r>
    </w:p>
    <w:p w14:paraId="66D4D77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4.经营收入0.00万元，占收入合计的0.00%；</w:t>
      </w:r>
    </w:p>
    <w:p w14:paraId="7E280E44">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5.附属单位上缴收入0.00万元，占收入合计的0.00%；</w:t>
      </w:r>
    </w:p>
    <w:p w14:paraId="1888EA5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6.其他收入2.00万元，占收入合计的0.01%。</w:t>
      </w:r>
    </w:p>
    <w:p w14:paraId="3C513A29">
      <w:pPr>
        <w:pStyle w:val="5"/>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图1：收入决算</w:t>
      </w:r>
    </w:p>
    <w:p w14:paraId="34B9CB57">
      <w:pPr>
        <w:pStyle w:val="6"/>
        <w:tabs>
          <w:tab w:val="left" w:pos="1680"/>
          <w:tab w:val="left" w:pos="2730"/>
        </w:tabs>
        <w:ind w:firstLine="420"/>
        <w:jc w:val="center"/>
      </w:pPr>
      <w:r>
        <w:drawing>
          <wp:inline distT="0" distB="0" distL="0" distR="0">
            <wp:extent cx="4034155" cy="2339340"/>
            <wp:effectExtent l="0" t="0" r="4445" b="762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EC5D4A">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（二）支出决算说明</w:t>
      </w:r>
    </w:p>
    <w:p w14:paraId="40648C8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本年支出合计18586.43万元，比上年增加235.93万元，增长1.29%，其中：基本支出6337.54万元，占支出合计的34.10%；项目支出12248.89万元，占支出合计的65.90%;上缴上级支出0.00万元，占支出合计的0.00%；经营支出0.00万元，占支出合计的0.00%；对附属单位补助支出0.00万元，占支出合计的0.00%。</w:t>
      </w:r>
    </w:p>
    <w:p w14:paraId="25260D32">
      <w:pPr>
        <w:pStyle w:val="5"/>
        <w:ind w:firstLine="642"/>
        <w:jc w:val="center"/>
        <w:rPr>
          <w:rFonts w:ascii="黑体" w:eastAsia="黑体"/>
          <w:b/>
          <w:sz w:val="28"/>
          <w:szCs w:val="28"/>
        </w:rPr>
      </w:pPr>
      <w:r>
        <w:rPr>
          <w:rFonts w:hint="eastAsia" w:ascii="仿宋_GB2312" w:eastAsia="仿宋_GB2312"/>
          <w:color w:val="000000"/>
          <w:sz w:val="32"/>
          <w:szCs w:val="32"/>
          <w:highlight w:val="none"/>
          <w:lang w:val="en-US" w:eastAsia="zh-CN"/>
        </w:rPr>
        <w:t>图2：基本支出和项目支出情况</w:t>
      </w:r>
    </w:p>
    <w:p w14:paraId="22829A96">
      <w:pPr>
        <w:tabs>
          <w:tab w:val="left" w:pos="1470"/>
          <w:tab w:val="center" w:pos="6979"/>
        </w:tabs>
        <w:spacing w:line="580" w:lineRule="exact"/>
        <w:ind w:firstLine="548" w:firstLineChars="196"/>
        <w:rPr>
          <w:rFonts w:hint="eastAsia" w:ascii="黑体" w:eastAsia="黑体"/>
          <w:b/>
          <w:sz w:val="28"/>
          <w:szCs w:val="28"/>
        </w:rPr>
      </w:pPr>
      <w:r>
        <w:rPr>
          <w:rFonts w:hint="eastAsia" w:ascii="黑体" w:hAnsi="Times New Roman" w:eastAsia="黑体" w:cs="Times New Roman"/>
          <w:sz w:val="28"/>
          <w:szCs w:val="28"/>
          <w:lang w:eastAsia="zh-CN"/>
        </w:rPr>
        <w:drawing>
          <wp:anchor distT="0" distB="0" distL="114300" distR="114300" simplePos="0" relativeHeight="251659264" behindDoc="0" locked="0" layoutInCell="1" allowOverlap="1">
            <wp:simplePos x="0" y="0"/>
            <wp:positionH relativeFrom="column">
              <wp:posOffset>2752090</wp:posOffset>
            </wp:positionH>
            <wp:positionV relativeFrom="paragraph">
              <wp:posOffset>23495</wp:posOffset>
            </wp:positionV>
            <wp:extent cx="4035425" cy="2339975"/>
            <wp:effectExtent l="0" t="0" r="3175" b="698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648C0E0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2024年度财政拨款收、支总计18584.43万元，比上年增加233.93万元，增长1.27%。主要原因：单位人员变动、业务需求变动。</w:t>
      </w:r>
    </w:p>
    <w:p w14:paraId="2440887E">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107F5E5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（一）一般公共预算财政拨款支出决算总体情况</w:t>
      </w:r>
    </w:p>
    <w:p w14:paraId="21B272E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一般公共预算财政拨款支出18417.09万元，主要用于以下方面（按大类）：一般公共服务支出4.83万元，占本年财政拨款支出0.03%；教育支出17.49万元，占本年财政拨款支出0.09%；社会保障和就业支出669.48万元，占本年财政拨款支出3.64%；卫生健康支出503.61万元，占本年财政拨款支出2.73%;节能环保支出16,758.99万元，占本年财政拨款支出91.00%;住房保障支出462.69万元，占本年财政拨款支出2.51%。</w:t>
      </w:r>
    </w:p>
    <w:p w14:paraId="38C96F0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（二）一般公共预算财政拨款支出决算具体情况</w:t>
      </w:r>
    </w:p>
    <w:p w14:paraId="599CF82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default"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1、“一般公共服务支出”（类）2024年度年初预算4.86万元，2024年度决算4.83万元，完成年初预算的99.29%。其中：</w:t>
      </w:r>
    </w:p>
    <w:p w14:paraId="0E60DB2B">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“其他一般公共服务支出”（款）2024年度年初预算4.86万元，2024年度决算4.83万元，完成年初预算的99.29%。主要原因：单位人员变动。</w:t>
      </w:r>
    </w:p>
    <w:p w14:paraId="37D8D942">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2、“教育支出”(类)2024年度年初预算27.60万元，2024年度决算17.49万元，完成年初预算的63.37%。其中：</w:t>
      </w:r>
    </w:p>
    <w:p w14:paraId="38669D8A">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“进修及培训”（款)2024年度年初预算27.60万元，2024年度决算17.49万元，完成年初预算的63.37%。主要原因：减少线下培训。</w:t>
      </w:r>
    </w:p>
    <w:p w14:paraId="490034FE">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3、“社会保障和就业支出”(类)2024年度年初预算587.90万元，2024年度决算669.48万元，完成年初预算的113.88%。其中：</w:t>
      </w:r>
    </w:p>
    <w:p w14:paraId="6A8E58F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“行政事业单位养老支出”（款）2024年度年初预算587.90万元，2024年度决算669.48万元，完成年初预算的113.88%。主要原因：增人增资。</w:t>
      </w:r>
    </w:p>
    <w:p w14:paraId="1763ADC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4、“卫生健康支出”(类)2024年度年初预算499.94万元，2024年度决算503.61万元，完成年初预算的100.74%。其中：</w:t>
      </w:r>
    </w:p>
    <w:p w14:paraId="7DDDD0A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“行政事业单位医疗”（款）2024年度年初预算499.94万元，2024年度决算503.61万元，完成年初预算100.74%。主要原因：基数调整。</w:t>
      </w:r>
    </w:p>
    <w:p w14:paraId="03ECBC7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5、“节能环保支出”(类)2024年度年初预算24088.09万元，2024年度决算16758.99万元，完成年初预算的69.57%。其中：</w:t>
      </w:r>
    </w:p>
    <w:p w14:paraId="35D799B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“环境保护管理事务”（款）2024年度年初预算7401.83万元，2024年度决算6717.95万元，完成年初预算的90.76%。主要原因：项目调整。</w:t>
      </w:r>
    </w:p>
    <w:p w14:paraId="0D1D515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“环境监测与监察”（款）2024年度年初预算33.20万元，2024年度决算32.08万元，完成年初预算的96.61%。主要原因：项目调整。</w:t>
      </w:r>
    </w:p>
    <w:p w14:paraId="773A5056">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“污染防治”（款）2024年度年初预算16557.81万元，2024年度决算10008.96万元，完成年初预算的60.45%。主要原因：污染防治专项资金调整。</w:t>
      </w:r>
    </w:p>
    <w:p w14:paraId="5652E6A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“自然生态保护”（款）2024年度年初预算95.25万元，2024年度决算0.00万元。主要原因：项目调整。</w:t>
      </w:r>
    </w:p>
    <w:p w14:paraId="336CA39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6、“住房保障支出”(类)2024年度年初预算0.00万元，2024年度决算462.69万元。其中：</w:t>
      </w:r>
    </w:p>
    <w:p w14:paraId="76BFDAD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“住房改革支出”（款）2024年度年初预算0.00万元，2024年度决算462.69万元。主要为归集调入住房补贴资金。</w:t>
      </w:r>
    </w:p>
    <w:p w14:paraId="0E1DA65B">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73B2B20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（一）政府性基金预算财政拨款支出决算总体情况</w:t>
      </w:r>
    </w:p>
    <w:p w14:paraId="1F320804">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2024年度政府性基金预算财政拨款支出167.35万元，主要用于以下方面（按大类）：城乡社区支出154.00万元，占本年财政拨款支出92.03%；资源勘探工业信息等支出13.35万元，占本年财政拨款支出7.97%。</w:t>
      </w:r>
    </w:p>
    <w:p w14:paraId="5AE8FAD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（二）政府性基金预算财政拨款支出决算具体情况</w:t>
      </w:r>
    </w:p>
    <w:p w14:paraId="70E36E2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1、“城乡社区支出”（类）2024年度年初预算0.00万元，2024年度决算154.00万元。其中：</w:t>
      </w:r>
    </w:p>
    <w:p w14:paraId="1A0AD21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“国有土地使用权出让收入安排的支出”（款）2024年度年初预算0.00万元，2024年度决算154.00万元。主要原因：项目调整。</w:t>
      </w:r>
    </w:p>
    <w:p w14:paraId="27456EF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2、“资源勘探工业信息等支出”（类）2024年度年初预算0.00万元，2024年度决算13.35万元。其中：</w:t>
      </w:r>
    </w:p>
    <w:p w14:paraId="03537DB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“超长期特别国债安排的支出”（款）2024年度年初预算0.00万元，2024年度决算13.35万元。主要原因：项目调整。</w:t>
      </w:r>
    </w:p>
    <w:p w14:paraId="238041DF">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10A45ED6">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本单位2024年度无国有资本经营预算财政拨款收支相关内容。</w:t>
      </w:r>
    </w:p>
    <w:p w14:paraId="127A7354">
      <w:pPr>
        <w:tabs>
          <w:tab w:val="left" w:pos="9588"/>
        </w:tabs>
        <w:spacing w:line="580" w:lineRule="exact"/>
        <w:ind w:firstLine="548" w:firstLineChars="196"/>
        <w:rPr>
          <w:rFonts w:hint="eastAsia" w:ascii="黑体" w:eastAsia="黑体"/>
          <w:sz w:val="28"/>
          <w:szCs w:val="28"/>
          <w:lang w:eastAsia="zh-CN"/>
        </w:rPr>
      </w:pPr>
      <w:r>
        <w:rPr>
          <w:rFonts w:hint="eastAsia" w:ascii="黑体" w:eastAsia="黑体"/>
          <w:b/>
          <w:sz w:val="28"/>
          <w:szCs w:val="28"/>
        </w:rPr>
        <w:t>七、财政拨款基本支出决算情况说明</w:t>
      </w:r>
      <w:r>
        <w:rPr>
          <w:rFonts w:hint="eastAsia" w:ascii="黑体" w:eastAsia="黑体"/>
          <w:b/>
          <w:sz w:val="28"/>
          <w:szCs w:val="28"/>
          <w:lang w:eastAsia="zh-CN"/>
        </w:rPr>
        <w:tab/>
      </w:r>
    </w:p>
    <w:p w14:paraId="0659276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ascii="仿宋_GB2312" w:hAnsi="Times New Roman" w:eastAsia="仿宋_GB2312" w:cs="Times New Roman"/>
          <w:sz w:val="28"/>
          <w:szCs w:val="28"/>
          <w:highlight w:val="none"/>
          <w:lang w:val="en-US" w:eastAsia="zh-CN"/>
        </w:rPr>
        <w:t>2024年度使用一般公共预算财政拨款安排基本支出6337.54万元，使用政府性基金财政拨款安排基本支出0.00万元，（1）工资福利支出包括基本工资、津贴补贴、奖金、绩效工资、机关事业单位基本养老保险缴费、职业年金缴费、职工基本医疗保险缴费、公务员医疗补助缴费、其他社会保障缴费、住房公积金等支出；（2）商品和服务支出包括办公费、水费、电费、邮电费、取暖费、差旅费、维修（护）费、培训费、委托业务费、工会经费、福利费、公务用车运行维护费、其他交通费用、其他商品和服务支出等支出；（3）对个人和家庭的补助包括退休费、奖励金等支出。</w:t>
      </w:r>
    </w:p>
    <w:p w14:paraId="2C736993">
      <w:pPr>
        <w:pStyle w:val="2"/>
        <w:ind w:left="0" w:leftChars="0" w:firstLine="0" w:firstLineChars="0"/>
        <w:rPr>
          <w:rFonts w:hint="eastAsia" w:ascii="宋体" w:hAnsi="宋体" w:cs="宋体"/>
          <w:b/>
          <w:bCs/>
          <w:spacing w:val="40"/>
          <w:kern w:val="0"/>
          <w:sz w:val="32"/>
          <w:szCs w:val="32"/>
        </w:rPr>
        <w:sectPr>
          <w:footerReference r:id="rId4" w:type="default"/>
          <w:pgSz w:w="16838" w:h="11906" w:orient="landscape"/>
          <w:pgMar w:top="1134" w:right="1134" w:bottom="1134" w:left="1134" w:header="851" w:footer="992" w:gutter="0"/>
          <w:cols w:space="720" w:num="1"/>
          <w:docGrid w:type="linesAndChars" w:linePitch="312" w:charSpace="0"/>
        </w:sectPr>
      </w:pPr>
    </w:p>
    <w:p w14:paraId="382915DA">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第三部分202</w:t>
      </w:r>
      <w:r>
        <w:rPr>
          <w:rFonts w:hint="eastAsia" w:ascii="宋体" w:hAnsi="宋体" w:cs="宋体"/>
          <w:b/>
          <w:bCs/>
          <w:spacing w:val="40"/>
          <w:kern w:val="0"/>
          <w:sz w:val="32"/>
          <w:szCs w:val="32"/>
          <w:lang w:val="en-US" w:eastAsia="zh-CN"/>
        </w:rPr>
        <w:t>4</w:t>
      </w:r>
      <w:r>
        <w:rPr>
          <w:rFonts w:hint="eastAsia" w:ascii="宋体" w:hAnsi="宋体" w:cs="宋体"/>
          <w:b/>
          <w:bCs/>
          <w:spacing w:val="40"/>
          <w:kern w:val="0"/>
          <w:sz w:val="32"/>
          <w:szCs w:val="32"/>
        </w:rPr>
        <w:t>年度其他重要事项的情况说明</w:t>
      </w:r>
    </w:p>
    <w:p w14:paraId="58ECC54B">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2DA3E23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2024年度“三公”经费财政拨款决算数5.04万元，比2024年度“三公”经费财政拨款年初预算9.00万元减少3.96万元。其中：</w:t>
      </w:r>
    </w:p>
    <w:p w14:paraId="4A925C1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因公出国（境）费用。2024年度决算数0.57万元，比2024年度年初预算数0.00万元增加0.57万元。主要原因：出国需求增加；；2024年度因公出国（境）费用主要用于“高级水循环管理”短期专题学习方面，2024年度组织因公出国（境）团组1个、1人次。</w:t>
      </w:r>
    </w:p>
    <w:p w14:paraId="312FDAB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2.公务接待费。2024年度决算数0.00万元，比2024年度年初预算数0.00万元持平。主要原因：单位未发生公务接待。</w:t>
      </w:r>
    </w:p>
    <w:p w14:paraId="48F3BB1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公务用车购置及运行维护费。2024年度决算数4.47万元，比2024年度年初预算数9.00万元减少4.53万元。其中，公务用车购置费2024年度决算数0.00万元，主要原因：单位未购置公务用车。公务用车运行维护费2024年度决算数4.47万元，主要原因：公务用车运行维护需求比预期减少。2024年度公务用车保有量5辆。</w:t>
      </w:r>
    </w:p>
    <w:p w14:paraId="65BB68F0">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6DBA3634">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2024年度机关运行经费支出合计393.08万元，比上年增加147.07万元，增加原因：单位人员变动、业务需求变动。</w:t>
      </w:r>
    </w:p>
    <w:p w14:paraId="46C2D35F">
      <w:pPr>
        <w:ind w:left="540"/>
        <w:rPr>
          <w:rFonts w:hint="eastAsia" w:ascii="黑体" w:eastAsia="黑体"/>
          <w:sz w:val="28"/>
          <w:szCs w:val="28"/>
        </w:rPr>
      </w:pPr>
      <w:r>
        <w:rPr>
          <w:rFonts w:hint="eastAsia" w:ascii="黑体" w:eastAsia="黑体"/>
          <w:sz w:val="28"/>
          <w:szCs w:val="28"/>
        </w:rPr>
        <w:t>三、政府采购支出情况</w:t>
      </w:r>
    </w:p>
    <w:p w14:paraId="4387D2F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政府采购支出总额7140.45万元，其中：政府采购货物支出851.86万元，政府采购工程支出0.00万元，政府采购服务支出6,288.59万元。授予中小企业合同金额4,338.53万元，占政府采购支出总额的60.76%，其中：授予小微企业合同金额3,617.60万元，占政府采购支出总额的50.66%。</w:t>
      </w:r>
    </w:p>
    <w:p w14:paraId="45385732">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0D6411D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截至12月31日，北京市大兴区生态环境局共有车辆5台；单位价值100万元（含）以上的设备23台（套）。</w:t>
      </w:r>
    </w:p>
    <w:p w14:paraId="76BEDC1A">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452627EB">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2024年度政府购买服务决算8065.00万元。</w:t>
      </w:r>
    </w:p>
    <w:p w14:paraId="4A0FCDF7">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122B28C2">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1.基本支出：基本支出：指为保障机构正常运转、完成日常工作任务而发生的人员支出和公用支出。</w:t>
      </w:r>
    </w:p>
    <w:p w14:paraId="673D6C5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2.项目支出：指在基本支出之外为完成特定行政任务或事业发展目标所发生的支出。</w:t>
      </w:r>
    </w:p>
    <w:p w14:paraId="27F4156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58356CC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 xml:space="preserve"> 4.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757FDA">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5.政府采购：指各级国家机关、事业单位和团体组织，使用财政性资金采购依法制定的集中目录以内的或者采购限额标准以上的货物、工程和服务的行为，是规范财政支出管理和强化预算约束的有效措施。</w:t>
      </w:r>
    </w:p>
    <w:p w14:paraId="4CF9783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6.政府购买服务：是指各级国家机关将属于自身职责范围且适合通过市场化方式提供的服务事项，按照政府采购方式和程序，交由符合条件的服务供应商承担，并根据服务数量和质量等因素向其支付费用的行为。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0B11E7E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7.一般公共服务支出（类）其他一般公共服务支出（款）其他一般公共服务支出（项）：反映除上述项目以外的其他一般公共服务支出。</w:t>
      </w:r>
    </w:p>
    <w:p w14:paraId="050BA603">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8.教育支出（类）进修及培训（款）培训支出（项）：反映各部门安排的用于培训的支出。教育部门的师资培训，党校、行政学院等专业干部教育机构的支出，以及退役士兵、转业士官的培训支出，不在本科目反映。</w:t>
      </w:r>
    </w:p>
    <w:p w14:paraId="6A3D7E4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9.社会保障和就业支出（类）行政事业单位养老支出（款）行政单位离退休（项）：反映行政单位（包括实行公务员管理的事业单位）开支的离退休经费。</w:t>
      </w:r>
    </w:p>
    <w:p w14:paraId="4D849D4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10.社会保障和就业支出（类）行政事业单位养老支出（款）事业单位离退休（项）：反映事业单位开支的离退休经费。</w:t>
      </w:r>
    </w:p>
    <w:p w14:paraId="565C3ED7">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11.社会保障和就业支出（类）行政事业单位养老支出（款）机关事业单位基本养老保险缴费支出（项）：反映机关事业单位实施养老保险制度由单位缴纳的基本养老保险费支出。</w:t>
      </w:r>
    </w:p>
    <w:p w14:paraId="02AF414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12.社会保障和就业支出（类）行政事业单位养老支出（款）机关事业单位职业年金缴费支出（项）：反映机关事业单位实施养老保险制度由单位实际缴纳的职业年金支出（含职业年金补记支出）。</w:t>
      </w:r>
    </w:p>
    <w:p w14:paraId="2BE1F11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13.社会保障和就业支出（类）行政事业单位养老支出（款）其他行政事业单位养老支出（项）：反映除上述项目以外其他用于行政事业单位养老方面的支出。</w:t>
      </w:r>
    </w:p>
    <w:p w14:paraId="31853EE5">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14.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26984CFE">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15.卫生健康支出（类）行政事业单位医疗（款）事业单位医疗（项）：反映财政部门安排的事业单位基本医疗保险缴费经费，未参加医疗保险的事业单位的公费医疗经费，按国家规定享受离休人员待遇的医疗经费。</w:t>
      </w:r>
    </w:p>
    <w:p w14:paraId="14423B98">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16.卫生健康支出（类）行政事业单位医疗（款）公务员医疗补助（项）：反映财政部门安排的公务员医疗补助经费。</w:t>
      </w:r>
    </w:p>
    <w:p w14:paraId="0E424BC0">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17.节能环保支出（类）环境保护管理事务（款）行政运行（项）：反映行政单位(包括实行公务员管理的事业单位)的基本支出。</w:t>
      </w:r>
    </w:p>
    <w:p w14:paraId="23A013ED">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18.节能环保支出（类）环境保护管理事务（款）一般行政管理事务（项）：反映行政单位(包括实行公务员管理的事业单位)未单独设置项级科目的其他项目支出。</w:t>
      </w:r>
    </w:p>
    <w:p w14:paraId="32DB482B">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19.节能环保支出（类）环境保护管理事务（款）生态环境保护宣传（项）：反映生态环境部门环境保护宣传教育方面的支出。</w:t>
      </w:r>
    </w:p>
    <w:p w14:paraId="0F9FFB7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20.节能环保支出（类）环境保护管理事务（款）生态环境保护行政许可（项）：反映生态环境部门经法律法规设定和经国务院批准的行政许可管理支出，如建设项目环境影响评价审批、排污许可、危险废物经营许可等行政许可管理及相关技术支持等方面的支出。</w:t>
      </w:r>
    </w:p>
    <w:p w14:paraId="6C9D2F8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21.节能环保支出（类）环境保护管理事务（款）其他环境保护管理事务支出（项）：反映除上述项目以外其他用于环境保护管理事务方面的支出。</w:t>
      </w:r>
    </w:p>
    <w:p w14:paraId="1C8EF381">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22.节能环保支出（类）环境监测与监察（款）建设项目环评审查与监督（项）：反映生态环境部门对建设类规划、建设项目的环境影响评价、评审，建设项目“三同时”监理、验收等方面的支出。</w:t>
      </w:r>
    </w:p>
    <w:p w14:paraId="36A4FF82">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23.节能环保支出（类）环境监测与监察（款）其他环境监测与监察支出（项）：反映除上述项目以外其他用于环境监测与监察方面的支出。</w:t>
      </w:r>
    </w:p>
    <w:p w14:paraId="47233B6F">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24.节能环保支出（类）污染防治（款）大气（项）：反映政府在治理空气污染、汽车尾气、酸雨、二氧化硫、沙尘暴等方面的支出。</w:t>
      </w:r>
    </w:p>
    <w:p w14:paraId="443F527C">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25.城乡社区支出（类）国有土地使用权出让收入安排的支出（款）城市建设支出（项）：反映土地出让收入用于完善国有土地使用功能的配套设施建设和城市基础设施建设支出。</w:t>
      </w:r>
    </w:p>
    <w:p w14:paraId="388D418C">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26.资源勘探工业信息等支出（类）超长期特别国债安排的支出（款）：反映使用超长期特别国债收入安排的制造业、工业信息等方面的支出。</w:t>
      </w:r>
    </w:p>
    <w:p w14:paraId="13C0A6E9">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27.住房保障支出（类）住房改革支出（款）购房补贴（项）：反映按房改政策规定，行政事业单位向符合条件职工（含离退休人员）、军队（含武警）向转役复员离退休人员发放的用于购买住房的补贴。</w:t>
      </w:r>
    </w:p>
    <w:p w14:paraId="0E3F6992">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lang w:val="en-US" w:eastAsia="zh-CN"/>
        </w:rPr>
      </w:pPr>
    </w:p>
    <w:p w14:paraId="3F7C8788">
      <w:pPr>
        <w:jc w:val="both"/>
        <w:rPr>
          <w:rFonts w:hint="eastAsia" w:ascii="黑体" w:eastAsia="黑体"/>
          <w:sz w:val="32"/>
          <w:szCs w:val="32"/>
        </w:rPr>
      </w:pPr>
    </w:p>
    <w:p w14:paraId="5AC61738">
      <w:pPr>
        <w:ind w:firstLine="640" w:firstLineChars="200"/>
        <w:jc w:val="center"/>
        <w:rPr>
          <w:rFonts w:hint="eastAsia" w:ascii="黑体" w:eastAsia="黑体"/>
          <w:sz w:val="32"/>
          <w:szCs w:val="32"/>
        </w:rPr>
      </w:pPr>
    </w:p>
    <w:p w14:paraId="1A61F3AE">
      <w:pPr>
        <w:ind w:firstLine="640" w:firstLineChars="200"/>
        <w:jc w:val="center"/>
        <w:rPr>
          <w:rFonts w:hint="eastAsia" w:ascii="黑体" w:eastAsia="黑体"/>
          <w:sz w:val="32"/>
          <w:szCs w:val="32"/>
        </w:rPr>
        <w:sectPr>
          <w:pgSz w:w="16838" w:h="11906" w:orient="landscape"/>
          <w:pgMar w:top="1134" w:right="1134" w:bottom="1134" w:left="1134" w:header="851" w:footer="992" w:gutter="0"/>
          <w:cols w:space="720" w:num="1"/>
          <w:docGrid w:type="linesAndChars" w:linePitch="312" w:charSpace="0"/>
        </w:sectPr>
      </w:pPr>
    </w:p>
    <w:p w14:paraId="629AFF4C">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7FB71479">
      <w:pPr>
        <w:ind w:firstLine="560" w:firstLineChars="200"/>
        <w:rPr>
          <w:rFonts w:hint="eastAsia" w:ascii="黑体" w:eastAsia="黑体"/>
          <w:sz w:val="28"/>
          <w:szCs w:val="28"/>
          <w:highlight w:val="yellow"/>
        </w:rPr>
      </w:pPr>
    </w:p>
    <w:p w14:paraId="4818E50B">
      <w:pPr>
        <w:numPr>
          <w:ilvl w:val="0"/>
          <w:numId w:val="1"/>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部门整体绩效评价报告</w:t>
      </w:r>
      <w:r>
        <w:rPr>
          <w:rFonts w:hint="eastAsia" w:ascii="黑体" w:eastAsia="黑体"/>
          <w:sz w:val="28"/>
          <w:szCs w:val="28"/>
          <w:highlight w:val="none"/>
          <w:lang w:eastAsia="zh-CN"/>
        </w:rPr>
        <w:t>（详见附件）</w:t>
      </w:r>
    </w:p>
    <w:p w14:paraId="462EB4CC">
      <w:pPr>
        <w:numPr>
          <w:ilvl w:val="0"/>
          <w:numId w:val="1"/>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项目支出</w:t>
      </w:r>
      <w:r>
        <w:rPr>
          <w:rFonts w:hint="eastAsia" w:ascii="黑体" w:eastAsia="黑体"/>
          <w:sz w:val="28"/>
          <w:szCs w:val="28"/>
          <w:highlight w:val="none"/>
          <w:lang w:val="en-US" w:eastAsia="zh-CN"/>
        </w:rPr>
        <w:t>部门</w:t>
      </w:r>
      <w:r>
        <w:rPr>
          <w:rFonts w:hint="eastAsia" w:ascii="黑体" w:eastAsia="黑体"/>
          <w:sz w:val="28"/>
          <w:szCs w:val="28"/>
          <w:highlight w:val="none"/>
        </w:rPr>
        <w:t>绩效评价报告</w:t>
      </w:r>
      <w:r>
        <w:rPr>
          <w:rFonts w:hint="eastAsia" w:ascii="黑体" w:eastAsia="黑体"/>
          <w:sz w:val="28"/>
          <w:szCs w:val="28"/>
          <w:highlight w:val="none"/>
          <w:lang w:eastAsia="zh-CN"/>
        </w:rPr>
        <w:t>（详见附件）</w:t>
      </w:r>
    </w:p>
    <w:p w14:paraId="1F809966">
      <w:pPr>
        <w:numPr>
          <w:ilvl w:val="0"/>
          <w:numId w:val="1"/>
        </w:numPr>
        <w:ind w:firstLine="560" w:firstLineChars="200"/>
        <w:rPr>
          <w:rFonts w:ascii="黑体" w:eastAsia="黑体"/>
          <w:sz w:val="28"/>
          <w:szCs w:val="28"/>
          <w:highlight w:val="none"/>
        </w:rPr>
      </w:pP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（详见附件）</w:t>
      </w:r>
    </w:p>
    <w:p w14:paraId="7154EA1C">
      <w:pPr>
        <w:spacing w:line="480" w:lineRule="exact"/>
        <w:rPr>
          <w:rFonts w:hint="eastAsia" w:ascii="仿宋_GB2312" w:hAnsi="仿宋_GB2312" w:eastAsia="仿宋_GB2312" w:cs="仿宋_GB2312"/>
          <w:sz w:val="32"/>
          <w:szCs w:val="32"/>
        </w:rPr>
      </w:pPr>
    </w:p>
    <w:p w14:paraId="001493F6">
      <w:pPr>
        <w:spacing w:line="480" w:lineRule="exact"/>
      </w:pP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604A">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14:paraId="36EB315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7E9">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14:paraId="3ED1EF9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3144"/>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0F5645"/>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0F1"/>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1D56"/>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0CDF"/>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691BDB"/>
    <w:rsid w:val="02F120AB"/>
    <w:rsid w:val="03031491"/>
    <w:rsid w:val="032B5196"/>
    <w:rsid w:val="03577A2F"/>
    <w:rsid w:val="03BB6210"/>
    <w:rsid w:val="04C3537C"/>
    <w:rsid w:val="05DE136C"/>
    <w:rsid w:val="05DE1D42"/>
    <w:rsid w:val="064249C6"/>
    <w:rsid w:val="07614C33"/>
    <w:rsid w:val="079004AC"/>
    <w:rsid w:val="07C763C4"/>
    <w:rsid w:val="07E6312F"/>
    <w:rsid w:val="07FB6BDB"/>
    <w:rsid w:val="081D1247"/>
    <w:rsid w:val="082C4FE6"/>
    <w:rsid w:val="08907C6B"/>
    <w:rsid w:val="08A70553"/>
    <w:rsid w:val="09524F20"/>
    <w:rsid w:val="097A7FD3"/>
    <w:rsid w:val="098552F6"/>
    <w:rsid w:val="0A56047D"/>
    <w:rsid w:val="0A982E07"/>
    <w:rsid w:val="0AC7549A"/>
    <w:rsid w:val="0BA148CA"/>
    <w:rsid w:val="0C1165C4"/>
    <w:rsid w:val="0C7E427E"/>
    <w:rsid w:val="0D1A3FA7"/>
    <w:rsid w:val="0D6D544B"/>
    <w:rsid w:val="0DD136FE"/>
    <w:rsid w:val="0E1704E7"/>
    <w:rsid w:val="0E71409B"/>
    <w:rsid w:val="0EB21FBD"/>
    <w:rsid w:val="0F087E2F"/>
    <w:rsid w:val="0F542F2C"/>
    <w:rsid w:val="0F8E2C57"/>
    <w:rsid w:val="0F916077"/>
    <w:rsid w:val="0FAD1102"/>
    <w:rsid w:val="1059665E"/>
    <w:rsid w:val="10AC13BA"/>
    <w:rsid w:val="10C55FD8"/>
    <w:rsid w:val="10E02E12"/>
    <w:rsid w:val="11290C5D"/>
    <w:rsid w:val="11CB1D14"/>
    <w:rsid w:val="128E689D"/>
    <w:rsid w:val="129B7938"/>
    <w:rsid w:val="134A310C"/>
    <w:rsid w:val="13561AB1"/>
    <w:rsid w:val="142E20E6"/>
    <w:rsid w:val="145A6C1B"/>
    <w:rsid w:val="14A81E98"/>
    <w:rsid w:val="14B73493"/>
    <w:rsid w:val="151C4634"/>
    <w:rsid w:val="15545B7C"/>
    <w:rsid w:val="156C1118"/>
    <w:rsid w:val="165027E8"/>
    <w:rsid w:val="167A2FF9"/>
    <w:rsid w:val="167A73B7"/>
    <w:rsid w:val="168E50BE"/>
    <w:rsid w:val="16DE4297"/>
    <w:rsid w:val="1764587C"/>
    <w:rsid w:val="176F6C9D"/>
    <w:rsid w:val="17FF6273"/>
    <w:rsid w:val="18581C69"/>
    <w:rsid w:val="187A7FF0"/>
    <w:rsid w:val="18AE1A47"/>
    <w:rsid w:val="193463F1"/>
    <w:rsid w:val="196E525E"/>
    <w:rsid w:val="1A7F369B"/>
    <w:rsid w:val="1A89451A"/>
    <w:rsid w:val="1AEC0734"/>
    <w:rsid w:val="1B2B737F"/>
    <w:rsid w:val="1B59521E"/>
    <w:rsid w:val="1C625023"/>
    <w:rsid w:val="1C890801"/>
    <w:rsid w:val="1CB97B08"/>
    <w:rsid w:val="1D1D0F4A"/>
    <w:rsid w:val="1DEF20B0"/>
    <w:rsid w:val="1F751B36"/>
    <w:rsid w:val="1FF7AB17"/>
    <w:rsid w:val="206F5F60"/>
    <w:rsid w:val="21274A8D"/>
    <w:rsid w:val="214243FA"/>
    <w:rsid w:val="21AD613C"/>
    <w:rsid w:val="21DD6EFA"/>
    <w:rsid w:val="22467189"/>
    <w:rsid w:val="22D93B65"/>
    <w:rsid w:val="2318643B"/>
    <w:rsid w:val="23386ADD"/>
    <w:rsid w:val="23A75039"/>
    <w:rsid w:val="23F0560A"/>
    <w:rsid w:val="24184829"/>
    <w:rsid w:val="244119C2"/>
    <w:rsid w:val="25627E42"/>
    <w:rsid w:val="257A14F5"/>
    <w:rsid w:val="25C1725E"/>
    <w:rsid w:val="26AD1590"/>
    <w:rsid w:val="26E054C2"/>
    <w:rsid w:val="26EC20B9"/>
    <w:rsid w:val="27196C26"/>
    <w:rsid w:val="27CE17BE"/>
    <w:rsid w:val="27E70AD2"/>
    <w:rsid w:val="29EF086F"/>
    <w:rsid w:val="2A5D12BC"/>
    <w:rsid w:val="2AD07023"/>
    <w:rsid w:val="2AE15CAC"/>
    <w:rsid w:val="2B253DEB"/>
    <w:rsid w:val="2BC34C59"/>
    <w:rsid w:val="2BD17ACF"/>
    <w:rsid w:val="2C38462A"/>
    <w:rsid w:val="2D1F5977"/>
    <w:rsid w:val="2DCE15AF"/>
    <w:rsid w:val="2EEF6BEA"/>
    <w:rsid w:val="2EFFE297"/>
    <w:rsid w:val="2FFE2E5D"/>
    <w:rsid w:val="301437CA"/>
    <w:rsid w:val="30670264"/>
    <w:rsid w:val="3086532C"/>
    <w:rsid w:val="31181CFC"/>
    <w:rsid w:val="31B41A25"/>
    <w:rsid w:val="32764F2C"/>
    <w:rsid w:val="32827D75"/>
    <w:rsid w:val="32D57EA5"/>
    <w:rsid w:val="344A041F"/>
    <w:rsid w:val="349D0E96"/>
    <w:rsid w:val="349D1F0A"/>
    <w:rsid w:val="34DD0473"/>
    <w:rsid w:val="34FA4C30"/>
    <w:rsid w:val="35DC154A"/>
    <w:rsid w:val="35E820B0"/>
    <w:rsid w:val="363C648D"/>
    <w:rsid w:val="369C358D"/>
    <w:rsid w:val="36CA11F2"/>
    <w:rsid w:val="36D13079"/>
    <w:rsid w:val="377C4D93"/>
    <w:rsid w:val="38233460"/>
    <w:rsid w:val="384B399F"/>
    <w:rsid w:val="38C6103F"/>
    <w:rsid w:val="397D4DF2"/>
    <w:rsid w:val="39E807CD"/>
    <w:rsid w:val="39EB4452"/>
    <w:rsid w:val="3A8E35DC"/>
    <w:rsid w:val="3AAF3DE4"/>
    <w:rsid w:val="3B1A3241"/>
    <w:rsid w:val="3C5F4C83"/>
    <w:rsid w:val="3C684897"/>
    <w:rsid w:val="3C6F3118"/>
    <w:rsid w:val="3E3E556E"/>
    <w:rsid w:val="3E5B0F32"/>
    <w:rsid w:val="3F134569"/>
    <w:rsid w:val="3F696545"/>
    <w:rsid w:val="406665E0"/>
    <w:rsid w:val="40692574"/>
    <w:rsid w:val="408A49C4"/>
    <w:rsid w:val="413E755D"/>
    <w:rsid w:val="41BD0482"/>
    <w:rsid w:val="42213106"/>
    <w:rsid w:val="42817701"/>
    <w:rsid w:val="42C57F36"/>
    <w:rsid w:val="433E495C"/>
    <w:rsid w:val="44426D3F"/>
    <w:rsid w:val="45951E87"/>
    <w:rsid w:val="46560EA5"/>
    <w:rsid w:val="465E7D59"/>
    <w:rsid w:val="46853538"/>
    <w:rsid w:val="479559FD"/>
    <w:rsid w:val="47FB1D04"/>
    <w:rsid w:val="48253225"/>
    <w:rsid w:val="485D476D"/>
    <w:rsid w:val="486E697A"/>
    <w:rsid w:val="489E6D17"/>
    <w:rsid w:val="489F2FD7"/>
    <w:rsid w:val="48BA1BBF"/>
    <w:rsid w:val="493C0826"/>
    <w:rsid w:val="4A802994"/>
    <w:rsid w:val="4AC27CB3"/>
    <w:rsid w:val="4B180E1F"/>
    <w:rsid w:val="4B35552D"/>
    <w:rsid w:val="4B885FA4"/>
    <w:rsid w:val="4BBC17AA"/>
    <w:rsid w:val="4BF72BEF"/>
    <w:rsid w:val="4C69696A"/>
    <w:rsid w:val="4CD6689C"/>
    <w:rsid w:val="4CEE62DB"/>
    <w:rsid w:val="4D823FFB"/>
    <w:rsid w:val="4F552B7E"/>
    <w:rsid w:val="4F672375"/>
    <w:rsid w:val="4FA47125"/>
    <w:rsid w:val="4FA90297"/>
    <w:rsid w:val="4FC41A43"/>
    <w:rsid w:val="4FE63299"/>
    <w:rsid w:val="503F1BE2"/>
    <w:rsid w:val="51DB3C59"/>
    <w:rsid w:val="51DC4954"/>
    <w:rsid w:val="521C7446"/>
    <w:rsid w:val="5233653E"/>
    <w:rsid w:val="5366378B"/>
    <w:rsid w:val="53E21FCA"/>
    <w:rsid w:val="54482775"/>
    <w:rsid w:val="550C0952"/>
    <w:rsid w:val="551B39E5"/>
    <w:rsid w:val="556A671B"/>
    <w:rsid w:val="55762E42"/>
    <w:rsid w:val="5579070C"/>
    <w:rsid w:val="56F24C1A"/>
    <w:rsid w:val="56FA587C"/>
    <w:rsid w:val="572F3F71"/>
    <w:rsid w:val="574865E8"/>
    <w:rsid w:val="57A203EE"/>
    <w:rsid w:val="57A7B272"/>
    <w:rsid w:val="57DD7B4B"/>
    <w:rsid w:val="58403763"/>
    <w:rsid w:val="58470068"/>
    <w:rsid w:val="58747CAC"/>
    <w:rsid w:val="58DF4D2A"/>
    <w:rsid w:val="58E6255C"/>
    <w:rsid w:val="5923730C"/>
    <w:rsid w:val="59637709"/>
    <w:rsid w:val="59C56616"/>
    <w:rsid w:val="59CC52AE"/>
    <w:rsid w:val="59EB2795"/>
    <w:rsid w:val="5A1720F9"/>
    <w:rsid w:val="5A1E1882"/>
    <w:rsid w:val="5ADC59C5"/>
    <w:rsid w:val="5B1F1D55"/>
    <w:rsid w:val="5B694D7F"/>
    <w:rsid w:val="5B9C37C2"/>
    <w:rsid w:val="5BA7C654"/>
    <w:rsid w:val="5C013209"/>
    <w:rsid w:val="5C685E55"/>
    <w:rsid w:val="5C871960"/>
    <w:rsid w:val="5D891708"/>
    <w:rsid w:val="5D924A61"/>
    <w:rsid w:val="5DF716AE"/>
    <w:rsid w:val="5DF9063C"/>
    <w:rsid w:val="5E1B2CA8"/>
    <w:rsid w:val="5E203E1A"/>
    <w:rsid w:val="5E280F21"/>
    <w:rsid w:val="5EF62DCD"/>
    <w:rsid w:val="5F0152CA"/>
    <w:rsid w:val="5F9F507E"/>
    <w:rsid w:val="5FB213EA"/>
    <w:rsid w:val="601B0D3D"/>
    <w:rsid w:val="60A54109"/>
    <w:rsid w:val="61D01CDF"/>
    <w:rsid w:val="626C278F"/>
    <w:rsid w:val="6274570D"/>
    <w:rsid w:val="628E7A0F"/>
    <w:rsid w:val="62AC2121"/>
    <w:rsid w:val="6385184E"/>
    <w:rsid w:val="63AC7EFE"/>
    <w:rsid w:val="63C27722"/>
    <w:rsid w:val="63D336DD"/>
    <w:rsid w:val="63F43D7F"/>
    <w:rsid w:val="64C0607C"/>
    <w:rsid w:val="64D23995"/>
    <w:rsid w:val="64EA33D4"/>
    <w:rsid w:val="65046244"/>
    <w:rsid w:val="65756C86"/>
    <w:rsid w:val="65827169"/>
    <w:rsid w:val="663D12E2"/>
    <w:rsid w:val="66AD290B"/>
    <w:rsid w:val="67226E55"/>
    <w:rsid w:val="672E4D0D"/>
    <w:rsid w:val="674D385B"/>
    <w:rsid w:val="676F09E1"/>
    <w:rsid w:val="67713939"/>
    <w:rsid w:val="67852F40"/>
    <w:rsid w:val="680B58AB"/>
    <w:rsid w:val="69780FAF"/>
    <w:rsid w:val="6A49294B"/>
    <w:rsid w:val="6A570BC4"/>
    <w:rsid w:val="6AEC1C54"/>
    <w:rsid w:val="6B80239C"/>
    <w:rsid w:val="6CF21078"/>
    <w:rsid w:val="6D0E3FAE"/>
    <w:rsid w:val="6E8403F6"/>
    <w:rsid w:val="6F2F5692"/>
    <w:rsid w:val="6F691209"/>
    <w:rsid w:val="70005025"/>
    <w:rsid w:val="7007308C"/>
    <w:rsid w:val="702754DC"/>
    <w:rsid w:val="71691990"/>
    <w:rsid w:val="71793A80"/>
    <w:rsid w:val="719820B9"/>
    <w:rsid w:val="71B0505E"/>
    <w:rsid w:val="7298621E"/>
    <w:rsid w:val="731D11AB"/>
    <w:rsid w:val="7357290B"/>
    <w:rsid w:val="73A330CC"/>
    <w:rsid w:val="75297601"/>
    <w:rsid w:val="756E3DEA"/>
    <w:rsid w:val="757A7E5C"/>
    <w:rsid w:val="758B02BC"/>
    <w:rsid w:val="76D161A2"/>
    <w:rsid w:val="76FB1693"/>
    <w:rsid w:val="774B7D02"/>
    <w:rsid w:val="77B07B65"/>
    <w:rsid w:val="792B62DE"/>
    <w:rsid w:val="79516D09"/>
    <w:rsid w:val="798524E4"/>
    <w:rsid w:val="7A7F1C49"/>
    <w:rsid w:val="7A94376E"/>
    <w:rsid w:val="7ACF47A6"/>
    <w:rsid w:val="7AD718AD"/>
    <w:rsid w:val="7B5B7AE6"/>
    <w:rsid w:val="7B7B6628"/>
    <w:rsid w:val="7BA7071E"/>
    <w:rsid w:val="7BDF6DA8"/>
    <w:rsid w:val="7BFF2E69"/>
    <w:rsid w:val="7C3C2310"/>
    <w:rsid w:val="7C7EDC1A"/>
    <w:rsid w:val="7CCED98D"/>
    <w:rsid w:val="7CD04806"/>
    <w:rsid w:val="7D08410F"/>
    <w:rsid w:val="7DB96DED"/>
    <w:rsid w:val="7DD3AD81"/>
    <w:rsid w:val="7DFFF77E"/>
    <w:rsid w:val="7E6478FC"/>
    <w:rsid w:val="7F53A862"/>
    <w:rsid w:val="7F792F33"/>
    <w:rsid w:val="7F7FE70F"/>
    <w:rsid w:val="7FB62CC1"/>
    <w:rsid w:val="7FDF365A"/>
    <w:rsid w:val="7FE5681A"/>
    <w:rsid w:val="7FEC8BC6"/>
    <w:rsid w:val="7FFF772F"/>
    <w:rsid w:val="95F35EF6"/>
    <w:rsid w:val="9BFFD860"/>
    <w:rsid w:val="A77B4E4D"/>
    <w:rsid w:val="AC5F73DE"/>
    <w:rsid w:val="B5DDD2C8"/>
    <w:rsid w:val="B9DFABD9"/>
    <w:rsid w:val="BC0D83FC"/>
    <w:rsid w:val="BF3BDEFB"/>
    <w:rsid w:val="BFB7A454"/>
    <w:rsid w:val="C75F6086"/>
    <w:rsid w:val="C7F7ED2D"/>
    <w:rsid w:val="CFAF854E"/>
    <w:rsid w:val="D8D7928E"/>
    <w:rsid w:val="D8FE3136"/>
    <w:rsid w:val="DDDE60B7"/>
    <w:rsid w:val="DE9F6A22"/>
    <w:rsid w:val="DF4FCE6A"/>
    <w:rsid w:val="DFD6CE7C"/>
    <w:rsid w:val="DFE93440"/>
    <w:rsid w:val="DFEF5C84"/>
    <w:rsid w:val="E4FED278"/>
    <w:rsid w:val="EDAA365C"/>
    <w:rsid w:val="EDADFC12"/>
    <w:rsid w:val="F2FD229B"/>
    <w:rsid w:val="F65F79E2"/>
    <w:rsid w:val="F776A00A"/>
    <w:rsid w:val="F7F709E9"/>
    <w:rsid w:val="F7FF3690"/>
    <w:rsid w:val="F9BD3900"/>
    <w:rsid w:val="FBF76749"/>
    <w:rsid w:val="FC8B9876"/>
    <w:rsid w:val="FCBFBAB5"/>
    <w:rsid w:val="FEDFF218"/>
    <w:rsid w:val="FEDFFFFF"/>
    <w:rsid w:val="FFBF8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645"/>
    </w:pPr>
    <w:rPr>
      <w:rFonts w:ascii="仿宋_GB2312" w:hAnsi="Calibri" w:eastAsia="仿宋_GB2312"/>
      <w:sz w:val="32"/>
      <w:szCs w:val="32"/>
    </w:rPr>
  </w:style>
  <w:style w:type="paragraph" w:styleId="4">
    <w:name w:val="envelope return"/>
    <w:basedOn w:val="1"/>
    <w:qFormat/>
    <w:uiPriority w:val="0"/>
    <w:pPr>
      <w:snapToGrid w:val="0"/>
    </w:pPr>
    <w:rPr>
      <w:rFonts w:ascii="Arial" w:hAnsi="Arial"/>
    </w:rPr>
  </w:style>
  <w:style w:type="paragraph" w:styleId="6">
    <w:name w:val="Normal Indent"/>
    <w:basedOn w:val="1"/>
    <w:qFormat/>
    <w:uiPriority w:val="0"/>
    <w:pPr>
      <w:ind w:firstLine="200" w:firstLineChars="200"/>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character" w:styleId="14">
    <w:name w:val="Strong"/>
    <w:qFormat/>
    <w:uiPriority w:val="0"/>
    <w:rPr>
      <w:b/>
    </w:rPr>
  </w:style>
  <w:style w:type="character" w:styleId="15">
    <w:name w:val="page number"/>
    <w:qFormat/>
    <w:uiPriority w:val="0"/>
  </w:style>
  <w:style w:type="character" w:customStyle="1" w:styleId="16">
    <w:name w:val="页脚 Char"/>
    <w:link w:val="9"/>
    <w:qFormat/>
    <w:uiPriority w:val="0"/>
    <w:rPr>
      <w:rFonts w:eastAsia="宋体"/>
      <w:kern w:val="2"/>
      <w:sz w:val="18"/>
      <w:szCs w:val="18"/>
      <w:lang w:val="en-US" w:eastAsia="zh-CN" w:bidi="ar-SA"/>
    </w:rPr>
  </w:style>
  <w:style w:type="character" w:customStyle="1" w:styleId="17">
    <w:name w:val="页眉 Char"/>
    <w:link w:val="10"/>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b="0"/>
              <a:t>收入决算</a:t>
            </a:r>
            <a:endParaRPr b="0"/>
          </a:p>
        </c:rich>
      </c:tx>
      <c:layout>
        <c:manualLayout>
          <c:xMode val="edge"/>
          <c:yMode val="edge"/>
          <c:x val="0.400869299984749"/>
          <c:y val="0.0270838811464633"/>
        </c:manualLayout>
      </c:layout>
      <c:overlay val="0"/>
      <c:spPr>
        <a:noFill/>
        <a:ln>
          <a:noFill/>
        </a:ln>
        <a:effectLst/>
      </c:spPr>
    </c:title>
    <c:autoTitleDeleted val="0"/>
    <c:plotArea>
      <c:layout>
        <c:manualLayout>
          <c:layoutTarget val="inner"/>
          <c:xMode val="edge"/>
          <c:yMode val="edge"/>
          <c:x val="0.177653625898887"/>
          <c:y val="0.231929152704643"/>
          <c:w val="0.404358353510896"/>
          <c:h val="0.639540449976065"/>
        </c:manualLayout>
      </c:layout>
      <c:pieChart>
        <c:varyColors val="1"/>
        <c:ser>
          <c:idx val="0"/>
          <c:order val="0"/>
          <c:tx>
            <c:strRef>
              <c:f>Sheet1!$B$1</c:f>
              <c:strCache>
                <c:ptCount val="1"/>
                <c:pt idx="0">
                  <c:v>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839149171716307"/>
                  <c:y val="-0.27144538523093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ea"/>
                        <a:ea typeface="+mn-ea"/>
                        <a:cs typeface="+mn-ea"/>
                        <a:sym typeface="+mn-ea"/>
                      </a:defRPr>
                    </a:pPr>
                    <a:r>
                      <a:rPr sz="1000">
                        <a:latin typeface="+mn-ea"/>
                        <a:ea typeface="+mn-ea"/>
                        <a:cs typeface="+mn-ea"/>
                        <a:sym typeface="+mn-ea"/>
                      </a:rPr>
                      <a:t>99.99%</a:t>
                    </a:r>
                    <a:endParaRPr sz="1000">
                      <a:latin typeface="+mn-ea"/>
                      <a:ea typeface="+mn-ea"/>
                      <a:cs typeface="+mn-ea"/>
                      <a:sym typeface="+mn-ea"/>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0305495831645"/>
                  <c:y val="0.03717695264039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ea"/>
                        <a:ea typeface="+mn-ea"/>
                        <a:cs typeface="+mn-ea"/>
                        <a:sym typeface="+mn-ea"/>
                      </a:defRPr>
                    </a:pPr>
                    <a:r>
                      <a:rPr sz="1000">
                        <a:latin typeface="+mn-ea"/>
                        <a:ea typeface="+mn-ea"/>
                        <a:cs typeface="+mn-ea"/>
                        <a:sym typeface="+mn-ea"/>
                      </a:rPr>
                      <a:t>0.01%</a:t>
                    </a:r>
                    <a:endParaRPr sz="1000">
                      <a:latin typeface="+mn-ea"/>
                      <a:ea typeface="+mn-ea"/>
                      <a:cs typeface="+mn-ea"/>
                      <a:sym typeface="+mn-ea"/>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ea"/>
                    <a:ea typeface="+mn-ea"/>
                    <a:cs typeface="+mn-ea"/>
                    <a:sym typeface="+mn-ea"/>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Sheet1!$A$2:$A$7</c15:sqref>
                  </c15:fullRef>
                </c:ext>
              </c:extLst>
              <c:f>(Sheet1!$A$2,Sheet1!$A$7)</c:f>
              <c:strCache>
                <c:ptCount val="2"/>
                <c:pt idx="0">
                  <c:v>财政拨款收入</c:v>
                </c:pt>
                <c:pt idx="1">
                  <c:v>其他收入</c:v>
                </c:pt>
              </c:strCache>
            </c:strRef>
          </c:cat>
          <c:val>
            <c:numRef>
              <c:extLst>
                <c:ext xmlns:c15="http://schemas.microsoft.com/office/drawing/2012/chart" uri="{02D57815-91ED-43cb-92C2-25804820EDAC}">
                  <c15:fullRef>
                    <c15:sqref>Sheet1!$B$2:$B$7</c15:sqref>
                  </c15:fullRef>
                </c:ext>
              </c:extLst>
              <c:f>(Sheet1!$B$2,Sheet1!$B$7)</c:f>
              <c:numCache>
                <c:formatCode>General</c:formatCode>
                <c:ptCount val="2"/>
                <c:pt idx="0">
                  <c:v>18121.74</c:v>
                </c:pt>
                <c:pt idx="1">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ayout>
        <c:manualLayout>
          <c:xMode val="edge"/>
          <c:yMode val="edge"/>
          <c:x val="0.691591048262963"/>
          <c:y val="0.349870545785789"/>
          <c:w val="0.215345036319613"/>
          <c:h val="0.3188128291048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
    <c:plotVisOnly val="1"/>
    <c:dispBlanksAs val="gap"/>
    <c:showDLblsOverMax val="0"/>
    <c:extLst>
      <c:ext uri="{0b15fc19-7d7d-44ad-8c2d-2c3a37ce22c3}">
        <chartProps xmlns="https://web.wps.cn/et/2018/main" chartId="{ea31a22d-92a3-4dc5-a9a5-5bf3a0305c21}"/>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mn-ea"/>
                <a:ea typeface="+mn-ea"/>
              </a:rPr>
              <a:t>支出决算</a:t>
            </a:r>
            <a:endParaRPr b="0">
              <a:latin typeface="+mn-ea"/>
              <a:ea typeface="+mn-ea"/>
            </a:endParaRPr>
          </a:p>
        </c:rich>
      </c:tx>
      <c:layout>
        <c:manualLayout>
          <c:xMode val="edge"/>
          <c:yMode val="edge"/>
          <c:x val="0.424113737075332"/>
          <c:y val="0.017383834451641"/>
        </c:manualLayout>
      </c:layout>
      <c:overlay val="0"/>
      <c:spPr>
        <a:noFill/>
        <a:ln>
          <a:noFill/>
        </a:ln>
        <a:effectLst/>
      </c:spPr>
    </c:title>
    <c:autoTitleDeleted val="0"/>
    <c:plotArea>
      <c:layout>
        <c:manualLayout>
          <c:layoutTarget val="inner"/>
          <c:xMode val="edge"/>
          <c:yMode val="edge"/>
          <c:x val="0.196723839496459"/>
          <c:y val="0.250795115332429"/>
          <c:w val="0.374294256490952"/>
          <c:h val="0.645492537313433"/>
        </c:manualLayout>
      </c:layout>
      <c:pieChart>
        <c:varyColors val="1"/>
        <c:ser>
          <c:idx val="0"/>
          <c:order val="0"/>
          <c:tx>
            <c:strRef>
              <c:f>Sheet1!$B$1</c:f>
              <c:strCache>
                <c:ptCount val="1"/>
                <c:pt idx="0">
                  <c:v>支出决算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ea"/>
                    <a:ea typeface="+mn-ea"/>
                    <a:cs typeface="+mn-ea"/>
                    <a:sym typeface="+mn-ea"/>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0.341</c:v>
                </c:pt>
                <c:pt idx="1">
                  <c:v>0.659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ayout>
        <c:manualLayout>
          <c:xMode val="edge"/>
          <c:yMode val="edge"/>
          <c:x val="0.666404405979544"/>
          <c:y val="0.349796472184532"/>
          <c:w val="0.254130605822187"/>
          <c:h val="0.328900949796472"/>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ea"/>
              <a:ea typeface="+mn-ea"/>
              <a:cs typeface="+mn-ea"/>
              <a:sym typeface="+mn-ea"/>
            </a:defRPr>
          </a:pPr>
        </a:p>
      </c:txPr>
    </c:legend>
    <c:plotVisOnly val="1"/>
    <c:dispBlanksAs val="gap"/>
    <c:showDLblsOverMax val="0"/>
    <c:extLst>
      <c:ext uri="{0b15fc19-7d7d-44ad-8c2d-2c3a37ce22c3}">
        <chartProps xmlns="https://web.wps.cn/et/2018/main" chartId="{49c1c574-fad9-45be-957d-f5fbb4911b87}"/>
      </c:ext>
    </c:extLst>
  </c:chart>
  <c:spPr>
    <a:solidFill>
      <a:schemeClr val="bg1"/>
    </a:solidFill>
    <a:ln w="3175" cap="flat" cmpd="sng" algn="ctr">
      <a:noFill/>
      <a:round/>
    </a:ln>
    <a:effectLst/>
  </c:spPr>
  <c:txPr>
    <a:bodyPr/>
    <a:lstStyle/>
    <a:p>
      <a:pPr>
        <a:defRPr lang="zh-CN" b="1"/>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7548</Words>
  <Characters>8466</Characters>
  <Lines>44</Lines>
  <Paragraphs>12</Paragraphs>
  <TotalTime>50</TotalTime>
  <ScaleCrop>false</ScaleCrop>
  <LinksUpToDate>false</LinksUpToDate>
  <CharactersWithSpaces>8485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2017-07-13T07:16:00Z</dcterms:created>
  <dc:creator>常程</dc:creator>
  <cp:lastModifiedBy>WPS_1620356725</cp:lastModifiedBy>
  <cp:lastPrinted>2020-08-09T03:39:00Z</cp:lastPrinted>
  <dcterms:modified xsi:type="dcterms:W3CDTF">2025-09-26T03:07:37Z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A7F78878FB63AC2F75B4B7682BD79272</vt:lpwstr>
  </property>
  <property fmtid="{D5CDD505-2E9C-101B-9397-08002B2CF9AE}" pid="4" name="KSOTemplateDocerSaveRecord">
    <vt:lpwstr>eyJoZGlkIjoiZDk5YzY5Y2RlNGMyNGY0YWI1ZWJmNmRmYmRmYWJhYmYiLCJ1c2VySWQiOiIxMjA3NDgxMzgwIn0=</vt:lpwstr>
  </property>
</Properties>
</file>