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554271">
      <w:pPr>
        <w:jc w:val="both"/>
        <w:rPr>
          <w:rFonts w:hint="eastAsia" w:ascii="黑体" w:hAnsi="黑体" w:eastAsia="黑体"/>
          <w:sz w:val="30"/>
          <w:szCs w:val="30"/>
          <w:highlight w:val="none"/>
          <w:lang w:val="en-US" w:eastAsia="zh-CN"/>
        </w:rPr>
      </w:pPr>
      <w:r>
        <w:rPr>
          <w:rFonts w:hint="eastAsia" w:ascii="黑体" w:hAnsi="黑体" w:eastAsia="黑体"/>
          <w:sz w:val="30"/>
          <w:szCs w:val="30"/>
          <w:highlight w:val="none"/>
          <w:lang w:val="en-US" w:eastAsia="zh-CN"/>
        </w:rPr>
        <w:t xml:space="preserve">      </w:t>
      </w:r>
    </w:p>
    <w:p w14:paraId="3199906C">
      <w:pPr>
        <w:jc w:val="center"/>
        <w:rPr>
          <w:rFonts w:hint="eastAsia" w:ascii="楷体_GB2312" w:hAnsi="楷体_GB2312" w:eastAsia="楷体_GB2312" w:cs="楷体_GB2312"/>
          <w:b/>
          <w:bCs/>
          <w:sz w:val="44"/>
          <w:szCs w:val="44"/>
          <w:highlight w:val="none"/>
        </w:rPr>
      </w:pPr>
      <w:r>
        <w:rPr>
          <w:rFonts w:hint="eastAsia" w:ascii="楷体_GB2312" w:hAnsi="楷体_GB2312" w:eastAsia="楷体_GB2312" w:cs="楷体_GB2312"/>
          <w:b/>
          <w:bCs/>
          <w:sz w:val="44"/>
          <w:szCs w:val="44"/>
          <w:highlight w:val="none"/>
        </w:rPr>
        <w:t>大兴区空气重污染应急减排清单制定</w:t>
      </w:r>
    </w:p>
    <w:p w14:paraId="50FEDF29">
      <w:pPr>
        <w:jc w:val="center"/>
        <w:rPr>
          <w:rFonts w:hint="eastAsia" w:ascii="楷体_GB2312" w:hAnsi="楷体_GB2312" w:eastAsia="楷体_GB2312" w:cs="楷体_GB2312"/>
          <w:b/>
          <w:bCs/>
          <w:sz w:val="44"/>
          <w:szCs w:val="44"/>
          <w:highlight w:val="none"/>
        </w:rPr>
      </w:pPr>
      <w:r>
        <w:rPr>
          <w:rFonts w:hint="eastAsia" w:ascii="楷体_GB2312" w:hAnsi="楷体_GB2312" w:eastAsia="楷体_GB2312" w:cs="楷体_GB2312"/>
          <w:b/>
          <w:bCs/>
          <w:sz w:val="44"/>
          <w:szCs w:val="44"/>
          <w:highlight w:val="none"/>
        </w:rPr>
        <w:t>及重点行业绩效评估</w:t>
      </w:r>
      <w:bookmarkStart w:id="3" w:name="_GoBack"/>
      <w:bookmarkEnd w:id="3"/>
      <w:r>
        <w:rPr>
          <w:rFonts w:hint="eastAsia" w:ascii="楷体_GB2312" w:hAnsi="楷体_GB2312" w:eastAsia="楷体_GB2312" w:cs="楷体_GB2312"/>
          <w:b/>
          <w:bCs/>
          <w:sz w:val="44"/>
          <w:szCs w:val="44"/>
          <w:highlight w:val="none"/>
        </w:rPr>
        <w:t>服务</w:t>
      </w:r>
    </w:p>
    <w:p w14:paraId="5D66C977">
      <w:pPr>
        <w:jc w:val="center"/>
        <w:rPr>
          <w:rFonts w:hint="eastAsia" w:ascii="楷体_GB2312" w:hAnsi="楷体_GB2312" w:eastAsia="楷体_GB2312" w:cs="楷体_GB2312"/>
          <w:b/>
          <w:bCs/>
          <w:sz w:val="44"/>
          <w:szCs w:val="44"/>
          <w:highlight w:val="none"/>
        </w:rPr>
      </w:pPr>
      <w:r>
        <w:rPr>
          <w:rFonts w:hint="eastAsia" w:ascii="楷体_GB2312" w:hAnsi="楷体_GB2312" w:eastAsia="楷体_GB2312" w:cs="楷体_GB2312"/>
          <w:b/>
          <w:bCs/>
          <w:sz w:val="44"/>
          <w:szCs w:val="44"/>
          <w:highlight w:val="none"/>
        </w:rPr>
        <w:t>项目支出绩效评价报告</w:t>
      </w:r>
    </w:p>
    <w:p w14:paraId="05BDB2BB">
      <w:pPr>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 xml:space="preserve"> </w:t>
      </w:r>
    </w:p>
    <w:p w14:paraId="2B0C14C3">
      <w:pPr>
        <w:jc w:val="center"/>
        <w:rPr>
          <w:rFonts w:hint="eastAsia" w:ascii="仿宋_GB2312" w:hAnsi="仿宋_GB2312" w:eastAsia="仿宋_GB2312" w:cs="仿宋_GB2312"/>
          <w:sz w:val="24"/>
          <w:szCs w:val="24"/>
          <w:highlight w:val="none"/>
          <w:lang w:val="en-US" w:eastAsia="zh-CN"/>
        </w:rPr>
      </w:pPr>
    </w:p>
    <w:p w14:paraId="60D666C7">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黑体" w:hAnsi="黑体" w:eastAsia="黑体" w:cs="黑体"/>
          <w:b w:val="0"/>
          <w:bCs/>
          <w:color w:val="000000"/>
          <w:kern w:val="0"/>
          <w:sz w:val="32"/>
          <w:szCs w:val="32"/>
          <w:highlight w:val="none"/>
        </w:rPr>
      </w:pPr>
      <w:r>
        <w:rPr>
          <w:rFonts w:hint="eastAsia" w:ascii="黑体" w:hAnsi="黑体" w:eastAsia="黑体" w:cs="黑体"/>
          <w:b w:val="0"/>
          <w:bCs/>
          <w:color w:val="000000"/>
          <w:kern w:val="0"/>
          <w:sz w:val="32"/>
          <w:szCs w:val="32"/>
          <w:highlight w:val="none"/>
        </w:rPr>
        <w:t>一、基本情况</w:t>
      </w:r>
    </w:p>
    <w:p w14:paraId="3D5C1B2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仿宋_GB2312" w:eastAsia="楷体_GB2312" w:cs="仿宋_GB2312"/>
          <w:color w:val="000000"/>
          <w:kern w:val="0"/>
          <w:sz w:val="32"/>
          <w:szCs w:val="32"/>
        </w:rPr>
      </w:pPr>
      <w:r>
        <w:rPr>
          <w:rFonts w:hint="eastAsia" w:ascii="楷体_GB2312" w:hAnsi="仿宋_GB2312" w:eastAsia="楷体_GB2312" w:cs="仿宋_GB2312"/>
          <w:color w:val="000000"/>
          <w:kern w:val="0"/>
          <w:sz w:val="32"/>
          <w:szCs w:val="32"/>
        </w:rPr>
        <w:t>（一）项目概况</w:t>
      </w:r>
    </w:p>
    <w:p w14:paraId="5E204D4F">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lang w:val="en-US" w:eastAsia="zh-CN"/>
        </w:rPr>
        <w:t>1.项目背景</w:t>
      </w:r>
    </w:p>
    <w:p w14:paraId="22F903A3">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lang w:val="en-US" w:eastAsia="zh-CN"/>
        </w:rPr>
        <w:t>重污染天气不仅影响人民群众的身心健康，而且成为当前秋冬季改善空气质量的关键。国家及北京市高度重视空气重污染防治工作，先后发布了《中共中央关于制定国民经济和社会发展第十四个五年规划和二〇三五年远景目标的建议》《关于深入打好污染防治攻坚战的意见》《深入打好重污染天气消除、臭氧污染防治和柴油货车污染治理攻坚战行动方案》《北京市国民经济和社会发展第十四个五年规划和二〇三五年远景目标纲要》《关于深入打好北京市污染防治攻坚战的实施意见》等一系列文件。文件要求“十四五”期间对标2035年美丽中国建设目标，推动空气质量稳步提升，基本消除重污染天气，为美丽中国建设开好局、起好步；要求着力打好重污染天气消除攻坚战，聚焦秋冬季细颗粒物污染，持续开展综合治理攻坚行动。</w:t>
      </w:r>
    </w:p>
    <w:p w14:paraId="2066FB54">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lang w:val="en-US" w:eastAsia="zh-CN"/>
        </w:rPr>
        <w:t>为全面贯彻落实《深入打好重污染天气消除、臭氧污染防治和柴油货车污染治理攻坚战行动方案》以及《关于深入打好北京市污染防治攻坚战的实施意见》，夯实减排清单，探索行业绩效水平提升路径，从而进一步优化全区重污染天气管理体系，最终实现到2025年基本消除重污染天气，北京市大兴区生态环境局（以下简称“区生态环境局”）申请开展大兴区空气重污染应急减排清单制定及重点行业绩效评估服务项目，由北京市大兴区污染源防治事务中心负责项目管理并组织实施。</w:t>
      </w:r>
    </w:p>
    <w:p w14:paraId="112D656E">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lang w:val="en-US" w:eastAsia="zh-CN"/>
        </w:rPr>
        <w:t>2.主要内容及实施情况</w:t>
      </w:r>
    </w:p>
    <w:p w14:paraId="11ED26DA">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lang w:val="en-US" w:eastAsia="zh-CN"/>
        </w:rPr>
        <w:t>大兴区空气重污染应急减排清单制定及重点行业绩效评估服务项目主要工作包括：重点行业应急减排清单校核及制定；重点行业绩效水平评估。</w:t>
      </w:r>
    </w:p>
    <w:p w14:paraId="61DAECD8">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lang w:val="en-US" w:eastAsia="zh-CN"/>
        </w:rPr>
        <w:t>（1）重点行业应急减排清单校核及制定</w:t>
      </w:r>
    </w:p>
    <w:p w14:paraId="4A05AC91">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lang w:val="en-US" w:eastAsia="zh-CN"/>
        </w:rPr>
        <w:t>应急减排清单是开展应急管控的数据依据，因此拟围绕清单数据的完整性、准确性以及规范性开展清单填报信息校核工作。校核对象为大兴区重点行业应急减排企业；校核信息为59项填报指标，主要包括：企业基本信息、管控类型（绩效级别）、生产线/工序、生产运行信息、排放信息、应急管控措施信息等，核心指标为管控类型、生产线/工序以及应急管控措施；校核内容包括填报范围及填报数据的完整性、填报数据的准确性及规范性，以及填报数据与实际的相符性。</w:t>
      </w:r>
    </w:p>
    <w:p w14:paraId="0B897F52">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lang w:val="en-US" w:eastAsia="zh-CN"/>
        </w:rPr>
        <w:t>（2）重点行业绩效水平评估</w:t>
      </w:r>
    </w:p>
    <w:p w14:paraId="5D1C3280">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lang w:val="en-US" w:eastAsia="zh-CN"/>
        </w:rPr>
        <w:t>重点行业绩效评级实现了重污染期间企业的差异化绩效分级管理，因此绩效评级的准确性直接影响重污染天气期间施策的精准性。拟对重点行业企业开展绩效水平评估，评估对象为全区所有重点行业企业；评估内容一是考察企业绩效评级的有效性，确保评级准确，减排措施有效；二是开展典型行业或典型企业提标可行性分析，分析企业评级现状、影响企业晋级的因素，以及企业晋级的可行性，探讨典型行业或典型企业绩效晋级优化路径。</w:t>
      </w:r>
    </w:p>
    <w:p w14:paraId="7A1AA6B0">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lang w:val="en-US" w:eastAsia="zh-CN"/>
        </w:rPr>
        <w:t>截至目前，项目已按照预算目标及合同约定完成重点行业应急减排清单校核及制定、重点行业绩效水平评估工作。</w:t>
      </w:r>
    </w:p>
    <w:p w14:paraId="4732C7D8">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lang w:val="en-US" w:eastAsia="zh-CN"/>
        </w:rPr>
        <w:t>3.资金投入和使用情况</w:t>
      </w:r>
    </w:p>
    <w:p w14:paraId="28AFF3BF">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default" w:ascii="仿宋_GB2312" w:hAnsi="仿宋_GB2312" w:eastAsia="仿宋_GB2312" w:cs="仿宋_GB2312"/>
          <w:color w:val="000000"/>
          <w:kern w:val="0"/>
          <w:sz w:val="32"/>
          <w:szCs w:val="32"/>
          <w:highlight w:val="none"/>
          <w:lang w:val="en-US" w:eastAsia="zh-CN"/>
        </w:rPr>
      </w:pPr>
      <w:r>
        <w:rPr>
          <w:rFonts w:hint="default" w:ascii="仿宋_GB2312" w:hAnsi="仿宋_GB2312" w:eastAsia="仿宋_GB2312" w:cs="仿宋_GB2312"/>
          <w:color w:val="000000"/>
          <w:kern w:val="0"/>
          <w:sz w:val="32"/>
          <w:szCs w:val="32"/>
          <w:highlight w:val="none"/>
          <w:lang w:val="en-US" w:eastAsia="zh-CN"/>
        </w:rPr>
        <w:t>202</w:t>
      </w:r>
      <w:r>
        <w:rPr>
          <w:rFonts w:hint="eastAsia" w:ascii="仿宋_GB2312" w:hAnsi="仿宋_GB2312" w:eastAsia="仿宋_GB2312" w:cs="仿宋_GB2312"/>
          <w:color w:val="000000"/>
          <w:kern w:val="0"/>
          <w:sz w:val="32"/>
          <w:szCs w:val="32"/>
          <w:highlight w:val="none"/>
          <w:lang w:val="en-US" w:eastAsia="zh-CN"/>
        </w:rPr>
        <w:t>4</w:t>
      </w:r>
      <w:r>
        <w:rPr>
          <w:rFonts w:hint="default" w:ascii="仿宋_GB2312" w:hAnsi="仿宋_GB2312" w:eastAsia="仿宋_GB2312" w:cs="仿宋_GB2312"/>
          <w:color w:val="000000"/>
          <w:kern w:val="0"/>
          <w:sz w:val="32"/>
          <w:szCs w:val="32"/>
          <w:highlight w:val="none"/>
          <w:lang w:val="en-US" w:eastAsia="zh-CN"/>
        </w:rPr>
        <w:t>年，大兴区空气重污染应急减排清单制定及重点行业绩效评估服务项目预算金额</w:t>
      </w:r>
      <w:r>
        <w:rPr>
          <w:rFonts w:hint="eastAsia" w:ascii="仿宋_GB2312" w:hAnsi="仿宋_GB2312" w:eastAsia="仿宋_GB2312" w:cs="仿宋_GB2312"/>
          <w:color w:val="000000"/>
          <w:kern w:val="0"/>
          <w:sz w:val="32"/>
          <w:szCs w:val="32"/>
          <w:highlight w:val="none"/>
          <w:lang w:val="en-US" w:eastAsia="zh-CN"/>
        </w:rPr>
        <w:t>118.00</w:t>
      </w:r>
      <w:r>
        <w:rPr>
          <w:rFonts w:hint="default" w:ascii="仿宋_GB2312" w:hAnsi="仿宋_GB2312" w:eastAsia="仿宋_GB2312" w:cs="仿宋_GB2312"/>
          <w:color w:val="000000"/>
          <w:kern w:val="0"/>
          <w:sz w:val="32"/>
          <w:szCs w:val="32"/>
          <w:highlight w:val="none"/>
          <w:lang w:val="en-US" w:eastAsia="zh-CN"/>
        </w:rPr>
        <w:t>万元。截至202</w:t>
      </w:r>
      <w:r>
        <w:rPr>
          <w:rFonts w:hint="eastAsia" w:ascii="仿宋_GB2312" w:hAnsi="仿宋_GB2312" w:eastAsia="仿宋_GB2312" w:cs="仿宋_GB2312"/>
          <w:color w:val="000000"/>
          <w:kern w:val="0"/>
          <w:sz w:val="32"/>
          <w:szCs w:val="32"/>
          <w:highlight w:val="none"/>
          <w:lang w:val="en-US" w:eastAsia="zh-CN"/>
        </w:rPr>
        <w:t>4</w:t>
      </w:r>
      <w:r>
        <w:rPr>
          <w:rFonts w:hint="default" w:ascii="仿宋_GB2312" w:hAnsi="仿宋_GB2312" w:eastAsia="仿宋_GB2312" w:cs="仿宋_GB2312"/>
          <w:color w:val="000000"/>
          <w:kern w:val="0"/>
          <w:sz w:val="32"/>
          <w:szCs w:val="32"/>
          <w:highlight w:val="none"/>
          <w:lang w:val="en-US" w:eastAsia="zh-CN"/>
        </w:rPr>
        <w:t>年12月31日，项目预算支出</w:t>
      </w:r>
      <w:r>
        <w:rPr>
          <w:rFonts w:hint="eastAsia" w:ascii="仿宋_GB2312" w:hAnsi="仿宋_GB2312" w:eastAsia="仿宋_GB2312" w:cs="仿宋_GB2312"/>
          <w:color w:val="000000"/>
          <w:kern w:val="0"/>
          <w:sz w:val="32"/>
          <w:szCs w:val="32"/>
          <w:highlight w:val="none"/>
          <w:lang w:val="en-US" w:eastAsia="zh-CN"/>
        </w:rPr>
        <w:t>118.00</w:t>
      </w:r>
      <w:r>
        <w:rPr>
          <w:rFonts w:hint="default" w:ascii="仿宋_GB2312" w:hAnsi="仿宋_GB2312" w:eastAsia="仿宋_GB2312" w:cs="仿宋_GB2312"/>
          <w:color w:val="000000"/>
          <w:kern w:val="0"/>
          <w:sz w:val="32"/>
          <w:szCs w:val="32"/>
          <w:highlight w:val="none"/>
          <w:lang w:val="en-US" w:eastAsia="zh-CN"/>
        </w:rPr>
        <w:t>万元，预算执行率为100.00%。</w:t>
      </w:r>
    </w:p>
    <w:p w14:paraId="3E457AE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仿宋_GB2312" w:eastAsia="楷体_GB2312" w:cs="仿宋_GB2312"/>
          <w:color w:val="000000"/>
          <w:kern w:val="0"/>
          <w:sz w:val="32"/>
          <w:szCs w:val="32"/>
        </w:rPr>
      </w:pPr>
      <w:r>
        <w:rPr>
          <w:rFonts w:hint="eastAsia" w:ascii="楷体_GB2312" w:hAnsi="仿宋_GB2312" w:eastAsia="楷体_GB2312" w:cs="仿宋_GB2312"/>
          <w:color w:val="000000"/>
          <w:kern w:val="0"/>
          <w:sz w:val="32"/>
          <w:szCs w:val="32"/>
        </w:rPr>
        <w:t>（二）项目绩效目标</w:t>
      </w:r>
    </w:p>
    <w:p w14:paraId="6ED0A2F6">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lang w:val="en-US" w:eastAsia="zh-CN"/>
        </w:rPr>
        <w:t>1.总体绩效目标</w:t>
      </w:r>
    </w:p>
    <w:p w14:paraId="3EB779C3">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lang w:val="en-US" w:eastAsia="zh-CN"/>
        </w:rPr>
        <w:t>全面贯彻落实《深入打好重污染天气消除、臭氧污染防治和柴油货车污染治理攻坚战行动方案》以及《关于深入打好北京市污染防治攻坚战的实施意见》，通过开展全区重点行业应急减排清单信息校核以及重点行业绩效评估，夯实减排清单，探索行业绩效水平提升路径，从而进一步优化全区重污染天气污染防治管理体系。</w:t>
      </w:r>
    </w:p>
    <w:p w14:paraId="54EB8FDF">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lang w:val="en-US" w:eastAsia="zh-CN"/>
        </w:rPr>
        <w:t>2.具体绩效指标</w:t>
      </w:r>
    </w:p>
    <w:p w14:paraId="19AF7067">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lang w:val="en-US" w:eastAsia="zh-CN"/>
        </w:rPr>
        <w:t>数量指标：开展重点行业企业现场调查及核验≥119家；建立大兴区重点行业应急减排清单=1份。</w:t>
      </w:r>
    </w:p>
    <w:p w14:paraId="07E28F18">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lang w:val="en-US" w:eastAsia="zh-CN"/>
        </w:rPr>
        <w:t>质量指标：重点行业绩效评级及应急减排清单符合国家及北京市重点行业应急减排相关工作要求；召开结题验收会通过专家评审。</w:t>
      </w:r>
    </w:p>
    <w:p w14:paraId="7AB9CD8B">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lang w:val="en-US" w:eastAsia="zh-CN"/>
        </w:rPr>
        <w:t>时效指标：12个月内按计划完成各项工作。</w:t>
      </w:r>
    </w:p>
    <w:p w14:paraId="5C825832">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lang w:val="en-US" w:eastAsia="zh-CN"/>
        </w:rPr>
        <w:t>经济成本指标：资金使用≤130万元；项目首款预算≤59万元。</w:t>
      </w:r>
    </w:p>
    <w:p w14:paraId="188A1372">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lang w:val="en-US" w:eastAsia="zh-CN"/>
        </w:rPr>
        <w:t>社会效益指标：空气重污染应急管理决策能力有效提高。</w:t>
      </w:r>
    </w:p>
    <w:p w14:paraId="157F4E19">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lang w:val="en-US" w:eastAsia="zh-CN"/>
        </w:rPr>
        <w:t>生态效益指标：有效促进大兴区环境空气质量改善。</w:t>
      </w:r>
    </w:p>
    <w:p w14:paraId="6D65C28D">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lang w:val="en-US" w:eastAsia="zh-CN"/>
        </w:rPr>
        <w:t>服务对象满意度指标：决策部门满意度≥90%。</w:t>
      </w:r>
    </w:p>
    <w:p w14:paraId="69F191BD">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黑体" w:hAnsi="黑体" w:eastAsia="黑体" w:cs="黑体"/>
          <w:b w:val="0"/>
          <w:bCs/>
          <w:color w:val="000000"/>
          <w:kern w:val="0"/>
          <w:sz w:val="32"/>
          <w:szCs w:val="32"/>
          <w:highlight w:val="none"/>
        </w:rPr>
      </w:pPr>
      <w:r>
        <w:rPr>
          <w:rFonts w:hint="eastAsia" w:ascii="黑体" w:hAnsi="黑体" w:eastAsia="黑体" w:cs="黑体"/>
          <w:b w:val="0"/>
          <w:bCs/>
          <w:color w:val="000000"/>
          <w:kern w:val="0"/>
          <w:sz w:val="32"/>
          <w:szCs w:val="32"/>
          <w:highlight w:val="none"/>
        </w:rPr>
        <w:t>二、绩效评价工作开展情况</w:t>
      </w:r>
    </w:p>
    <w:p w14:paraId="01CCB9B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楷体_GB2312" w:hAnsi="仿宋_GB2312" w:eastAsia="楷体_GB2312" w:cs="仿宋_GB2312"/>
          <w:color w:val="000000"/>
          <w:kern w:val="0"/>
          <w:sz w:val="32"/>
          <w:szCs w:val="32"/>
        </w:rPr>
      </w:pPr>
      <w:r>
        <w:rPr>
          <w:rFonts w:hint="eastAsia" w:ascii="楷体_GB2312" w:hAnsi="仿宋_GB2312" w:eastAsia="楷体_GB2312" w:cs="仿宋_GB2312"/>
          <w:color w:val="000000"/>
          <w:kern w:val="0"/>
          <w:sz w:val="32"/>
          <w:szCs w:val="32"/>
        </w:rPr>
        <w:t>（一）绩效评价目的、对象和范围</w:t>
      </w:r>
    </w:p>
    <w:p w14:paraId="74955390">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lang w:val="en-US" w:eastAsia="zh-CN"/>
        </w:rPr>
        <w:t>通过绩效评价，衡量和考核本项目的绩效完成情况，了解、分析、检验资金使用是否达到预期目标，资金管理是否规范，资金使用是否有效，通过总结经验，分析问题，采取切实措施进一步改进和加强财政支出项目管理，提高财政资金使用效益。</w:t>
      </w:r>
    </w:p>
    <w:p w14:paraId="09F00388">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lang w:val="en-US" w:eastAsia="zh-CN"/>
        </w:rPr>
        <w:t>本次对大兴区空气重污染应急减排清单制定及重点行业绩效评估服务项目实施绩效评价，涉及年度资金总额118.00万元，其中当年财政拨款118.00万元。</w:t>
      </w:r>
    </w:p>
    <w:p w14:paraId="0D054EB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仿宋_GB2312" w:eastAsia="楷体_GB2312" w:cs="仿宋_GB2312"/>
          <w:color w:val="000000"/>
          <w:kern w:val="0"/>
          <w:sz w:val="32"/>
          <w:szCs w:val="32"/>
        </w:rPr>
      </w:pPr>
      <w:r>
        <w:rPr>
          <w:rFonts w:hint="eastAsia" w:ascii="楷体_GB2312" w:hAnsi="仿宋_GB2312" w:eastAsia="楷体_GB2312" w:cs="仿宋_GB2312"/>
          <w:color w:val="000000"/>
          <w:kern w:val="0"/>
          <w:sz w:val="32"/>
          <w:szCs w:val="32"/>
        </w:rPr>
        <w:t>（二）绩效评价基本情况</w:t>
      </w:r>
    </w:p>
    <w:p w14:paraId="0798277E">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lang w:val="en-US" w:eastAsia="zh-CN"/>
        </w:rPr>
        <w:t>1.绩效评价原则及方法</w:t>
      </w:r>
    </w:p>
    <w:p w14:paraId="49890E79">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lang w:val="en-US" w:eastAsia="zh-CN"/>
        </w:rPr>
        <w:t>本次绩效评价遵循“客观、公正、科学、规范”的原则，结合项目的特点，采用比较法、因素分析法等方法，定性与定量相结合，从项目决策、项目过程、项目产出、项目效益四个方面对本项目开展绩效评价。</w:t>
      </w:r>
    </w:p>
    <w:p w14:paraId="6E25EB97">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lang w:val="en-US" w:eastAsia="zh-CN"/>
        </w:rPr>
        <w:t>2.评价标准</w:t>
      </w:r>
    </w:p>
    <w:p w14:paraId="12AE057C">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lang w:val="en-US" w:eastAsia="zh-CN"/>
        </w:rPr>
        <w:t>本次绩效评价以项目预先制定的目标、计划、预算作为评价标准，对绩效指标完成情况进行比较。</w:t>
      </w:r>
    </w:p>
    <w:p w14:paraId="7D3E19B9">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黑体" w:hAnsi="黑体" w:eastAsia="黑体" w:cs="黑体"/>
          <w:b w:val="0"/>
          <w:bCs/>
          <w:color w:val="000000"/>
          <w:kern w:val="0"/>
          <w:sz w:val="32"/>
          <w:szCs w:val="32"/>
          <w:highlight w:val="none"/>
        </w:rPr>
      </w:pPr>
      <w:r>
        <w:rPr>
          <w:rFonts w:hint="eastAsia" w:ascii="黑体" w:hAnsi="黑体" w:eastAsia="黑体" w:cs="黑体"/>
          <w:b w:val="0"/>
          <w:bCs/>
          <w:color w:val="000000"/>
          <w:kern w:val="0"/>
          <w:sz w:val="32"/>
          <w:szCs w:val="32"/>
          <w:highlight w:val="none"/>
        </w:rPr>
        <w:t>三、综合评价情况及评价结论</w:t>
      </w:r>
    </w:p>
    <w:p w14:paraId="4A782B44">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lang w:val="en-US" w:eastAsia="zh-CN"/>
        </w:rPr>
        <w:t>项目评价得分100.00分，评价结论为优。</w:t>
      </w:r>
    </w:p>
    <w:tbl>
      <w:tblPr>
        <w:tblStyle w:val="7"/>
        <w:tblW w:w="8222" w:type="dxa"/>
        <w:tblInd w:w="0"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552"/>
        <w:gridCol w:w="2693"/>
        <w:gridCol w:w="2977"/>
      </w:tblGrid>
      <w:tr w14:paraId="3ED6B25B">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46" w:hRule="exact"/>
        </w:trPr>
        <w:tc>
          <w:tcPr>
            <w:tcW w:w="2552" w:type="dxa"/>
            <w:tcBorders>
              <w:tl2br w:val="nil"/>
              <w:tr2bl w:val="nil"/>
            </w:tcBorders>
            <w:shd w:val="clear" w:color="auto" w:fill="D7D7D7"/>
            <w:vAlign w:val="center"/>
          </w:tcPr>
          <w:p w14:paraId="359736D5">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 w:hAnsi="仿宋" w:eastAsia="仿宋" w:cs="仿宋"/>
                <w:b/>
                <w:bCs/>
                <w:color w:val="000000"/>
                <w:kern w:val="0"/>
                <w:sz w:val="32"/>
                <w:szCs w:val="32"/>
                <w:lang w:bidi="ar"/>
              </w:rPr>
            </w:pPr>
            <w:r>
              <w:rPr>
                <w:rFonts w:hint="eastAsia" w:ascii="仿宋_GB2312" w:hAnsi="仿宋_GB2312" w:eastAsia="仿宋_GB2312" w:cs="仿宋_GB2312"/>
                <w:b/>
                <w:bCs/>
                <w:color w:val="000000"/>
                <w:kern w:val="0"/>
                <w:sz w:val="32"/>
                <w:szCs w:val="32"/>
                <w:lang w:bidi="ar"/>
              </w:rPr>
              <w:t>评价指标</w:t>
            </w:r>
          </w:p>
        </w:tc>
        <w:tc>
          <w:tcPr>
            <w:tcW w:w="2693" w:type="dxa"/>
            <w:tcBorders>
              <w:tl2br w:val="nil"/>
              <w:tr2bl w:val="nil"/>
            </w:tcBorders>
            <w:shd w:val="clear" w:color="auto" w:fill="D7D7D7"/>
            <w:vAlign w:val="center"/>
          </w:tcPr>
          <w:p w14:paraId="61FA2BB0">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 w:hAnsi="仿宋" w:eastAsia="仿宋" w:cs="仿宋"/>
                <w:b/>
                <w:bCs/>
                <w:color w:val="000000"/>
                <w:kern w:val="0"/>
                <w:sz w:val="32"/>
                <w:szCs w:val="32"/>
                <w:lang w:bidi="ar"/>
              </w:rPr>
            </w:pPr>
            <w:r>
              <w:rPr>
                <w:rFonts w:hint="eastAsia" w:ascii="仿宋_GB2312" w:hAnsi="仿宋_GB2312" w:eastAsia="仿宋_GB2312" w:cs="仿宋_GB2312"/>
                <w:b/>
                <w:bCs/>
                <w:color w:val="000000"/>
                <w:kern w:val="0"/>
                <w:sz w:val="32"/>
                <w:szCs w:val="32"/>
                <w:lang w:bidi="ar"/>
              </w:rPr>
              <w:t>分值</w:t>
            </w:r>
          </w:p>
        </w:tc>
        <w:tc>
          <w:tcPr>
            <w:tcW w:w="2977" w:type="dxa"/>
            <w:tcBorders>
              <w:tl2br w:val="nil"/>
              <w:tr2bl w:val="nil"/>
            </w:tcBorders>
            <w:shd w:val="clear" w:color="auto" w:fill="D7D7D7"/>
            <w:vAlign w:val="center"/>
          </w:tcPr>
          <w:p w14:paraId="743231BB">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 w:hAnsi="仿宋" w:eastAsia="仿宋" w:cs="仿宋"/>
                <w:b/>
                <w:bCs/>
                <w:color w:val="000000"/>
                <w:kern w:val="0"/>
                <w:sz w:val="32"/>
                <w:szCs w:val="32"/>
                <w:lang w:bidi="ar"/>
              </w:rPr>
            </w:pPr>
            <w:r>
              <w:rPr>
                <w:rFonts w:hint="eastAsia" w:ascii="仿宋_GB2312" w:hAnsi="仿宋_GB2312" w:eastAsia="仿宋_GB2312" w:cs="仿宋_GB2312"/>
                <w:b/>
                <w:bCs/>
                <w:color w:val="000000"/>
                <w:kern w:val="0"/>
                <w:sz w:val="32"/>
                <w:szCs w:val="32"/>
                <w:lang w:bidi="ar"/>
              </w:rPr>
              <w:t>得分</w:t>
            </w:r>
          </w:p>
        </w:tc>
      </w:tr>
      <w:tr w14:paraId="134BBB07">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46" w:hRule="exact"/>
        </w:trPr>
        <w:tc>
          <w:tcPr>
            <w:tcW w:w="2552" w:type="dxa"/>
            <w:tcBorders>
              <w:tl2br w:val="nil"/>
              <w:tr2bl w:val="nil"/>
            </w:tcBorders>
            <w:vAlign w:val="center"/>
          </w:tcPr>
          <w:p w14:paraId="7395052F">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项目决策</w:t>
            </w:r>
          </w:p>
        </w:tc>
        <w:tc>
          <w:tcPr>
            <w:tcW w:w="2693" w:type="dxa"/>
            <w:tcBorders>
              <w:tl2br w:val="nil"/>
              <w:tr2bl w:val="nil"/>
            </w:tcBorders>
            <w:vAlign w:val="center"/>
          </w:tcPr>
          <w:p w14:paraId="4982D1C0">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10.00</w:t>
            </w:r>
          </w:p>
        </w:tc>
        <w:tc>
          <w:tcPr>
            <w:tcW w:w="2977" w:type="dxa"/>
            <w:tcBorders>
              <w:tl2br w:val="nil"/>
              <w:tr2bl w:val="nil"/>
            </w:tcBorders>
            <w:vAlign w:val="center"/>
          </w:tcPr>
          <w:p w14:paraId="4D2FBD43">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10.00</w:t>
            </w:r>
          </w:p>
        </w:tc>
      </w:tr>
      <w:tr w14:paraId="1069D1AB">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46" w:hRule="exact"/>
        </w:trPr>
        <w:tc>
          <w:tcPr>
            <w:tcW w:w="2552" w:type="dxa"/>
            <w:tcBorders>
              <w:tl2br w:val="nil"/>
              <w:tr2bl w:val="nil"/>
            </w:tcBorders>
            <w:vAlign w:val="center"/>
          </w:tcPr>
          <w:p w14:paraId="2DAD1C03">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rPr>
              <w:t>项目过程</w:t>
            </w:r>
          </w:p>
        </w:tc>
        <w:tc>
          <w:tcPr>
            <w:tcW w:w="2693" w:type="dxa"/>
            <w:tcBorders>
              <w:tl2br w:val="nil"/>
              <w:tr2bl w:val="nil"/>
            </w:tcBorders>
            <w:vAlign w:val="center"/>
          </w:tcPr>
          <w:p w14:paraId="238C564F">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仿宋_GB2312" w:eastAsia="仿宋_GB2312" w:cs="仿宋_GB2312"/>
                <w:color w:val="000000"/>
                <w:kern w:val="0"/>
                <w:sz w:val="32"/>
                <w:szCs w:val="32"/>
                <w:lang w:bidi="ar"/>
              </w:rPr>
            </w:pPr>
            <w:r>
              <w:rPr>
                <w:rFonts w:ascii="仿宋_GB2312" w:hAnsi="仿宋_GB2312" w:eastAsia="仿宋_GB2312" w:cs="仿宋_GB2312"/>
                <w:color w:val="000000"/>
                <w:kern w:val="0"/>
                <w:sz w:val="32"/>
                <w:szCs w:val="32"/>
                <w:lang w:bidi="ar"/>
              </w:rPr>
              <w:t>20.00</w:t>
            </w:r>
          </w:p>
        </w:tc>
        <w:tc>
          <w:tcPr>
            <w:tcW w:w="2977" w:type="dxa"/>
            <w:tcBorders>
              <w:tl2br w:val="nil"/>
              <w:tr2bl w:val="nil"/>
            </w:tcBorders>
            <w:vAlign w:val="center"/>
          </w:tcPr>
          <w:p w14:paraId="2249D7CE">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仿宋_GB2312" w:eastAsia="仿宋_GB2312" w:cs="仿宋_GB2312"/>
                <w:color w:val="000000"/>
                <w:kern w:val="0"/>
                <w:sz w:val="32"/>
                <w:szCs w:val="32"/>
                <w:lang w:bidi="ar"/>
              </w:rPr>
            </w:pPr>
            <w:r>
              <w:rPr>
                <w:rFonts w:ascii="仿宋_GB2312" w:hAnsi="仿宋_GB2312" w:eastAsia="仿宋_GB2312" w:cs="仿宋_GB2312"/>
                <w:color w:val="000000"/>
                <w:kern w:val="0"/>
                <w:sz w:val="32"/>
                <w:szCs w:val="32"/>
                <w:lang w:bidi="ar"/>
              </w:rPr>
              <w:t>2</w:t>
            </w:r>
            <w:r>
              <w:rPr>
                <w:rFonts w:hint="eastAsia" w:ascii="仿宋_GB2312" w:hAnsi="仿宋_GB2312" w:eastAsia="仿宋_GB2312" w:cs="仿宋_GB2312"/>
                <w:color w:val="000000"/>
                <w:kern w:val="0"/>
                <w:sz w:val="32"/>
                <w:szCs w:val="32"/>
                <w:lang w:bidi="ar"/>
              </w:rPr>
              <w:t>0</w:t>
            </w:r>
            <w:r>
              <w:rPr>
                <w:rFonts w:ascii="仿宋_GB2312" w:hAnsi="仿宋_GB2312" w:eastAsia="仿宋_GB2312" w:cs="仿宋_GB2312"/>
                <w:color w:val="000000"/>
                <w:kern w:val="0"/>
                <w:sz w:val="32"/>
                <w:szCs w:val="32"/>
                <w:lang w:bidi="ar"/>
              </w:rPr>
              <w:t>.00</w:t>
            </w:r>
          </w:p>
        </w:tc>
      </w:tr>
      <w:tr w14:paraId="58DF4A02">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46" w:hRule="exact"/>
        </w:trPr>
        <w:tc>
          <w:tcPr>
            <w:tcW w:w="2552" w:type="dxa"/>
            <w:tcBorders>
              <w:tl2br w:val="nil"/>
              <w:tr2bl w:val="nil"/>
            </w:tcBorders>
            <w:vAlign w:val="center"/>
          </w:tcPr>
          <w:p w14:paraId="7713A027">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rPr>
              <w:t>项目产出</w:t>
            </w:r>
          </w:p>
        </w:tc>
        <w:tc>
          <w:tcPr>
            <w:tcW w:w="2693" w:type="dxa"/>
            <w:tcBorders>
              <w:tl2br w:val="nil"/>
              <w:tr2bl w:val="nil"/>
            </w:tcBorders>
            <w:vAlign w:val="center"/>
          </w:tcPr>
          <w:p w14:paraId="51D25CD7">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仿宋_GB2312" w:eastAsia="仿宋_GB2312" w:cs="仿宋_GB2312"/>
                <w:color w:val="000000"/>
                <w:kern w:val="0"/>
                <w:sz w:val="32"/>
                <w:szCs w:val="32"/>
                <w:lang w:bidi="ar"/>
              </w:rPr>
            </w:pPr>
            <w:r>
              <w:rPr>
                <w:rFonts w:ascii="仿宋_GB2312" w:hAnsi="仿宋_GB2312" w:eastAsia="仿宋_GB2312" w:cs="仿宋_GB2312"/>
                <w:color w:val="000000"/>
                <w:kern w:val="0"/>
                <w:sz w:val="32"/>
                <w:szCs w:val="32"/>
                <w:lang w:bidi="ar"/>
              </w:rPr>
              <w:t>40.00</w:t>
            </w:r>
          </w:p>
        </w:tc>
        <w:tc>
          <w:tcPr>
            <w:tcW w:w="2977" w:type="dxa"/>
            <w:tcBorders>
              <w:tl2br w:val="nil"/>
              <w:tr2bl w:val="nil"/>
            </w:tcBorders>
            <w:vAlign w:val="center"/>
          </w:tcPr>
          <w:p w14:paraId="667908ED">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仿宋_GB2312" w:eastAsia="仿宋_GB2312" w:cs="仿宋_GB2312"/>
                <w:color w:val="000000"/>
                <w:kern w:val="0"/>
                <w:sz w:val="32"/>
                <w:szCs w:val="32"/>
                <w:lang w:bidi="ar"/>
              </w:rPr>
            </w:pPr>
            <w:r>
              <w:rPr>
                <w:rFonts w:ascii="仿宋_GB2312" w:hAnsi="仿宋_GB2312" w:eastAsia="仿宋_GB2312" w:cs="仿宋_GB2312"/>
                <w:color w:val="000000"/>
                <w:kern w:val="0"/>
                <w:sz w:val="32"/>
                <w:szCs w:val="32"/>
                <w:lang w:bidi="ar"/>
              </w:rPr>
              <w:t>40.00</w:t>
            </w:r>
          </w:p>
        </w:tc>
      </w:tr>
      <w:tr w14:paraId="0D7A9960">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46" w:hRule="exact"/>
        </w:trPr>
        <w:tc>
          <w:tcPr>
            <w:tcW w:w="2552" w:type="dxa"/>
            <w:tcBorders>
              <w:tl2br w:val="nil"/>
              <w:tr2bl w:val="nil"/>
            </w:tcBorders>
            <w:vAlign w:val="center"/>
          </w:tcPr>
          <w:p w14:paraId="0A3EB3A0">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 w:hAnsi="仿宋" w:eastAsia="仿宋" w:cs="仿宋"/>
                <w:color w:val="000000"/>
                <w:kern w:val="0"/>
                <w:sz w:val="32"/>
                <w:szCs w:val="32"/>
                <w:lang w:bidi="ar"/>
              </w:rPr>
            </w:pPr>
            <w:r>
              <w:rPr>
                <w:rFonts w:hint="eastAsia" w:ascii="仿宋_GB2312" w:hAnsi="仿宋_GB2312" w:eastAsia="仿宋_GB2312" w:cs="仿宋_GB2312"/>
                <w:color w:val="000000"/>
                <w:kern w:val="0"/>
                <w:sz w:val="32"/>
                <w:szCs w:val="32"/>
                <w:lang w:bidi="ar"/>
              </w:rPr>
              <w:t>项目效益</w:t>
            </w:r>
          </w:p>
        </w:tc>
        <w:tc>
          <w:tcPr>
            <w:tcW w:w="2693" w:type="dxa"/>
            <w:tcBorders>
              <w:tl2br w:val="nil"/>
              <w:tr2bl w:val="nil"/>
            </w:tcBorders>
            <w:vAlign w:val="center"/>
          </w:tcPr>
          <w:p w14:paraId="21DFB661">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仿宋" w:eastAsia="仿宋_GB2312" w:cs="仿宋"/>
                <w:bCs/>
                <w:color w:val="000000"/>
                <w:kern w:val="0"/>
                <w:sz w:val="32"/>
                <w:szCs w:val="32"/>
                <w:lang w:bidi="ar"/>
              </w:rPr>
            </w:pPr>
            <w:r>
              <w:rPr>
                <w:rFonts w:ascii="仿宋_GB2312" w:eastAsia="仿宋_GB2312" w:cs="Times New Roman"/>
                <w:bCs/>
                <w:kern w:val="0"/>
                <w:sz w:val="32"/>
                <w:szCs w:val="32"/>
              </w:rPr>
              <w:t>30</w:t>
            </w:r>
            <w:r>
              <w:rPr>
                <w:rFonts w:hint="eastAsia" w:ascii="仿宋_GB2312" w:eastAsia="仿宋_GB2312" w:cs="Times New Roman"/>
                <w:bCs/>
                <w:kern w:val="0"/>
                <w:sz w:val="32"/>
                <w:szCs w:val="32"/>
              </w:rPr>
              <w:t>.00</w:t>
            </w:r>
          </w:p>
        </w:tc>
        <w:tc>
          <w:tcPr>
            <w:tcW w:w="2977" w:type="dxa"/>
            <w:tcBorders>
              <w:tl2br w:val="nil"/>
              <w:tr2bl w:val="nil"/>
            </w:tcBorders>
            <w:vAlign w:val="center"/>
          </w:tcPr>
          <w:p w14:paraId="2966E797">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仿宋" w:eastAsia="仿宋_GB2312" w:cs="仿宋"/>
                <w:color w:val="000000"/>
                <w:kern w:val="0"/>
                <w:sz w:val="32"/>
                <w:szCs w:val="32"/>
                <w:lang w:bidi="ar"/>
              </w:rPr>
            </w:pPr>
            <w:r>
              <w:rPr>
                <w:rFonts w:hint="eastAsia" w:ascii="仿宋_GB2312" w:eastAsia="仿宋_GB2312" w:cs="Times New Roman"/>
                <w:bCs/>
                <w:kern w:val="0"/>
                <w:sz w:val="32"/>
                <w:szCs w:val="32"/>
                <w:lang w:val="en-US" w:eastAsia="zh-CN"/>
              </w:rPr>
              <w:t>30.0</w:t>
            </w:r>
            <w:r>
              <w:rPr>
                <w:rFonts w:ascii="仿宋_GB2312" w:eastAsia="仿宋_GB2312" w:cs="Times New Roman"/>
                <w:bCs/>
                <w:kern w:val="0"/>
                <w:sz w:val="32"/>
                <w:szCs w:val="32"/>
              </w:rPr>
              <w:t>0</w:t>
            </w:r>
          </w:p>
        </w:tc>
      </w:tr>
      <w:tr w14:paraId="10068930">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46" w:hRule="exact"/>
        </w:trPr>
        <w:tc>
          <w:tcPr>
            <w:tcW w:w="2552" w:type="dxa"/>
            <w:tcBorders>
              <w:tl2br w:val="nil"/>
              <w:tr2bl w:val="nil"/>
            </w:tcBorders>
            <w:vAlign w:val="center"/>
          </w:tcPr>
          <w:p w14:paraId="772D032C">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 w:hAnsi="仿宋" w:eastAsia="仿宋" w:cs="仿宋"/>
                <w:color w:val="000000"/>
                <w:kern w:val="0"/>
                <w:sz w:val="32"/>
                <w:szCs w:val="32"/>
                <w:lang w:bidi="ar"/>
              </w:rPr>
            </w:pPr>
            <w:r>
              <w:rPr>
                <w:rFonts w:hint="eastAsia" w:ascii="仿宋_GB2312" w:hAnsi="仿宋_GB2312" w:eastAsia="仿宋_GB2312" w:cs="仿宋_GB2312"/>
                <w:color w:val="000000"/>
                <w:kern w:val="0"/>
                <w:sz w:val="32"/>
                <w:szCs w:val="32"/>
                <w:lang w:bidi="ar"/>
              </w:rPr>
              <w:t>综合评分</w:t>
            </w:r>
          </w:p>
        </w:tc>
        <w:tc>
          <w:tcPr>
            <w:tcW w:w="2693" w:type="dxa"/>
            <w:tcBorders>
              <w:tl2br w:val="nil"/>
              <w:tr2bl w:val="nil"/>
            </w:tcBorders>
            <w:vAlign w:val="center"/>
          </w:tcPr>
          <w:p w14:paraId="0C0139E4">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仿宋" w:eastAsia="仿宋_GB2312" w:cs="仿宋"/>
                <w:bCs/>
                <w:color w:val="000000"/>
                <w:kern w:val="0"/>
                <w:sz w:val="32"/>
                <w:szCs w:val="32"/>
                <w:lang w:bidi="ar"/>
              </w:rPr>
            </w:pPr>
            <w:r>
              <w:rPr>
                <w:rFonts w:hint="eastAsia" w:ascii="仿宋_GB2312" w:eastAsia="仿宋_GB2312" w:cs="Times New Roman"/>
                <w:bCs/>
                <w:kern w:val="0"/>
                <w:sz w:val="32"/>
                <w:szCs w:val="32"/>
              </w:rPr>
              <w:t>100.00</w:t>
            </w:r>
          </w:p>
        </w:tc>
        <w:tc>
          <w:tcPr>
            <w:tcW w:w="2977" w:type="dxa"/>
            <w:tcBorders>
              <w:tl2br w:val="nil"/>
              <w:tr2bl w:val="nil"/>
            </w:tcBorders>
            <w:vAlign w:val="center"/>
          </w:tcPr>
          <w:p w14:paraId="4152C3D2">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仿宋" w:eastAsia="仿宋_GB2312" w:cs="仿宋"/>
                <w:color w:val="000000"/>
                <w:kern w:val="0"/>
                <w:sz w:val="32"/>
                <w:szCs w:val="32"/>
                <w:lang w:bidi="ar"/>
              </w:rPr>
            </w:pPr>
            <w:r>
              <w:rPr>
                <w:rFonts w:hint="eastAsia" w:ascii="仿宋_GB2312" w:eastAsia="仿宋_GB2312" w:cs="Times New Roman"/>
                <w:bCs/>
                <w:kern w:val="0"/>
                <w:sz w:val="32"/>
                <w:szCs w:val="32"/>
                <w:lang w:val="en-US" w:eastAsia="zh-CN"/>
              </w:rPr>
              <w:t>100.0</w:t>
            </w:r>
            <w:r>
              <w:rPr>
                <w:rFonts w:hint="eastAsia" w:ascii="仿宋_GB2312" w:eastAsia="仿宋_GB2312" w:cs="Times New Roman"/>
                <w:bCs/>
                <w:kern w:val="0"/>
                <w:sz w:val="32"/>
                <w:szCs w:val="32"/>
              </w:rPr>
              <w:t>0</w:t>
            </w:r>
          </w:p>
        </w:tc>
      </w:tr>
      <w:tr w14:paraId="4AF2CEBA">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46" w:hRule="exact"/>
        </w:trPr>
        <w:tc>
          <w:tcPr>
            <w:tcW w:w="2552" w:type="dxa"/>
            <w:tcBorders>
              <w:tl2br w:val="nil"/>
              <w:tr2bl w:val="nil"/>
            </w:tcBorders>
            <w:vAlign w:val="center"/>
          </w:tcPr>
          <w:p w14:paraId="100C90E1">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 w:hAnsi="仿宋" w:eastAsia="仿宋" w:cs="仿宋"/>
                <w:b/>
                <w:bCs/>
                <w:color w:val="000000"/>
                <w:kern w:val="0"/>
                <w:sz w:val="32"/>
                <w:szCs w:val="32"/>
                <w:lang w:bidi="ar"/>
              </w:rPr>
            </w:pPr>
            <w:r>
              <w:rPr>
                <w:rFonts w:hint="eastAsia" w:ascii="仿宋_GB2312" w:hAnsi="仿宋_GB2312" w:eastAsia="仿宋_GB2312" w:cs="仿宋_GB2312"/>
                <w:b/>
                <w:bCs/>
                <w:color w:val="000000"/>
                <w:kern w:val="0"/>
                <w:sz w:val="32"/>
                <w:szCs w:val="32"/>
                <w:lang w:bidi="ar"/>
              </w:rPr>
              <w:t>绩效级别</w:t>
            </w:r>
          </w:p>
        </w:tc>
        <w:tc>
          <w:tcPr>
            <w:tcW w:w="5670" w:type="dxa"/>
            <w:gridSpan w:val="2"/>
            <w:tcBorders>
              <w:tl2br w:val="nil"/>
              <w:tr2bl w:val="nil"/>
            </w:tcBorders>
            <w:vAlign w:val="center"/>
          </w:tcPr>
          <w:p w14:paraId="2C692D41">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仿宋" w:eastAsia="仿宋_GB2312" w:cs="仿宋"/>
                <w:b/>
                <w:bCs/>
                <w:color w:val="000000"/>
                <w:kern w:val="0"/>
                <w:sz w:val="32"/>
                <w:szCs w:val="32"/>
                <w:lang w:bidi="ar"/>
              </w:rPr>
            </w:pPr>
            <w:r>
              <w:rPr>
                <w:rFonts w:hint="eastAsia" w:ascii="仿宋_GB2312" w:hAnsi="仿宋" w:eastAsia="仿宋_GB2312" w:cs="仿宋"/>
                <w:b/>
                <w:bCs/>
                <w:color w:val="000000"/>
                <w:kern w:val="0"/>
                <w:sz w:val="32"/>
                <w:szCs w:val="32"/>
                <w:lang w:bidi="ar"/>
              </w:rPr>
              <w:t>优</w:t>
            </w:r>
          </w:p>
        </w:tc>
      </w:tr>
    </w:tbl>
    <w:p w14:paraId="679666DD">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仿宋_GB2312" w:hAnsi="仿宋_GB2312" w:eastAsia="仿宋_GB2312" w:cs="仿宋_GB2312"/>
          <w:color w:val="000000"/>
          <w:kern w:val="0"/>
          <w:sz w:val="32"/>
          <w:szCs w:val="32"/>
          <w:highlight w:val="none"/>
          <w:lang w:val="en-US" w:eastAsia="zh-CN"/>
        </w:rPr>
      </w:pPr>
      <w:bookmarkStart w:id="0" w:name="_Toc515867883"/>
      <w:bookmarkStart w:id="1" w:name="_Hlk161834335"/>
      <w:r>
        <w:rPr>
          <w:rFonts w:hint="eastAsia" w:ascii="仿宋_GB2312" w:hAnsi="仿宋_GB2312" w:eastAsia="仿宋_GB2312" w:cs="仿宋_GB2312"/>
          <w:color w:val="000000"/>
          <w:kern w:val="0"/>
          <w:sz w:val="32"/>
          <w:szCs w:val="32"/>
          <w:highlight w:val="none"/>
          <w:lang w:val="en-US" w:eastAsia="zh-CN"/>
        </w:rPr>
        <w:t>项目按照预算目标及合同约定完成全区重点行业应急减排清单信息校核以及重点行业绩效评估，实现行业绩效水平提升，进一步优化全区重污染天气污染防治管理体系。</w:t>
      </w:r>
    </w:p>
    <w:p w14:paraId="69F51382">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lang w:val="en-US" w:eastAsia="zh-CN"/>
        </w:rPr>
        <w:t>该项目立项程序规范，资金投入符合资金使用的相关要求；资金使用合规，项目财务管理制度健全，合同签订、监督管理情况规范；项目产出数量及完成质量情况好；产生了较好的社会效益和生态效益。</w:t>
      </w:r>
    </w:p>
    <w:p w14:paraId="58908994">
      <w:pPr>
        <w:keepNext w:val="0"/>
        <w:keepLines w:val="0"/>
        <w:pageBreakBefore w:val="0"/>
        <w:widowControl w:val="0"/>
        <w:kinsoku/>
        <w:wordWrap/>
        <w:overflowPunct/>
        <w:topLinePunct w:val="0"/>
        <w:autoSpaceDE/>
        <w:autoSpaceDN/>
        <w:bidi w:val="0"/>
        <w:adjustRightInd/>
        <w:snapToGrid/>
        <w:spacing w:after="157" w:afterLines="50" w:line="560" w:lineRule="exact"/>
        <w:jc w:val="center"/>
        <w:textAlignment w:val="auto"/>
        <w:rPr>
          <w:rFonts w:hint="eastAsia" w:ascii="仿宋_GB2312" w:hAnsi="仿宋_GB2312" w:eastAsia="仿宋_GB2312" w:cs="仿宋_GB2312"/>
          <w:b/>
          <w:bCs/>
          <w:color w:val="000000"/>
          <w:kern w:val="0"/>
          <w:sz w:val="32"/>
          <w:szCs w:val="32"/>
        </w:rPr>
      </w:pPr>
      <w:r>
        <w:rPr>
          <w:rFonts w:hint="eastAsia" w:ascii="仿宋_GB2312" w:hAnsi="仿宋_GB2312" w:eastAsia="仿宋_GB2312" w:cs="仿宋_GB2312"/>
          <w:b/>
          <w:bCs/>
          <w:color w:val="000000"/>
          <w:kern w:val="0"/>
          <w:sz w:val="32"/>
          <w:szCs w:val="32"/>
        </w:rPr>
        <w:t>项目支出指标体系及评分情况表</w:t>
      </w:r>
    </w:p>
    <w:tbl>
      <w:tblPr>
        <w:tblStyle w:val="6"/>
        <w:tblW w:w="8490" w:type="dxa"/>
        <w:tblInd w:w="-4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4"/>
        <w:gridCol w:w="1389"/>
        <w:gridCol w:w="2445"/>
        <w:gridCol w:w="1397"/>
        <w:gridCol w:w="1245"/>
        <w:gridCol w:w="780"/>
      </w:tblGrid>
      <w:tr w14:paraId="1A86D2EE">
        <w:tblPrEx>
          <w:tblCellMar>
            <w:top w:w="0" w:type="dxa"/>
            <w:left w:w="108" w:type="dxa"/>
            <w:bottom w:w="0" w:type="dxa"/>
            <w:right w:w="108" w:type="dxa"/>
          </w:tblCellMar>
        </w:tblPrEx>
        <w:trPr>
          <w:trHeight w:val="826" w:hRule="exact"/>
          <w:tblHeader/>
        </w:trPr>
        <w:tc>
          <w:tcPr>
            <w:tcW w:w="1234" w:type="dxa"/>
            <w:shd w:val="clear" w:color="000000" w:fill="FFFFFF"/>
            <w:vAlign w:val="center"/>
          </w:tcPr>
          <w:p w14:paraId="2095962D">
            <w:pPr>
              <w:keepNext w:val="0"/>
              <w:keepLines w:val="0"/>
              <w:pageBreakBefore w:val="0"/>
              <w:widowControl/>
              <w:kinsoku/>
              <w:wordWrap/>
              <w:overflowPunct/>
              <w:topLinePunct w:val="0"/>
              <w:autoSpaceDE/>
              <w:autoSpaceDN/>
              <w:bidi w:val="0"/>
              <w:adjustRightInd/>
              <w:snapToGrid/>
              <w:jc w:val="center"/>
              <w:rPr>
                <w:rFonts w:hint="eastAsia" w:ascii="仿宋_GB2312" w:hAnsi="仿宋_GB2312" w:eastAsia="仿宋_GB2312" w:cs="仿宋_GB2312"/>
                <w:b/>
                <w:bCs/>
                <w:color w:val="000000"/>
                <w:kern w:val="0"/>
                <w:sz w:val="24"/>
                <w:szCs w:val="24"/>
              </w:rPr>
            </w:pPr>
            <w:bookmarkStart w:id="2" w:name="_Hlk161834365"/>
            <w:r>
              <w:rPr>
                <w:rFonts w:hint="eastAsia" w:ascii="仿宋_GB2312" w:hAnsi="仿宋_GB2312" w:eastAsia="仿宋_GB2312" w:cs="仿宋_GB2312"/>
                <w:b/>
                <w:bCs/>
                <w:color w:val="000000"/>
                <w:kern w:val="0"/>
                <w:sz w:val="24"/>
                <w:szCs w:val="24"/>
              </w:rPr>
              <w:t>一级</w:t>
            </w:r>
          </w:p>
          <w:p w14:paraId="0773BF6E">
            <w:pPr>
              <w:keepNext w:val="0"/>
              <w:keepLines w:val="0"/>
              <w:pageBreakBefore w:val="0"/>
              <w:widowControl/>
              <w:kinsoku/>
              <w:wordWrap/>
              <w:overflowPunct/>
              <w:topLinePunct w:val="0"/>
              <w:autoSpaceDE/>
              <w:autoSpaceDN/>
              <w:bidi w:val="0"/>
              <w:adjustRightInd/>
              <w:snapToGrid/>
              <w:jc w:val="center"/>
              <w:rPr>
                <w:rFonts w:hint="eastAsia" w:ascii="仿宋_GB2312" w:hAnsi="仿宋_GB2312" w:eastAsia="仿宋_GB2312" w:cs="仿宋_GB2312"/>
                <w:b/>
                <w:bCs/>
                <w:color w:val="000000"/>
                <w:kern w:val="0"/>
                <w:sz w:val="24"/>
                <w:szCs w:val="24"/>
              </w:rPr>
            </w:pPr>
            <w:r>
              <w:rPr>
                <w:rFonts w:hint="eastAsia" w:ascii="仿宋_GB2312" w:hAnsi="仿宋_GB2312" w:eastAsia="仿宋_GB2312" w:cs="仿宋_GB2312"/>
                <w:b/>
                <w:bCs/>
                <w:color w:val="000000"/>
                <w:kern w:val="0"/>
                <w:sz w:val="24"/>
                <w:szCs w:val="24"/>
              </w:rPr>
              <w:t>指标</w:t>
            </w:r>
          </w:p>
        </w:tc>
        <w:tc>
          <w:tcPr>
            <w:tcW w:w="1389" w:type="dxa"/>
            <w:shd w:val="clear" w:color="000000" w:fill="FFFFFF"/>
            <w:vAlign w:val="center"/>
          </w:tcPr>
          <w:p w14:paraId="2B1941AA">
            <w:pPr>
              <w:keepNext w:val="0"/>
              <w:keepLines w:val="0"/>
              <w:pageBreakBefore w:val="0"/>
              <w:widowControl/>
              <w:kinsoku/>
              <w:wordWrap/>
              <w:overflowPunct/>
              <w:topLinePunct w:val="0"/>
              <w:autoSpaceDE/>
              <w:autoSpaceDN/>
              <w:bidi w:val="0"/>
              <w:adjustRightInd/>
              <w:snapToGrid/>
              <w:jc w:val="center"/>
              <w:rPr>
                <w:rFonts w:hint="eastAsia" w:ascii="仿宋_GB2312" w:hAnsi="仿宋_GB2312" w:eastAsia="仿宋_GB2312" w:cs="仿宋_GB2312"/>
                <w:b/>
                <w:bCs/>
                <w:color w:val="000000"/>
                <w:kern w:val="0"/>
                <w:sz w:val="24"/>
                <w:szCs w:val="24"/>
              </w:rPr>
            </w:pPr>
            <w:r>
              <w:rPr>
                <w:rFonts w:hint="eastAsia" w:ascii="仿宋_GB2312" w:hAnsi="仿宋_GB2312" w:eastAsia="仿宋_GB2312" w:cs="仿宋_GB2312"/>
                <w:b/>
                <w:bCs/>
                <w:color w:val="000000"/>
                <w:kern w:val="0"/>
                <w:sz w:val="24"/>
                <w:szCs w:val="24"/>
              </w:rPr>
              <w:t>二级指标</w:t>
            </w:r>
          </w:p>
        </w:tc>
        <w:tc>
          <w:tcPr>
            <w:tcW w:w="2445" w:type="dxa"/>
            <w:shd w:val="clear" w:color="000000" w:fill="FFFFFF"/>
            <w:vAlign w:val="center"/>
          </w:tcPr>
          <w:p w14:paraId="1D480998">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b/>
                <w:bCs/>
                <w:color w:val="000000"/>
                <w:kern w:val="0"/>
                <w:sz w:val="24"/>
                <w:szCs w:val="24"/>
              </w:rPr>
            </w:pPr>
            <w:r>
              <w:rPr>
                <w:rFonts w:hint="eastAsia" w:ascii="仿宋_GB2312" w:hAnsi="仿宋_GB2312" w:eastAsia="仿宋_GB2312" w:cs="仿宋_GB2312"/>
                <w:b/>
                <w:bCs/>
                <w:color w:val="000000"/>
                <w:kern w:val="0"/>
                <w:sz w:val="24"/>
                <w:szCs w:val="24"/>
              </w:rPr>
              <w:t>三级指标</w:t>
            </w:r>
          </w:p>
        </w:tc>
        <w:tc>
          <w:tcPr>
            <w:tcW w:w="1397" w:type="dxa"/>
            <w:shd w:val="clear" w:color="000000" w:fill="FFFFFF"/>
            <w:vAlign w:val="center"/>
          </w:tcPr>
          <w:p w14:paraId="1451546B">
            <w:pPr>
              <w:keepNext w:val="0"/>
              <w:keepLines w:val="0"/>
              <w:pageBreakBefore w:val="0"/>
              <w:widowControl/>
              <w:kinsoku/>
              <w:wordWrap/>
              <w:overflowPunct/>
              <w:topLinePunct w:val="0"/>
              <w:autoSpaceDE/>
              <w:autoSpaceDN/>
              <w:bidi w:val="0"/>
              <w:adjustRightInd/>
              <w:snapToGrid/>
              <w:jc w:val="center"/>
              <w:rPr>
                <w:rFonts w:hint="eastAsia" w:ascii="仿宋_GB2312" w:hAnsi="仿宋_GB2312" w:eastAsia="仿宋_GB2312" w:cs="仿宋_GB2312"/>
                <w:b/>
                <w:bCs/>
                <w:color w:val="000000"/>
                <w:kern w:val="0"/>
                <w:sz w:val="24"/>
                <w:szCs w:val="24"/>
              </w:rPr>
            </w:pPr>
            <w:r>
              <w:rPr>
                <w:rFonts w:hint="eastAsia" w:ascii="仿宋_GB2312" w:hAnsi="仿宋_GB2312" w:eastAsia="仿宋_GB2312" w:cs="仿宋_GB2312"/>
                <w:b/>
                <w:bCs/>
                <w:color w:val="000000"/>
                <w:kern w:val="0"/>
                <w:sz w:val="24"/>
                <w:szCs w:val="24"/>
              </w:rPr>
              <w:t>分值</w:t>
            </w:r>
          </w:p>
        </w:tc>
        <w:tc>
          <w:tcPr>
            <w:tcW w:w="1245" w:type="dxa"/>
            <w:shd w:val="clear" w:color="000000" w:fill="FFFFFF"/>
            <w:vAlign w:val="center"/>
          </w:tcPr>
          <w:p w14:paraId="7ECAD3B9">
            <w:pPr>
              <w:keepNext w:val="0"/>
              <w:keepLines w:val="0"/>
              <w:pageBreakBefore w:val="0"/>
              <w:widowControl/>
              <w:kinsoku/>
              <w:wordWrap/>
              <w:overflowPunct/>
              <w:topLinePunct w:val="0"/>
              <w:autoSpaceDE/>
              <w:autoSpaceDN/>
              <w:bidi w:val="0"/>
              <w:adjustRightInd/>
              <w:snapToGrid/>
              <w:jc w:val="center"/>
              <w:rPr>
                <w:rFonts w:hint="eastAsia" w:ascii="仿宋_GB2312" w:hAnsi="仿宋_GB2312" w:eastAsia="仿宋_GB2312" w:cs="仿宋_GB2312"/>
                <w:b/>
                <w:bCs/>
                <w:color w:val="000000"/>
                <w:kern w:val="0"/>
                <w:sz w:val="24"/>
                <w:szCs w:val="24"/>
              </w:rPr>
            </w:pPr>
            <w:r>
              <w:rPr>
                <w:rFonts w:hint="eastAsia" w:ascii="仿宋_GB2312" w:hAnsi="仿宋_GB2312" w:eastAsia="仿宋_GB2312" w:cs="仿宋_GB2312"/>
                <w:b/>
                <w:bCs/>
                <w:color w:val="000000"/>
                <w:kern w:val="0"/>
                <w:sz w:val="24"/>
                <w:szCs w:val="24"/>
              </w:rPr>
              <w:t>得分</w:t>
            </w:r>
          </w:p>
        </w:tc>
        <w:tc>
          <w:tcPr>
            <w:tcW w:w="780" w:type="dxa"/>
            <w:shd w:val="clear" w:color="000000" w:fill="FFFFFF"/>
            <w:vAlign w:val="center"/>
          </w:tcPr>
          <w:p w14:paraId="626B48AA">
            <w:pPr>
              <w:keepNext w:val="0"/>
              <w:keepLines w:val="0"/>
              <w:pageBreakBefore w:val="0"/>
              <w:widowControl/>
              <w:kinsoku/>
              <w:wordWrap/>
              <w:overflowPunct/>
              <w:topLinePunct w:val="0"/>
              <w:autoSpaceDE/>
              <w:autoSpaceDN/>
              <w:bidi w:val="0"/>
              <w:adjustRightInd/>
              <w:snapToGrid/>
              <w:jc w:val="center"/>
              <w:rPr>
                <w:rFonts w:hint="eastAsia" w:ascii="仿宋_GB2312" w:hAnsi="仿宋_GB2312" w:eastAsia="仿宋_GB2312" w:cs="仿宋_GB2312"/>
                <w:b/>
                <w:bCs/>
                <w:color w:val="000000"/>
                <w:kern w:val="0"/>
                <w:sz w:val="24"/>
                <w:szCs w:val="24"/>
              </w:rPr>
            </w:pPr>
            <w:r>
              <w:rPr>
                <w:rFonts w:hint="eastAsia" w:ascii="仿宋_GB2312" w:hAnsi="仿宋_GB2312" w:eastAsia="仿宋_GB2312" w:cs="仿宋_GB2312"/>
                <w:b/>
                <w:bCs/>
                <w:color w:val="000000"/>
                <w:kern w:val="0"/>
                <w:sz w:val="24"/>
                <w:szCs w:val="24"/>
              </w:rPr>
              <w:t>扣分理由</w:t>
            </w:r>
          </w:p>
        </w:tc>
      </w:tr>
      <w:tr w14:paraId="647EFF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1" w:hRule="exact"/>
        </w:trPr>
        <w:tc>
          <w:tcPr>
            <w:tcW w:w="1234" w:type="dxa"/>
            <w:vMerge w:val="restart"/>
            <w:shd w:val="clear" w:color="000000" w:fill="FFFFFF"/>
            <w:vAlign w:val="center"/>
          </w:tcPr>
          <w:p w14:paraId="28E10DCD">
            <w:pPr>
              <w:keepNext w:val="0"/>
              <w:keepLines w:val="0"/>
              <w:pageBreakBefore w:val="0"/>
              <w:widowControl/>
              <w:kinsoku/>
              <w:wordWrap/>
              <w:overflowPunct/>
              <w:topLinePunct w:val="0"/>
              <w:autoSpaceDE/>
              <w:autoSpaceDN/>
              <w:bidi w:val="0"/>
              <w:adjustRightInd/>
              <w:snapToGrid/>
              <w:jc w:val="center"/>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决策</w:t>
            </w:r>
          </w:p>
          <w:p w14:paraId="7BF0609A">
            <w:pPr>
              <w:keepNext w:val="0"/>
              <w:keepLines w:val="0"/>
              <w:pageBreakBefore w:val="0"/>
              <w:widowControl/>
              <w:kinsoku/>
              <w:wordWrap/>
              <w:overflowPunct/>
              <w:topLinePunct w:val="0"/>
              <w:autoSpaceDE/>
              <w:autoSpaceDN/>
              <w:bidi w:val="0"/>
              <w:adjustRightInd/>
              <w:snapToGrid/>
              <w:jc w:val="center"/>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（10分）</w:t>
            </w:r>
          </w:p>
        </w:tc>
        <w:tc>
          <w:tcPr>
            <w:tcW w:w="1389" w:type="dxa"/>
            <w:vMerge w:val="restart"/>
            <w:shd w:val="clear" w:color="000000" w:fill="FFFFFF"/>
            <w:vAlign w:val="center"/>
          </w:tcPr>
          <w:p w14:paraId="04495273">
            <w:pPr>
              <w:keepNext w:val="0"/>
              <w:keepLines w:val="0"/>
              <w:pageBreakBefore w:val="0"/>
              <w:widowControl/>
              <w:kinsoku/>
              <w:wordWrap/>
              <w:overflowPunct/>
              <w:topLinePunct w:val="0"/>
              <w:autoSpaceDE/>
              <w:autoSpaceDN/>
              <w:bidi w:val="0"/>
              <w:adjustRightInd/>
              <w:snapToGrid/>
              <w:jc w:val="center"/>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项目立项</w:t>
            </w:r>
          </w:p>
        </w:tc>
        <w:tc>
          <w:tcPr>
            <w:tcW w:w="2445" w:type="dxa"/>
            <w:shd w:val="clear" w:color="000000" w:fill="FFFFFF"/>
            <w:vAlign w:val="center"/>
          </w:tcPr>
          <w:p w14:paraId="587E39CE">
            <w:pPr>
              <w:keepNext w:val="0"/>
              <w:keepLines w:val="0"/>
              <w:pageBreakBefore w:val="0"/>
              <w:widowControl/>
              <w:kinsoku/>
              <w:wordWrap/>
              <w:overflowPunct/>
              <w:topLinePunct w:val="0"/>
              <w:autoSpaceDE/>
              <w:autoSpaceDN/>
              <w:bidi w:val="0"/>
              <w:adjustRightInd/>
              <w:snapToGrid/>
              <w:jc w:val="center"/>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立项依据充分性</w:t>
            </w:r>
          </w:p>
        </w:tc>
        <w:tc>
          <w:tcPr>
            <w:tcW w:w="1397" w:type="dxa"/>
            <w:shd w:val="clear" w:color="000000" w:fill="FFFFFF"/>
            <w:vAlign w:val="center"/>
          </w:tcPr>
          <w:p w14:paraId="1DCF47F1">
            <w:pPr>
              <w:keepNext w:val="0"/>
              <w:keepLines w:val="0"/>
              <w:pageBreakBefore w:val="0"/>
              <w:widowControl/>
              <w:kinsoku/>
              <w:wordWrap/>
              <w:overflowPunct/>
              <w:topLinePunct w:val="0"/>
              <w:autoSpaceDE/>
              <w:autoSpaceDN/>
              <w:bidi w:val="0"/>
              <w:adjustRightInd/>
              <w:snapToGrid/>
              <w:jc w:val="center"/>
              <w:textAlignment w:val="center"/>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lang w:bidi="ar"/>
              </w:rPr>
              <w:t>2.00</w:t>
            </w:r>
          </w:p>
        </w:tc>
        <w:tc>
          <w:tcPr>
            <w:tcW w:w="1245" w:type="dxa"/>
            <w:shd w:val="clear" w:color="000000" w:fill="FFFFFF"/>
            <w:vAlign w:val="center"/>
          </w:tcPr>
          <w:p w14:paraId="0AC0D2D9">
            <w:pPr>
              <w:keepNext w:val="0"/>
              <w:keepLines w:val="0"/>
              <w:pageBreakBefore w:val="0"/>
              <w:widowControl/>
              <w:kinsoku/>
              <w:wordWrap/>
              <w:overflowPunct/>
              <w:topLinePunct w:val="0"/>
              <w:autoSpaceDE/>
              <w:autoSpaceDN/>
              <w:bidi w:val="0"/>
              <w:adjustRightInd/>
              <w:snapToGrid/>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2.00</w:t>
            </w:r>
          </w:p>
        </w:tc>
        <w:tc>
          <w:tcPr>
            <w:tcW w:w="780" w:type="dxa"/>
            <w:shd w:val="clear" w:color="000000" w:fill="FFFFFF"/>
            <w:vAlign w:val="center"/>
          </w:tcPr>
          <w:p w14:paraId="645DF6E1">
            <w:pPr>
              <w:keepNext w:val="0"/>
              <w:keepLines w:val="0"/>
              <w:pageBreakBefore w:val="0"/>
              <w:widowControl/>
              <w:kinsoku/>
              <w:wordWrap/>
              <w:overflowPunct/>
              <w:topLinePunct w:val="0"/>
              <w:autoSpaceDE/>
              <w:autoSpaceDN/>
              <w:bidi w:val="0"/>
              <w:adjustRightInd/>
              <w:snapToGrid/>
              <w:jc w:val="center"/>
              <w:rPr>
                <w:rFonts w:hint="eastAsia" w:ascii="仿宋_GB2312" w:hAnsi="仿宋_GB2312" w:eastAsia="仿宋_GB2312" w:cs="仿宋_GB2312"/>
                <w:color w:val="000000"/>
                <w:kern w:val="0"/>
                <w:sz w:val="24"/>
                <w:szCs w:val="24"/>
              </w:rPr>
            </w:pPr>
          </w:p>
        </w:tc>
      </w:tr>
      <w:tr w14:paraId="320FE9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6" w:hRule="exact"/>
        </w:trPr>
        <w:tc>
          <w:tcPr>
            <w:tcW w:w="1234" w:type="dxa"/>
            <w:vMerge w:val="continue"/>
            <w:shd w:val="clear" w:color="auto" w:fill="auto"/>
            <w:vAlign w:val="center"/>
          </w:tcPr>
          <w:p w14:paraId="04ABB6AD">
            <w:pPr>
              <w:keepNext w:val="0"/>
              <w:keepLines w:val="0"/>
              <w:pageBreakBefore w:val="0"/>
              <w:widowControl/>
              <w:kinsoku/>
              <w:wordWrap/>
              <w:overflowPunct/>
              <w:topLinePunct w:val="0"/>
              <w:autoSpaceDE/>
              <w:autoSpaceDN/>
              <w:bidi w:val="0"/>
              <w:adjustRightInd/>
              <w:snapToGrid/>
              <w:jc w:val="center"/>
              <w:rPr>
                <w:rFonts w:hint="eastAsia" w:ascii="仿宋_GB2312" w:hAnsi="仿宋_GB2312" w:eastAsia="仿宋_GB2312" w:cs="仿宋_GB2312"/>
                <w:color w:val="000000"/>
                <w:kern w:val="0"/>
                <w:sz w:val="24"/>
                <w:szCs w:val="24"/>
              </w:rPr>
            </w:pPr>
          </w:p>
        </w:tc>
        <w:tc>
          <w:tcPr>
            <w:tcW w:w="1389" w:type="dxa"/>
            <w:vMerge w:val="continue"/>
            <w:shd w:val="clear" w:color="auto" w:fill="auto"/>
            <w:vAlign w:val="center"/>
          </w:tcPr>
          <w:p w14:paraId="41CBBC64">
            <w:pPr>
              <w:keepNext w:val="0"/>
              <w:keepLines w:val="0"/>
              <w:pageBreakBefore w:val="0"/>
              <w:widowControl/>
              <w:kinsoku/>
              <w:wordWrap/>
              <w:overflowPunct/>
              <w:topLinePunct w:val="0"/>
              <w:autoSpaceDE/>
              <w:autoSpaceDN/>
              <w:bidi w:val="0"/>
              <w:adjustRightInd/>
              <w:snapToGrid/>
              <w:jc w:val="center"/>
              <w:rPr>
                <w:rFonts w:hint="eastAsia" w:ascii="仿宋_GB2312" w:hAnsi="仿宋_GB2312" w:eastAsia="仿宋_GB2312" w:cs="仿宋_GB2312"/>
                <w:color w:val="000000"/>
                <w:kern w:val="0"/>
                <w:sz w:val="24"/>
                <w:szCs w:val="24"/>
              </w:rPr>
            </w:pPr>
          </w:p>
        </w:tc>
        <w:tc>
          <w:tcPr>
            <w:tcW w:w="2445" w:type="dxa"/>
            <w:shd w:val="clear" w:color="000000" w:fill="FFFFFF"/>
            <w:vAlign w:val="center"/>
          </w:tcPr>
          <w:p w14:paraId="406F0C12">
            <w:pPr>
              <w:keepNext w:val="0"/>
              <w:keepLines w:val="0"/>
              <w:pageBreakBefore w:val="0"/>
              <w:widowControl/>
              <w:kinsoku/>
              <w:wordWrap/>
              <w:overflowPunct/>
              <w:topLinePunct w:val="0"/>
              <w:autoSpaceDE/>
              <w:autoSpaceDN/>
              <w:bidi w:val="0"/>
              <w:adjustRightInd/>
              <w:snapToGrid/>
              <w:jc w:val="center"/>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立项程序规范性</w:t>
            </w:r>
          </w:p>
        </w:tc>
        <w:tc>
          <w:tcPr>
            <w:tcW w:w="1397" w:type="dxa"/>
            <w:shd w:val="clear" w:color="000000" w:fill="FFFFFF"/>
            <w:vAlign w:val="center"/>
          </w:tcPr>
          <w:p w14:paraId="230A44DF">
            <w:pPr>
              <w:keepNext w:val="0"/>
              <w:keepLines w:val="0"/>
              <w:pageBreakBefore w:val="0"/>
              <w:widowControl/>
              <w:kinsoku/>
              <w:wordWrap/>
              <w:overflowPunct/>
              <w:topLinePunct w:val="0"/>
              <w:autoSpaceDE/>
              <w:autoSpaceDN/>
              <w:bidi w:val="0"/>
              <w:adjustRightInd/>
              <w:snapToGrid/>
              <w:jc w:val="center"/>
              <w:textAlignment w:val="center"/>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lang w:bidi="ar"/>
              </w:rPr>
              <w:t>2.00</w:t>
            </w:r>
          </w:p>
        </w:tc>
        <w:tc>
          <w:tcPr>
            <w:tcW w:w="1245" w:type="dxa"/>
            <w:shd w:val="clear" w:color="000000" w:fill="FFFFFF"/>
            <w:vAlign w:val="center"/>
          </w:tcPr>
          <w:p w14:paraId="4E124F37">
            <w:pPr>
              <w:keepNext w:val="0"/>
              <w:keepLines w:val="0"/>
              <w:pageBreakBefore w:val="0"/>
              <w:widowControl/>
              <w:kinsoku/>
              <w:wordWrap/>
              <w:overflowPunct/>
              <w:topLinePunct w:val="0"/>
              <w:autoSpaceDE/>
              <w:autoSpaceDN/>
              <w:bidi w:val="0"/>
              <w:adjustRightInd/>
              <w:snapToGrid/>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2.00</w:t>
            </w:r>
          </w:p>
        </w:tc>
        <w:tc>
          <w:tcPr>
            <w:tcW w:w="780" w:type="dxa"/>
            <w:shd w:val="clear" w:color="000000" w:fill="FFFFFF"/>
            <w:vAlign w:val="center"/>
          </w:tcPr>
          <w:p w14:paraId="2C9574DA">
            <w:pPr>
              <w:keepNext w:val="0"/>
              <w:keepLines w:val="0"/>
              <w:pageBreakBefore w:val="0"/>
              <w:widowControl/>
              <w:kinsoku/>
              <w:wordWrap/>
              <w:overflowPunct/>
              <w:topLinePunct w:val="0"/>
              <w:autoSpaceDE/>
              <w:autoSpaceDN/>
              <w:bidi w:val="0"/>
              <w:adjustRightInd/>
              <w:snapToGrid/>
              <w:jc w:val="center"/>
              <w:rPr>
                <w:rFonts w:hint="eastAsia" w:ascii="仿宋_GB2312" w:hAnsi="仿宋_GB2312" w:eastAsia="仿宋_GB2312" w:cs="仿宋_GB2312"/>
                <w:color w:val="000000"/>
                <w:kern w:val="0"/>
                <w:sz w:val="24"/>
                <w:szCs w:val="24"/>
              </w:rPr>
            </w:pPr>
          </w:p>
        </w:tc>
      </w:tr>
      <w:tr w14:paraId="089902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trPr>
        <w:tc>
          <w:tcPr>
            <w:tcW w:w="1234" w:type="dxa"/>
            <w:vMerge w:val="continue"/>
            <w:shd w:val="clear" w:color="auto" w:fill="auto"/>
            <w:vAlign w:val="center"/>
          </w:tcPr>
          <w:p w14:paraId="284B482E">
            <w:pPr>
              <w:keepNext w:val="0"/>
              <w:keepLines w:val="0"/>
              <w:pageBreakBefore w:val="0"/>
              <w:widowControl/>
              <w:kinsoku/>
              <w:wordWrap/>
              <w:overflowPunct/>
              <w:topLinePunct w:val="0"/>
              <w:autoSpaceDE/>
              <w:autoSpaceDN/>
              <w:bidi w:val="0"/>
              <w:adjustRightInd/>
              <w:snapToGrid/>
              <w:jc w:val="center"/>
              <w:rPr>
                <w:rFonts w:hint="eastAsia" w:ascii="仿宋_GB2312" w:hAnsi="仿宋_GB2312" w:eastAsia="仿宋_GB2312" w:cs="仿宋_GB2312"/>
                <w:color w:val="000000"/>
                <w:kern w:val="0"/>
                <w:sz w:val="24"/>
                <w:szCs w:val="24"/>
              </w:rPr>
            </w:pPr>
          </w:p>
        </w:tc>
        <w:tc>
          <w:tcPr>
            <w:tcW w:w="1389" w:type="dxa"/>
            <w:vMerge w:val="restart"/>
            <w:shd w:val="clear" w:color="000000" w:fill="FFFFFF"/>
            <w:vAlign w:val="center"/>
          </w:tcPr>
          <w:p w14:paraId="3225B3BB">
            <w:pPr>
              <w:keepNext w:val="0"/>
              <w:keepLines w:val="0"/>
              <w:pageBreakBefore w:val="0"/>
              <w:widowControl/>
              <w:kinsoku/>
              <w:wordWrap/>
              <w:overflowPunct/>
              <w:topLinePunct w:val="0"/>
              <w:autoSpaceDE/>
              <w:autoSpaceDN/>
              <w:bidi w:val="0"/>
              <w:adjustRightInd/>
              <w:snapToGrid/>
              <w:jc w:val="center"/>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绩效目标</w:t>
            </w:r>
          </w:p>
        </w:tc>
        <w:tc>
          <w:tcPr>
            <w:tcW w:w="2445" w:type="dxa"/>
            <w:shd w:val="clear" w:color="000000" w:fill="FFFFFF"/>
            <w:vAlign w:val="center"/>
          </w:tcPr>
          <w:p w14:paraId="07D47F3E">
            <w:pPr>
              <w:keepNext w:val="0"/>
              <w:keepLines w:val="0"/>
              <w:pageBreakBefore w:val="0"/>
              <w:widowControl/>
              <w:kinsoku/>
              <w:wordWrap/>
              <w:overflowPunct/>
              <w:topLinePunct w:val="0"/>
              <w:autoSpaceDE/>
              <w:autoSpaceDN/>
              <w:bidi w:val="0"/>
              <w:adjustRightInd/>
              <w:snapToGrid/>
              <w:jc w:val="center"/>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绩效目标合理性</w:t>
            </w:r>
          </w:p>
        </w:tc>
        <w:tc>
          <w:tcPr>
            <w:tcW w:w="1397" w:type="dxa"/>
            <w:shd w:val="clear" w:color="000000" w:fill="FFFFFF"/>
            <w:vAlign w:val="center"/>
          </w:tcPr>
          <w:p w14:paraId="59BFFAB5">
            <w:pPr>
              <w:keepNext w:val="0"/>
              <w:keepLines w:val="0"/>
              <w:pageBreakBefore w:val="0"/>
              <w:widowControl/>
              <w:kinsoku/>
              <w:wordWrap/>
              <w:overflowPunct/>
              <w:topLinePunct w:val="0"/>
              <w:autoSpaceDE/>
              <w:autoSpaceDN/>
              <w:bidi w:val="0"/>
              <w:adjustRightInd/>
              <w:snapToGrid/>
              <w:jc w:val="center"/>
              <w:textAlignment w:val="center"/>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lang w:bidi="ar"/>
              </w:rPr>
              <w:t>2.00</w:t>
            </w:r>
          </w:p>
        </w:tc>
        <w:tc>
          <w:tcPr>
            <w:tcW w:w="1245" w:type="dxa"/>
            <w:shd w:val="clear" w:color="000000" w:fill="FFFFFF"/>
            <w:vAlign w:val="center"/>
          </w:tcPr>
          <w:p w14:paraId="4593124E">
            <w:pPr>
              <w:keepNext w:val="0"/>
              <w:keepLines w:val="0"/>
              <w:pageBreakBefore w:val="0"/>
              <w:widowControl/>
              <w:kinsoku/>
              <w:wordWrap/>
              <w:overflowPunct/>
              <w:topLinePunct w:val="0"/>
              <w:autoSpaceDE/>
              <w:autoSpaceDN/>
              <w:bidi w:val="0"/>
              <w:adjustRightInd/>
              <w:snapToGrid/>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2.00</w:t>
            </w:r>
          </w:p>
        </w:tc>
        <w:tc>
          <w:tcPr>
            <w:tcW w:w="780" w:type="dxa"/>
            <w:shd w:val="clear" w:color="000000" w:fill="FFFFFF"/>
            <w:vAlign w:val="center"/>
          </w:tcPr>
          <w:p w14:paraId="5C6403CB">
            <w:pPr>
              <w:keepNext w:val="0"/>
              <w:keepLines w:val="0"/>
              <w:pageBreakBefore w:val="0"/>
              <w:widowControl/>
              <w:kinsoku/>
              <w:wordWrap/>
              <w:overflowPunct/>
              <w:topLinePunct w:val="0"/>
              <w:autoSpaceDE/>
              <w:autoSpaceDN/>
              <w:bidi w:val="0"/>
              <w:adjustRightInd/>
              <w:snapToGrid/>
              <w:jc w:val="center"/>
              <w:rPr>
                <w:rFonts w:hint="eastAsia" w:ascii="仿宋_GB2312" w:hAnsi="仿宋_GB2312" w:eastAsia="仿宋_GB2312" w:cs="仿宋_GB2312"/>
                <w:color w:val="000000"/>
                <w:kern w:val="0"/>
                <w:sz w:val="24"/>
                <w:szCs w:val="24"/>
              </w:rPr>
            </w:pPr>
          </w:p>
        </w:tc>
      </w:tr>
      <w:tr w14:paraId="56171E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trPr>
        <w:tc>
          <w:tcPr>
            <w:tcW w:w="1234" w:type="dxa"/>
            <w:vMerge w:val="continue"/>
            <w:shd w:val="clear" w:color="auto" w:fill="auto"/>
            <w:vAlign w:val="center"/>
          </w:tcPr>
          <w:p w14:paraId="72C96C54">
            <w:pPr>
              <w:keepNext w:val="0"/>
              <w:keepLines w:val="0"/>
              <w:pageBreakBefore w:val="0"/>
              <w:widowControl/>
              <w:kinsoku/>
              <w:wordWrap/>
              <w:overflowPunct/>
              <w:topLinePunct w:val="0"/>
              <w:autoSpaceDE/>
              <w:autoSpaceDN/>
              <w:bidi w:val="0"/>
              <w:adjustRightInd/>
              <w:snapToGrid/>
              <w:jc w:val="center"/>
              <w:rPr>
                <w:rFonts w:hint="eastAsia" w:ascii="仿宋_GB2312" w:hAnsi="仿宋_GB2312" w:eastAsia="仿宋_GB2312" w:cs="仿宋_GB2312"/>
                <w:color w:val="000000"/>
                <w:kern w:val="0"/>
                <w:sz w:val="24"/>
                <w:szCs w:val="24"/>
              </w:rPr>
            </w:pPr>
          </w:p>
        </w:tc>
        <w:tc>
          <w:tcPr>
            <w:tcW w:w="1389" w:type="dxa"/>
            <w:vMerge w:val="continue"/>
            <w:shd w:val="clear" w:color="auto" w:fill="auto"/>
            <w:vAlign w:val="center"/>
          </w:tcPr>
          <w:p w14:paraId="75485EB1">
            <w:pPr>
              <w:keepNext w:val="0"/>
              <w:keepLines w:val="0"/>
              <w:pageBreakBefore w:val="0"/>
              <w:widowControl/>
              <w:kinsoku/>
              <w:wordWrap/>
              <w:overflowPunct/>
              <w:topLinePunct w:val="0"/>
              <w:autoSpaceDE/>
              <w:autoSpaceDN/>
              <w:bidi w:val="0"/>
              <w:adjustRightInd/>
              <w:snapToGrid/>
              <w:jc w:val="center"/>
              <w:rPr>
                <w:rFonts w:hint="eastAsia" w:ascii="仿宋_GB2312" w:hAnsi="仿宋_GB2312" w:eastAsia="仿宋_GB2312" w:cs="仿宋_GB2312"/>
                <w:color w:val="000000"/>
                <w:kern w:val="0"/>
                <w:sz w:val="24"/>
                <w:szCs w:val="24"/>
              </w:rPr>
            </w:pPr>
          </w:p>
        </w:tc>
        <w:tc>
          <w:tcPr>
            <w:tcW w:w="2445" w:type="dxa"/>
            <w:shd w:val="clear" w:color="000000" w:fill="FFFFFF"/>
            <w:vAlign w:val="center"/>
          </w:tcPr>
          <w:p w14:paraId="5B74FF6D">
            <w:pPr>
              <w:keepNext w:val="0"/>
              <w:keepLines w:val="0"/>
              <w:pageBreakBefore w:val="0"/>
              <w:widowControl/>
              <w:kinsoku/>
              <w:wordWrap/>
              <w:overflowPunct/>
              <w:topLinePunct w:val="0"/>
              <w:autoSpaceDE/>
              <w:autoSpaceDN/>
              <w:bidi w:val="0"/>
              <w:adjustRightInd/>
              <w:snapToGrid/>
              <w:jc w:val="center"/>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绩效指标明确性</w:t>
            </w:r>
          </w:p>
        </w:tc>
        <w:tc>
          <w:tcPr>
            <w:tcW w:w="1397" w:type="dxa"/>
            <w:shd w:val="clear" w:color="000000" w:fill="FFFFFF"/>
            <w:vAlign w:val="center"/>
          </w:tcPr>
          <w:p w14:paraId="3D7AD37E">
            <w:pPr>
              <w:keepNext w:val="0"/>
              <w:keepLines w:val="0"/>
              <w:pageBreakBefore w:val="0"/>
              <w:widowControl/>
              <w:kinsoku/>
              <w:wordWrap/>
              <w:overflowPunct/>
              <w:topLinePunct w:val="0"/>
              <w:autoSpaceDE/>
              <w:autoSpaceDN/>
              <w:bidi w:val="0"/>
              <w:adjustRightInd/>
              <w:snapToGrid/>
              <w:jc w:val="center"/>
              <w:textAlignment w:val="center"/>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lang w:bidi="ar"/>
              </w:rPr>
              <w:t>1.00</w:t>
            </w:r>
          </w:p>
        </w:tc>
        <w:tc>
          <w:tcPr>
            <w:tcW w:w="1245" w:type="dxa"/>
            <w:shd w:val="clear" w:color="000000" w:fill="FFFFFF"/>
            <w:vAlign w:val="center"/>
          </w:tcPr>
          <w:p w14:paraId="2AC4D6D6">
            <w:pPr>
              <w:keepNext w:val="0"/>
              <w:keepLines w:val="0"/>
              <w:pageBreakBefore w:val="0"/>
              <w:widowControl/>
              <w:kinsoku/>
              <w:wordWrap/>
              <w:overflowPunct/>
              <w:topLinePunct w:val="0"/>
              <w:autoSpaceDE/>
              <w:autoSpaceDN/>
              <w:bidi w:val="0"/>
              <w:adjustRightInd/>
              <w:snapToGrid/>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1.00</w:t>
            </w:r>
          </w:p>
        </w:tc>
        <w:tc>
          <w:tcPr>
            <w:tcW w:w="780" w:type="dxa"/>
            <w:shd w:val="clear" w:color="000000" w:fill="FFFFFF"/>
            <w:vAlign w:val="center"/>
          </w:tcPr>
          <w:p w14:paraId="04D866C8">
            <w:pPr>
              <w:keepNext w:val="0"/>
              <w:keepLines w:val="0"/>
              <w:pageBreakBefore w:val="0"/>
              <w:widowControl/>
              <w:kinsoku/>
              <w:wordWrap/>
              <w:overflowPunct/>
              <w:topLinePunct w:val="0"/>
              <w:autoSpaceDE/>
              <w:autoSpaceDN/>
              <w:bidi w:val="0"/>
              <w:adjustRightInd/>
              <w:snapToGrid/>
              <w:jc w:val="center"/>
              <w:rPr>
                <w:rFonts w:hint="eastAsia" w:ascii="仿宋_GB2312" w:hAnsi="仿宋_GB2312" w:eastAsia="仿宋_GB2312" w:cs="仿宋_GB2312"/>
                <w:color w:val="000000"/>
                <w:kern w:val="0"/>
                <w:sz w:val="24"/>
                <w:szCs w:val="24"/>
              </w:rPr>
            </w:pPr>
          </w:p>
        </w:tc>
      </w:tr>
      <w:tr w14:paraId="7ED798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trPr>
        <w:tc>
          <w:tcPr>
            <w:tcW w:w="1234" w:type="dxa"/>
            <w:vMerge w:val="continue"/>
            <w:shd w:val="clear" w:color="auto" w:fill="auto"/>
            <w:vAlign w:val="center"/>
          </w:tcPr>
          <w:p w14:paraId="30DAFBDF">
            <w:pPr>
              <w:keepNext w:val="0"/>
              <w:keepLines w:val="0"/>
              <w:pageBreakBefore w:val="0"/>
              <w:widowControl/>
              <w:kinsoku/>
              <w:wordWrap/>
              <w:overflowPunct/>
              <w:topLinePunct w:val="0"/>
              <w:autoSpaceDE/>
              <w:autoSpaceDN/>
              <w:bidi w:val="0"/>
              <w:adjustRightInd/>
              <w:snapToGrid/>
              <w:jc w:val="center"/>
              <w:rPr>
                <w:rFonts w:hint="eastAsia" w:ascii="仿宋_GB2312" w:hAnsi="仿宋_GB2312" w:eastAsia="仿宋_GB2312" w:cs="仿宋_GB2312"/>
                <w:color w:val="000000"/>
                <w:kern w:val="0"/>
                <w:sz w:val="24"/>
                <w:szCs w:val="24"/>
              </w:rPr>
            </w:pPr>
          </w:p>
        </w:tc>
        <w:tc>
          <w:tcPr>
            <w:tcW w:w="1389" w:type="dxa"/>
            <w:vMerge w:val="restart"/>
            <w:shd w:val="clear" w:color="000000" w:fill="FFFFFF"/>
            <w:vAlign w:val="center"/>
          </w:tcPr>
          <w:p w14:paraId="21F0A3BB">
            <w:pPr>
              <w:keepNext w:val="0"/>
              <w:keepLines w:val="0"/>
              <w:pageBreakBefore w:val="0"/>
              <w:widowControl/>
              <w:kinsoku/>
              <w:wordWrap/>
              <w:overflowPunct/>
              <w:topLinePunct w:val="0"/>
              <w:autoSpaceDE/>
              <w:autoSpaceDN/>
              <w:bidi w:val="0"/>
              <w:adjustRightInd/>
              <w:snapToGrid/>
              <w:jc w:val="center"/>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资金投入</w:t>
            </w:r>
          </w:p>
        </w:tc>
        <w:tc>
          <w:tcPr>
            <w:tcW w:w="2445" w:type="dxa"/>
            <w:shd w:val="clear" w:color="000000" w:fill="FFFFFF"/>
            <w:vAlign w:val="center"/>
          </w:tcPr>
          <w:p w14:paraId="5A0DE910">
            <w:pPr>
              <w:keepNext w:val="0"/>
              <w:keepLines w:val="0"/>
              <w:pageBreakBefore w:val="0"/>
              <w:widowControl/>
              <w:kinsoku/>
              <w:wordWrap/>
              <w:overflowPunct/>
              <w:topLinePunct w:val="0"/>
              <w:autoSpaceDE/>
              <w:autoSpaceDN/>
              <w:bidi w:val="0"/>
              <w:adjustRightInd/>
              <w:snapToGrid/>
              <w:jc w:val="center"/>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预算编制科学性</w:t>
            </w:r>
          </w:p>
        </w:tc>
        <w:tc>
          <w:tcPr>
            <w:tcW w:w="1397" w:type="dxa"/>
            <w:shd w:val="clear" w:color="000000" w:fill="FFFFFF"/>
            <w:vAlign w:val="center"/>
          </w:tcPr>
          <w:p w14:paraId="424882E8">
            <w:pPr>
              <w:keepNext w:val="0"/>
              <w:keepLines w:val="0"/>
              <w:pageBreakBefore w:val="0"/>
              <w:widowControl/>
              <w:kinsoku/>
              <w:wordWrap/>
              <w:overflowPunct/>
              <w:topLinePunct w:val="0"/>
              <w:autoSpaceDE/>
              <w:autoSpaceDN/>
              <w:bidi w:val="0"/>
              <w:adjustRightInd/>
              <w:snapToGrid/>
              <w:jc w:val="center"/>
              <w:textAlignment w:val="center"/>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lang w:bidi="ar"/>
              </w:rPr>
              <w:t xml:space="preserve">2.00 </w:t>
            </w:r>
          </w:p>
        </w:tc>
        <w:tc>
          <w:tcPr>
            <w:tcW w:w="1245" w:type="dxa"/>
            <w:shd w:val="clear" w:color="000000" w:fill="FFFFFF"/>
            <w:vAlign w:val="center"/>
          </w:tcPr>
          <w:p w14:paraId="1CB562C7">
            <w:pPr>
              <w:keepNext w:val="0"/>
              <w:keepLines w:val="0"/>
              <w:pageBreakBefore w:val="0"/>
              <w:widowControl/>
              <w:kinsoku/>
              <w:wordWrap/>
              <w:overflowPunct/>
              <w:topLinePunct w:val="0"/>
              <w:autoSpaceDE/>
              <w:autoSpaceDN/>
              <w:bidi w:val="0"/>
              <w:adjustRightInd/>
              <w:snapToGrid/>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 xml:space="preserve">2.00 </w:t>
            </w:r>
          </w:p>
        </w:tc>
        <w:tc>
          <w:tcPr>
            <w:tcW w:w="780" w:type="dxa"/>
            <w:shd w:val="clear" w:color="000000" w:fill="FFFFFF"/>
            <w:vAlign w:val="center"/>
          </w:tcPr>
          <w:p w14:paraId="0961ADEF">
            <w:pPr>
              <w:keepNext w:val="0"/>
              <w:keepLines w:val="0"/>
              <w:pageBreakBefore w:val="0"/>
              <w:widowControl/>
              <w:kinsoku/>
              <w:wordWrap/>
              <w:overflowPunct/>
              <w:topLinePunct w:val="0"/>
              <w:autoSpaceDE/>
              <w:autoSpaceDN/>
              <w:bidi w:val="0"/>
              <w:adjustRightInd/>
              <w:snapToGrid/>
              <w:jc w:val="center"/>
              <w:rPr>
                <w:rFonts w:hint="eastAsia" w:ascii="仿宋_GB2312" w:hAnsi="仿宋_GB2312" w:eastAsia="仿宋_GB2312" w:cs="仿宋_GB2312"/>
                <w:color w:val="000000"/>
                <w:kern w:val="0"/>
                <w:sz w:val="24"/>
                <w:szCs w:val="24"/>
              </w:rPr>
            </w:pPr>
          </w:p>
        </w:tc>
      </w:tr>
      <w:tr w14:paraId="2FD3AE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trPr>
        <w:tc>
          <w:tcPr>
            <w:tcW w:w="1234" w:type="dxa"/>
            <w:vMerge w:val="continue"/>
            <w:shd w:val="clear" w:color="auto" w:fill="auto"/>
            <w:vAlign w:val="center"/>
          </w:tcPr>
          <w:p w14:paraId="63D296DE">
            <w:pPr>
              <w:keepNext w:val="0"/>
              <w:keepLines w:val="0"/>
              <w:pageBreakBefore w:val="0"/>
              <w:widowControl/>
              <w:kinsoku/>
              <w:wordWrap/>
              <w:overflowPunct/>
              <w:topLinePunct w:val="0"/>
              <w:autoSpaceDE/>
              <w:autoSpaceDN/>
              <w:bidi w:val="0"/>
              <w:adjustRightInd/>
              <w:snapToGrid/>
              <w:jc w:val="center"/>
              <w:rPr>
                <w:rFonts w:hint="eastAsia" w:ascii="仿宋_GB2312" w:hAnsi="仿宋_GB2312" w:eastAsia="仿宋_GB2312" w:cs="仿宋_GB2312"/>
                <w:color w:val="000000"/>
                <w:kern w:val="0"/>
                <w:sz w:val="24"/>
                <w:szCs w:val="24"/>
              </w:rPr>
            </w:pPr>
          </w:p>
        </w:tc>
        <w:tc>
          <w:tcPr>
            <w:tcW w:w="1389" w:type="dxa"/>
            <w:vMerge w:val="continue"/>
            <w:shd w:val="clear" w:color="auto" w:fill="auto"/>
            <w:vAlign w:val="center"/>
          </w:tcPr>
          <w:p w14:paraId="10366E31">
            <w:pPr>
              <w:keepNext w:val="0"/>
              <w:keepLines w:val="0"/>
              <w:pageBreakBefore w:val="0"/>
              <w:widowControl/>
              <w:kinsoku/>
              <w:wordWrap/>
              <w:overflowPunct/>
              <w:topLinePunct w:val="0"/>
              <w:autoSpaceDE/>
              <w:autoSpaceDN/>
              <w:bidi w:val="0"/>
              <w:adjustRightInd/>
              <w:snapToGrid/>
              <w:jc w:val="center"/>
              <w:rPr>
                <w:rFonts w:hint="eastAsia" w:ascii="仿宋_GB2312" w:hAnsi="仿宋_GB2312" w:eastAsia="仿宋_GB2312" w:cs="仿宋_GB2312"/>
                <w:color w:val="000000"/>
                <w:kern w:val="0"/>
                <w:sz w:val="24"/>
                <w:szCs w:val="24"/>
              </w:rPr>
            </w:pPr>
          </w:p>
        </w:tc>
        <w:tc>
          <w:tcPr>
            <w:tcW w:w="2445" w:type="dxa"/>
            <w:shd w:val="clear" w:color="000000" w:fill="FFFFFF"/>
            <w:vAlign w:val="center"/>
          </w:tcPr>
          <w:p w14:paraId="6E9DA9FB">
            <w:pPr>
              <w:keepNext w:val="0"/>
              <w:keepLines w:val="0"/>
              <w:pageBreakBefore w:val="0"/>
              <w:widowControl/>
              <w:kinsoku/>
              <w:wordWrap/>
              <w:overflowPunct/>
              <w:topLinePunct w:val="0"/>
              <w:autoSpaceDE/>
              <w:autoSpaceDN/>
              <w:bidi w:val="0"/>
              <w:adjustRightInd/>
              <w:snapToGrid/>
              <w:jc w:val="center"/>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资金分配合理性</w:t>
            </w:r>
          </w:p>
        </w:tc>
        <w:tc>
          <w:tcPr>
            <w:tcW w:w="1397" w:type="dxa"/>
            <w:shd w:val="clear" w:color="000000" w:fill="FFFFFF"/>
            <w:vAlign w:val="center"/>
          </w:tcPr>
          <w:p w14:paraId="22041B0C">
            <w:pPr>
              <w:keepNext w:val="0"/>
              <w:keepLines w:val="0"/>
              <w:pageBreakBefore w:val="0"/>
              <w:widowControl/>
              <w:kinsoku/>
              <w:wordWrap/>
              <w:overflowPunct/>
              <w:topLinePunct w:val="0"/>
              <w:autoSpaceDE/>
              <w:autoSpaceDN/>
              <w:bidi w:val="0"/>
              <w:adjustRightInd/>
              <w:snapToGrid/>
              <w:jc w:val="center"/>
              <w:textAlignment w:val="center"/>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lang w:bidi="ar"/>
              </w:rPr>
              <w:t>1.00</w:t>
            </w:r>
          </w:p>
        </w:tc>
        <w:tc>
          <w:tcPr>
            <w:tcW w:w="1245" w:type="dxa"/>
            <w:shd w:val="clear" w:color="000000" w:fill="FFFFFF"/>
            <w:vAlign w:val="center"/>
          </w:tcPr>
          <w:p w14:paraId="3D6B156D">
            <w:pPr>
              <w:keepNext w:val="0"/>
              <w:keepLines w:val="0"/>
              <w:pageBreakBefore w:val="0"/>
              <w:widowControl/>
              <w:kinsoku/>
              <w:wordWrap/>
              <w:overflowPunct/>
              <w:topLinePunct w:val="0"/>
              <w:autoSpaceDE/>
              <w:autoSpaceDN/>
              <w:bidi w:val="0"/>
              <w:adjustRightInd/>
              <w:snapToGrid/>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1.00</w:t>
            </w:r>
          </w:p>
        </w:tc>
        <w:tc>
          <w:tcPr>
            <w:tcW w:w="780" w:type="dxa"/>
            <w:shd w:val="clear" w:color="000000" w:fill="FFFFFF"/>
            <w:vAlign w:val="center"/>
          </w:tcPr>
          <w:p w14:paraId="5EB5FB89">
            <w:pPr>
              <w:keepNext w:val="0"/>
              <w:keepLines w:val="0"/>
              <w:pageBreakBefore w:val="0"/>
              <w:widowControl/>
              <w:kinsoku/>
              <w:wordWrap/>
              <w:overflowPunct/>
              <w:topLinePunct w:val="0"/>
              <w:autoSpaceDE/>
              <w:autoSpaceDN/>
              <w:bidi w:val="0"/>
              <w:adjustRightInd/>
              <w:snapToGrid/>
              <w:jc w:val="center"/>
              <w:rPr>
                <w:rFonts w:hint="eastAsia" w:ascii="仿宋_GB2312" w:hAnsi="仿宋_GB2312" w:eastAsia="仿宋_GB2312" w:cs="仿宋_GB2312"/>
                <w:color w:val="000000"/>
                <w:kern w:val="0"/>
                <w:sz w:val="24"/>
                <w:szCs w:val="24"/>
              </w:rPr>
            </w:pPr>
          </w:p>
        </w:tc>
      </w:tr>
      <w:tr w14:paraId="5A37CA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trPr>
        <w:tc>
          <w:tcPr>
            <w:tcW w:w="1234" w:type="dxa"/>
            <w:vMerge w:val="restart"/>
            <w:shd w:val="clear" w:color="000000" w:fill="FFFFFF"/>
            <w:vAlign w:val="center"/>
          </w:tcPr>
          <w:p w14:paraId="305514D8">
            <w:pPr>
              <w:keepNext w:val="0"/>
              <w:keepLines w:val="0"/>
              <w:pageBreakBefore w:val="0"/>
              <w:widowControl/>
              <w:kinsoku/>
              <w:wordWrap/>
              <w:overflowPunct/>
              <w:topLinePunct w:val="0"/>
              <w:autoSpaceDE/>
              <w:autoSpaceDN/>
              <w:bidi w:val="0"/>
              <w:adjustRightInd/>
              <w:snapToGrid/>
              <w:jc w:val="center"/>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过程</w:t>
            </w:r>
          </w:p>
          <w:p w14:paraId="091B2E96">
            <w:pPr>
              <w:keepNext w:val="0"/>
              <w:keepLines w:val="0"/>
              <w:pageBreakBefore w:val="0"/>
              <w:widowControl/>
              <w:kinsoku/>
              <w:wordWrap/>
              <w:overflowPunct/>
              <w:topLinePunct w:val="0"/>
              <w:autoSpaceDE/>
              <w:autoSpaceDN/>
              <w:bidi w:val="0"/>
              <w:adjustRightInd/>
              <w:snapToGrid/>
              <w:jc w:val="center"/>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（20分）</w:t>
            </w:r>
          </w:p>
        </w:tc>
        <w:tc>
          <w:tcPr>
            <w:tcW w:w="1389" w:type="dxa"/>
            <w:vMerge w:val="restart"/>
            <w:shd w:val="clear" w:color="000000" w:fill="FFFFFF"/>
            <w:vAlign w:val="center"/>
          </w:tcPr>
          <w:p w14:paraId="3923FC6C">
            <w:pPr>
              <w:keepNext w:val="0"/>
              <w:keepLines w:val="0"/>
              <w:pageBreakBefore w:val="0"/>
              <w:widowControl/>
              <w:kinsoku/>
              <w:wordWrap/>
              <w:overflowPunct/>
              <w:topLinePunct w:val="0"/>
              <w:autoSpaceDE/>
              <w:autoSpaceDN/>
              <w:bidi w:val="0"/>
              <w:adjustRightInd/>
              <w:snapToGrid/>
              <w:jc w:val="center"/>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资金管理</w:t>
            </w:r>
          </w:p>
        </w:tc>
        <w:tc>
          <w:tcPr>
            <w:tcW w:w="2445" w:type="dxa"/>
            <w:shd w:val="clear" w:color="000000" w:fill="FFFFFF"/>
            <w:vAlign w:val="center"/>
          </w:tcPr>
          <w:p w14:paraId="21E2E6ED">
            <w:pPr>
              <w:keepNext w:val="0"/>
              <w:keepLines w:val="0"/>
              <w:pageBreakBefore w:val="0"/>
              <w:widowControl/>
              <w:kinsoku/>
              <w:wordWrap/>
              <w:overflowPunct/>
              <w:topLinePunct w:val="0"/>
              <w:autoSpaceDE/>
              <w:autoSpaceDN/>
              <w:bidi w:val="0"/>
              <w:adjustRightInd/>
              <w:snapToGrid/>
              <w:jc w:val="center"/>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资金到位率</w:t>
            </w:r>
          </w:p>
        </w:tc>
        <w:tc>
          <w:tcPr>
            <w:tcW w:w="1397" w:type="dxa"/>
            <w:shd w:val="clear" w:color="000000" w:fill="FFFFFF"/>
            <w:vAlign w:val="center"/>
          </w:tcPr>
          <w:p w14:paraId="1E03B647">
            <w:pPr>
              <w:keepNext w:val="0"/>
              <w:keepLines w:val="0"/>
              <w:pageBreakBefore w:val="0"/>
              <w:widowControl/>
              <w:kinsoku/>
              <w:wordWrap/>
              <w:overflowPunct/>
              <w:topLinePunct w:val="0"/>
              <w:autoSpaceDE/>
              <w:autoSpaceDN/>
              <w:bidi w:val="0"/>
              <w:adjustRightInd/>
              <w:snapToGrid/>
              <w:jc w:val="center"/>
              <w:textAlignment w:val="center"/>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lang w:bidi="ar"/>
              </w:rPr>
              <w:t>2.00</w:t>
            </w:r>
          </w:p>
        </w:tc>
        <w:tc>
          <w:tcPr>
            <w:tcW w:w="1245" w:type="dxa"/>
            <w:shd w:val="clear" w:color="000000" w:fill="FFFFFF"/>
            <w:vAlign w:val="center"/>
          </w:tcPr>
          <w:p w14:paraId="0A083718">
            <w:pPr>
              <w:keepNext w:val="0"/>
              <w:keepLines w:val="0"/>
              <w:pageBreakBefore w:val="0"/>
              <w:widowControl/>
              <w:kinsoku/>
              <w:wordWrap/>
              <w:overflowPunct/>
              <w:topLinePunct w:val="0"/>
              <w:autoSpaceDE/>
              <w:autoSpaceDN/>
              <w:bidi w:val="0"/>
              <w:adjustRightInd/>
              <w:snapToGrid/>
              <w:jc w:val="center"/>
              <w:textAlignment w:val="center"/>
              <w:rPr>
                <w:rFonts w:hint="eastAsia" w:ascii="仿宋_GB2312" w:hAnsi="仿宋_GB2312" w:eastAsia="仿宋_GB2312" w:cs="仿宋_GB2312"/>
                <w:color w:val="000000"/>
                <w:kern w:val="0"/>
                <w:sz w:val="24"/>
                <w:szCs w:val="24"/>
                <w:lang w:bidi="ar"/>
              </w:rPr>
            </w:pPr>
            <w:r>
              <w:rPr>
                <w:rFonts w:hint="eastAsia" w:ascii="仿宋_GB2312" w:hAnsi="仿宋_GB2312" w:eastAsia="仿宋_GB2312" w:cs="仿宋_GB2312"/>
                <w:color w:val="000000"/>
                <w:kern w:val="0"/>
                <w:sz w:val="24"/>
                <w:szCs w:val="24"/>
                <w:lang w:bidi="ar"/>
              </w:rPr>
              <w:t>2.00</w:t>
            </w:r>
          </w:p>
        </w:tc>
        <w:tc>
          <w:tcPr>
            <w:tcW w:w="780" w:type="dxa"/>
            <w:shd w:val="clear" w:color="000000" w:fill="FFFFFF"/>
            <w:vAlign w:val="center"/>
          </w:tcPr>
          <w:p w14:paraId="3A042CE3">
            <w:pPr>
              <w:keepNext w:val="0"/>
              <w:keepLines w:val="0"/>
              <w:pageBreakBefore w:val="0"/>
              <w:widowControl/>
              <w:kinsoku/>
              <w:wordWrap/>
              <w:overflowPunct/>
              <w:topLinePunct w:val="0"/>
              <w:autoSpaceDE/>
              <w:autoSpaceDN/>
              <w:bidi w:val="0"/>
              <w:adjustRightInd/>
              <w:snapToGrid/>
              <w:jc w:val="center"/>
              <w:rPr>
                <w:rFonts w:hint="eastAsia" w:ascii="仿宋_GB2312" w:hAnsi="仿宋_GB2312" w:eastAsia="仿宋_GB2312" w:cs="仿宋_GB2312"/>
                <w:color w:val="000000"/>
                <w:kern w:val="0"/>
                <w:sz w:val="24"/>
                <w:szCs w:val="24"/>
              </w:rPr>
            </w:pPr>
          </w:p>
        </w:tc>
      </w:tr>
      <w:tr w14:paraId="0D716E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trPr>
        <w:tc>
          <w:tcPr>
            <w:tcW w:w="1234" w:type="dxa"/>
            <w:vMerge w:val="continue"/>
            <w:shd w:val="clear" w:color="auto" w:fill="auto"/>
            <w:vAlign w:val="center"/>
          </w:tcPr>
          <w:p w14:paraId="1160C4E7">
            <w:pPr>
              <w:keepNext w:val="0"/>
              <w:keepLines w:val="0"/>
              <w:pageBreakBefore w:val="0"/>
              <w:widowControl/>
              <w:kinsoku/>
              <w:wordWrap/>
              <w:overflowPunct/>
              <w:topLinePunct w:val="0"/>
              <w:autoSpaceDE/>
              <w:autoSpaceDN/>
              <w:bidi w:val="0"/>
              <w:adjustRightInd/>
              <w:snapToGrid/>
              <w:jc w:val="center"/>
              <w:rPr>
                <w:rFonts w:hint="eastAsia" w:ascii="仿宋_GB2312" w:hAnsi="仿宋_GB2312" w:eastAsia="仿宋_GB2312" w:cs="仿宋_GB2312"/>
                <w:color w:val="000000"/>
                <w:kern w:val="0"/>
                <w:sz w:val="24"/>
                <w:szCs w:val="24"/>
              </w:rPr>
            </w:pPr>
          </w:p>
        </w:tc>
        <w:tc>
          <w:tcPr>
            <w:tcW w:w="1389" w:type="dxa"/>
            <w:vMerge w:val="continue"/>
            <w:shd w:val="clear" w:color="auto" w:fill="auto"/>
            <w:vAlign w:val="center"/>
          </w:tcPr>
          <w:p w14:paraId="5B701791">
            <w:pPr>
              <w:keepNext w:val="0"/>
              <w:keepLines w:val="0"/>
              <w:pageBreakBefore w:val="0"/>
              <w:widowControl/>
              <w:kinsoku/>
              <w:wordWrap/>
              <w:overflowPunct/>
              <w:topLinePunct w:val="0"/>
              <w:autoSpaceDE/>
              <w:autoSpaceDN/>
              <w:bidi w:val="0"/>
              <w:adjustRightInd/>
              <w:snapToGrid/>
              <w:jc w:val="center"/>
              <w:rPr>
                <w:rFonts w:hint="eastAsia" w:ascii="仿宋_GB2312" w:hAnsi="仿宋_GB2312" w:eastAsia="仿宋_GB2312" w:cs="仿宋_GB2312"/>
                <w:color w:val="000000"/>
                <w:kern w:val="0"/>
                <w:sz w:val="24"/>
                <w:szCs w:val="24"/>
              </w:rPr>
            </w:pPr>
          </w:p>
        </w:tc>
        <w:tc>
          <w:tcPr>
            <w:tcW w:w="2445" w:type="dxa"/>
            <w:shd w:val="clear" w:color="000000" w:fill="FFFFFF"/>
            <w:vAlign w:val="center"/>
          </w:tcPr>
          <w:p w14:paraId="5C09F566">
            <w:pPr>
              <w:keepNext w:val="0"/>
              <w:keepLines w:val="0"/>
              <w:pageBreakBefore w:val="0"/>
              <w:widowControl/>
              <w:kinsoku/>
              <w:wordWrap/>
              <w:overflowPunct/>
              <w:topLinePunct w:val="0"/>
              <w:autoSpaceDE/>
              <w:autoSpaceDN/>
              <w:bidi w:val="0"/>
              <w:adjustRightInd/>
              <w:snapToGrid/>
              <w:jc w:val="center"/>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预算执行率</w:t>
            </w:r>
          </w:p>
        </w:tc>
        <w:tc>
          <w:tcPr>
            <w:tcW w:w="1397" w:type="dxa"/>
            <w:shd w:val="clear" w:color="000000" w:fill="FFFFFF"/>
            <w:vAlign w:val="center"/>
          </w:tcPr>
          <w:p w14:paraId="6C7CC730">
            <w:pPr>
              <w:keepNext w:val="0"/>
              <w:keepLines w:val="0"/>
              <w:pageBreakBefore w:val="0"/>
              <w:widowControl/>
              <w:kinsoku/>
              <w:wordWrap/>
              <w:overflowPunct/>
              <w:topLinePunct w:val="0"/>
              <w:autoSpaceDE/>
              <w:autoSpaceDN/>
              <w:bidi w:val="0"/>
              <w:adjustRightInd/>
              <w:snapToGrid/>
              <w:jc w:val="center"/>
              <w:textAlignment w:val="center"/>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lang w:bidi="ar"/>
              </w:rPr>
              <w:t xml:space="preserve">5.00 </w:t>
            </w:r>
          </w:p>
        </w:tc>
        <w:tc>
          <w:tcPr>
            <w:tcW w:w="1245" w:type="dxa"/>
            <w:shd w:val="clear" w:color="000000" w:fill="FFFFFF"/>
            <w:vAlign w:val="center"/>
          </w:tcPr>
          <w:p w14:paraId="6F7D7DDE">
            <w:pPr>
              <w:keepNext w:val="0"/>
              <w:keepLines w:val="0"/>
              <w:pageBreakBefore w:val="0"/>
              <w:widowControl/>
              <w:kinsoku/>
              <w:wordWrap/>
              <w:overflowPunct/>
              <w:topLinePunct w:val="0"/>
              <w:autoSpaceDE/>
              <w:autoSpaceDN/>
              <w:bidi w:val="0"/>
              <w:adjustRightInd/>
              <w:snapToGrid/>
              <w:jc w:val="center"/>
              <w:textAlignment w:val="center"/>
              <w:rPr>
                <w:rFonts w:hint="eastAsia" w:ascii="仿宋_GB2312" w:hAnsi="仿宋_GB2312" w:eastAsia="仿宋_GB2312" w:cs="仿宋_GB2312"/>
                <w:color w:val="000000"/>
                <w:kern w:val="0"/>
                <w:sz w:val="24"/>
                <w:szCs w:val="24"/>
                <w:lang w:bidi="ar"/>
              </w:rPr>
            </w:pPr>
            <w:r>
              <w:rPr>
                <w:rFonts w:hint="eastAsia" w:ascii="仿宋_GB2312" w:hAnsi="仿宋_GB2312" w:eastAsia="仿宋_GB2312" w:cs="仿宋_GB2312"/>
                <w:color w:val="000000"/>
                <w:kern w:val="0"/>
                <w:sz w:val="24"/>
                <w:szCs w:val="24"/>
                <w:lang w:bidi="ar"/>
              </w:rPr>
              <w:t xml:space="preserve">5.00 </w:t>
            </w:r>
          </w:p>
        </w:tc>
        <w:tc>
          <w:tcPr>
            <w:tcW w:w="780" w:type="dxa"/>
            <w:shd w:val="clear" w:color="000000" w:fill="FFFFFF"/>
            <w:vAlign w:val="center"/>
          </w:tcPr>
          <w:p w14:paraId="7511239E">
            <w:pPr>
              <w:keepNext w:val="0"/>
              <w:keepLines w:val="0"/>
              <w:pageBreakBefore w:val="0"/>
              <w:widowControl/>
              <w:kinsoku/>
              <w:wordWrap/>
              <w:overflowPunct/>
              <w:topLinePunct w:val="0"/>
              <w:autoSpaceDE/>
              <w:autoSpaceDN/>
              <w:bidi w:val="0"/>
              <w:adjustRightInd/>
              <w:snapToGrid/>
              <w:jc w:val="center"/>
              <w:rPr>
                <w:rFonts w:hint="eastAsia" w:ascii="仿宋_GB2312" w:hAnsi="仿宋_GB2312" w:eastAsia="仿宋_GB2312" w:cs="仿宋_GB2312"/>
                <w:color w:val="000000"/>
                <w:kern w:val="0"/>
                <w:sz w:val="24"/>
                <w:szCs w:val="24"/>
              </w:rPr>
            </w:pPr>
          </w:p>
        </w:tc>
      </w:tr>
      <w:tr w14:paraId="153B67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trPr>
        <w:tc>
          <w:tcPr>
            <w:tcW w:w="1234" w:type="dxa"/>
            <w:vMerge w:val="continue"/>
            <w:shd w:val="clear" w:color="auto" w:fill="auto"/>
            <w:vAlign w:val="center"/>
          </w:tcPr>
          <w:p w14:paraId="74B4B9B5">
            <w:pPr>
              <w:keepNext w:val="0"/>
              <w:keepLines w:val="0"/>
              <w:pageBreakBefore w:val="0"/>
              <w:widowControl/>
              <w:kinsoku/>
              <w:wordWrap/>
              <w:overflowPunct/>
              <w:topLinePunct w:val="0"/>
              <w:autoSpaceDE/>
              <w:autoSpaceDN/>
              <w:bidi w:val="0"/>
              <w:adjustRightInd/>
              <w:snapToGrid/>
              <w:jc w:val="center"/>
              <w:rPr>
                <w:rFonts w:hint="eastAsia" w:ascii="仿宋_GB2312" w:hAnsi="仿宋_GB2312" w:eastAsia="仿宋_GB2312" w:cs="仿宋_GB2312"/>
                <w:color w:val="000000"/>
                <w:kern w:val="0"/>
                <w:sz w:val="24"/>
                <w:szCs w:val="24"/>
              </w:rPr>
            </w:pPr>
          </w:p>
        </w:tc>
        <w:tc>
          <w:tcPr>
            <w:tcW w:w="1389" w:type="dxa"/>
            <w:vMerge w:val="continue"/>
            <w:shd w:val="clear" w:color="000000" w:fill="FFFFFF"/>
            <w:vAlign w:val="center"/>
          </w:tcPr>
          <w:p w14:paraId="034D77B6">
            <w:pPr>
              <w:keepNext w:val="0"/>
              <w:keepLines w:val="0"/>
              <w:pageBreakBefore w:val="0"/>
              <w:widowControl/>
              <w:kinsoku/>
              <w:wordWrap/>
              <w:overflowPunct/>
              <w:topLinePunct w:val="0"/>
              <w:autoSpaceDE/>
              <w:autoSpaceDN/>
              <w:bidi w:val="0"/>
              <w:adjustRightInd/>
              <w:snapToGrid/>
              <w:jc w:val="center"/>
              <w:rPr>
                <w:rFonts w:hint="eastAsia" w:ascii="仿宋_GB2312" w:hAnsi="仿宋_GB2312" w:eastAsia="仿宋_GB2312" w:cs="仿宋_GB2312"/>
                <w:color w:val="000000"/>
                <w:kern w:val="0"/>
                <w:sz w:val="24"/>
                <w:szCs w:val="24"/>
              </w:rPr>
            </w:pPr>
          </w:p>
        </w:tc>
        <w:tc>
          <w:tcPr>
            <w:tcW w:w="2445" w:type="dxa"/>
            <w:shd w:val="clear" w:color="000000" w:fill="FFFFFF"/>
            <w:vAlign w:val="center"/>
          </w:tcPr>
          <w:p w14:paraId="73458C77">
            <w:pPr>
              <w:keepNext w:val="0"/>
              <w:keepLines w:val="0"/>
              <w:pageBreakBefore w:val="0"/>
              <w:widowControl/>
              <w:kinsoku/>
              <w:wordWrap/>
              <w:overflowPunct/>
              <w:topLinePunct w:val="0"/>
              <w:autoSpaceDE/>
              <w:autoSpaceDN/>
              <w:bidi w:val="0"/>
              <w:adjustRightInd/>
              <w:snapToGrid/>
              <w:jc w:val="center"/>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资金使用合规性</w:t>
            </w:r>
          </w:p>
        </w:tc>
        <w:tc>
          <w:tcPr>
            <w:tcW w:w="1397" w:type="dxa"/>
            <w:shd w:val="clear" w:color="000000" w:fill="FFFFFF"/>
            <w:vAlign w:val="center"/>
          </w:tcPr>
          <w:p w14:paraId="06AA3325">
            <w:pPr>
              <w:keepNext w:val="0"/>
              <w:keepLines w:val="0"/>
              <w:pageBreakBefore w:val="0"/>
              <w:widowControl/>
              <w:kinsoku/>
              <w:wordWrap/>
              <w:overflowPunct/>
              <w:topLinePunct w:val="0"/>
              <w:autoSpaceDE/>
              <w:autoSpaceDN/>
              <w:bidi w:val="0"/>
              <w:adjustRightInd/>
              <w:snapToGrid/>
              <w:jc w:val="center"/>
              <w:textAlignment w:val="center"/>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lang w:bidi="ar"/>
              </w:rPr>
              <w:t>3.00</w:t>
            </w:r>
          </w:p>
        </w:tc>
        <w:tc>
          <w:tcPr>
            <w:tcW w:w="1245" w:type="dxa"/>
            <w:shd w:val="clear" w:color="000000" w:fill="FFFFFF"/>
            <w:vAlign w:val="center"/>
          </w:tcPr>
          <w:p w14:paraId="6DBA7E35">
            <w:pPr>
              <w:keepNext w:val="0"/>
              <w:keepLines w:val="0"/>
              <w:pageBreakBefore w:val="0"/>
              <w:widowControl/>
              <w:kinsoku/>
              <w:wordWrap/>
              <w:overflowPunct/>
              <w:topLinePunct w:val="0"/>
              <w:autoSpaceDE/>
              <w:autoSpaceDN/>
              <w:bidi w:val="0"/>
              <w:adjustRightInd/>
              <w:snapToGrid/>
              <w:jc w:val="center"/>
              <w:textAlignment w:val="center"/>
              <w:rPr>
                <w:rFonts w:hint="eastAsia" w:ascii="仿宋_GB2312" w:hAnsi="仿宋_GB2312" w:eastAsia="仿宋_GB2312" w:cs="仿宋_GB2312"/>
                <w:color w:val="000000"/>
                <w:kern w:val="0"/>
                <w:sz w:val="24"/>
                <w:szCs w:val="24"/>
                <w:lang w:bidi="ar"/>
              </w:rPr>
            </w:pPr>
            <w:r>
              <w:rPr>
                <w:rFonts w:hint="eastAsia" w:ascii="仿宋_GB2312" w:hAnsi="仿宋_GB2312" w:eastAsia="仿宋_GB2312" w:cs="仿宋_GB2312"/>
                <w:color w:val="000000"/>
                <w:kern w:val="0"/>
                <w:sz w:val="24"/>
                <w:szCs w:val="24"/>
                <w:lang w:bidi="ar"/>
              </w:rPr>
              <w:t>3.00</w:t>
            </w:r>
          </w:p>
        </w:tc>
        <w:tc>
          <w:tcPr>
            <w:tcW w:w="780" w:type="dxa"/>
            <w:shd w:val="clear" w:color="000000" w:fill="FFFFFF"/>
            <w:vAlign w:val="center"/>
          </w:tcPr>
          <w:p w14:paraId="5EC8460A">
            <w:pPr>
              <w:keepNext w:val="0"/>
              <w:keepLines w:val="0"/>
              <w:pageBreakBefore w:val="0"/>
              <w:widowControl/>
              <w:kinsoku/>
              <w:wordWrap/>
              <w:overflowPunct/>
              <w:topLinePunct w:val="0"/>
              <w:autoSpaceDE/>
              <w:autoSpaceDN/>
              <w:bidi w:val="0"/>
              <w:adjustRightInd/>
              <w:snapToGrid/>
              <w:jc w:val="center"/>
              <w:rPr>
                <w:rFonts w:hint="eastAsia" w:ascii="仿宋_GB2312" w:hAnsi="仿宋_GB2312" w:eastAsia="仿宋_GB2312" w:cs="仿宋_GB2312"/>
                <w:color w:val="000000"/>
                <w:kern w:val="0"/>
                <w:sz w:val="24"/>
                <w:szCs w:val="24"/>
              </w:rPr>
            </w:pPr>
          </w:p>
        </w:tc>
      </w:tr>
      <w:tr w14:paraId="4117C3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trPr>
        <w:tc>
          <w:tcPr>
            <w:tcW w:w="1234" w:type="dxa"/>
            <w:vMerge w:val="continue"/>
            <w:shd w:val="clear" w:color="auto" w:fill="auto"/>
            <w:vAlign w:val="center"/>
          </w:tcPr>
          <w:p w14:paraId="7202335E">
            <w:pPr>
              <w:keepNext w:val="0"/>
              <w:keepLines w:val="0"/>
              <w:pageBreakBefore w:val="0"/>
              <w:widowControl/>
              <w:kinsoku/>
              <w:wordWrap/>
              <w:overflowPunct/>
              <w:topLinePunct w:val="0"/>
              <w:autoSpaceDE/>
              <w:autoSpaceDN/>
              <w:bidi w:val="0"/>
              <w:adjustRightInd/>
              <w:snapToGrid/>
              <w:jc w:val="center"/>
              <w:rPr>
                <w:rFonts w:hint="eastAsia" w:ascii="仿宋_GB2312" w:hAnsi="仿宋_GB2312" w:eastAsia="仿宋_GB2312" w:cs="仿宋_GB2312"/>
                <w:color w:val="000000"/>
                <w:kern w:val="0"/>
                <w:sz w:val="24"/>
                <w:szCs w:val="24"/>
              </w:rPr>
            </w:pPr>
          </w:p>
        </w:tc>
        <w:tc>
          <w:tcPr>
            <w:tcW w:w="1389" w:type="dxa"/>
            <w:vMerge w:val="restart"/>
            <w:shd w:val="clear" w:color="000000" w:fill="FFFFFF"/>
            <w:vAlign w:val="center"/>
          </w:tcPr>
          <w:p w14:paraId="6059F16D">
            <w:pPr>
              <w:keepNext w:val="0"/>
              <w:keepLines w:val="0"/>
              <w:pageBreakBefore w:val="0"/>
              <w:widowControl/>
              <w:kinsoku/>
              <w:wordWrap/>
              <w:overflowPunct/>
              <w:topLinePunct w:val="0"/>
              <w:autoSpaceDE/>
              <w:autoSpaceDN/>
              <w:bidi w:val="0"/>
              <w:adjustRightInd/>
              <w:snapToGrid/>
              <w:jc w:val="center"/>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组织实施</w:t>
            </w:r>
          </w:p>
        </w:tc>
        <w:tc>
          <w:tcPr>
            <w:tcW w:w="2445" w:type="dxa"/>
            <w:shd w:val="clear" w:color="000000" w:fill="FFFFFF"/>
            <w:vAlign w:val="center"/>
          </w:tcPr>
          <w:p w14:paraId="076D691C">
            <w:pPr>
              <w:keepNext w:val="0"/>
              <w:keepLines w:val="0"/>
              <w:pageBreakBefore w:val="0"/>
              <w:widowControl/>
              <w:kinsoku/>
              <w:wordWrap/>
              <w:overflowPunct/>
              <w:topLinePunct w:val="0"/>
              <w:autoSpaceDE/>
              <w:autoSpaceDN/>
              <w:bidi w:val="0"/>
              <w:adjustRightInd/>
              <w:snapToGrid/>
              <w:jc w:val="center"/>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管理制度健全性</w:t>
            </w:r>
          </w:p>
        </w:tc>
        <w:tc>
          <w:tcPr>
            <w:tcW w:w="1397" w:type="dxa"/>
            <w:shd w:val="clear" w:color="000000" w:fill="FFFFFF"/>
            <w:vAlign w:val="center"/>
          </w:tcPr>
          <w:p w14:paraId="0B5F6D72">
            <w:pPr>
              <w:keepNext w:val="0"/>
              <w:keepLines w:val="0"/>
              <w:pageBreakBefore w:val="0"/>
              <w:widowControl/>
              <w:kinsoku/>
              <w:wordWrap/>
              <w:overflowPunct/>
              <w:topLinePunct w:val="0"/>
              <w:autoSpaceDE/>
              <w:autoSpaceDN/>
              <w:bidi w:val="0"/>
              <w:adjustRightInd/>
              <w:snapToGrid/>
              <w:jc w:val="center"/>
              <w:textAlignment w:val="center"/>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lang w:bidi="ar"/>
              </w:rPr>
              <w:t>5.00</w:t>
            </w:r>
          </w:p>
        </w:tc>
        <w:tc>
          <w:tcPr>
            <w:tcW w:w="1245" w:type="dxa"/>
            <w:shd w:val="clear" w:color="000000" w:fill="FFFFFF"/>
            <w:vAlign w:val="center"/>
          </w:tcPr>
          <w:p w14:paraId="3018674C">
            <w:pPr>
              <w:keepNext w:val="0"/>
              <w:keepLines w:val="0"/>
              <w:pageBreakBefore w:val="0"/>
              <w:widowControl/>
              <w:kinsoku/>
              <w:wordWrap/>
              <w:overflowPunct/>
              <w:topLinePunct w:val="0"/>
              <w:autoSpaceDE/>
              <w:autoSpaceDN/>
              <w:bidi w:val="0"/>
              <w:adjustRightInd/>
              <w:snapToGrid/>
              <w:jc w:val="center"/>
              <w:textAlignment w:val="center"/>
              <w:rPr>
                <w:rFonts w:hint="eastAsia" w:ascii="仿宋_GB2312" w:hAnsi="仿宋_GB2312" w:eastAsia="仿宋_GB2312" w:cs="仿宋_GB2312"/>
                <w:color w:val="000000"/>
                <w:kern w:val="0"/>
                <w:sz w:val="24"/>
                <w:szCs w:val="24"/>
                <w:lang w:bidi="ar"/>
              </w:rPr>
            </w:pPr>
            <w:r>
              <w:rPr>
                <w:rFonts w:hint="eastAsia" w:ascii="仿宋_GB2312" w:hAnsi="仿宋_GB2312" w:eastAsia="仿宋_GB2312" w:cs="仿宋_GB2312"/>
                <w:color w:val="000000"/>
                <w:kern w:val="0"/>
                <w:sz w:val="24"/>
                <w:szCs w:val="24"/>
                <w:lang w:bidi="ar"/>
              </w:rPr>
              <w:t>5.00</w:t>
            </w:r>
          </w:p>
        </w:tc>
        <w:tc>
          <w:tcPr>
            <w:tcW w:w="780" w:type="dxa"/>
            <w:shd w:val="clear" w:color="000000" w:fill="FFFFFF"/>
            <w:vAlign w:val="center"/>
          </w:tcPr>
          <w:p w14:paraId="48AEC210">
            <w:pPr>
              <w:keepNext w:val="0"/>
              <w:keepLines w:val="0"/>
              <w:pageBreakBefore w:val="0"/>
              <w:widowControl/>
              <w:kinsoku/>
              <w:wordWrap/>
              <w:overflowPunct/>
              <w:topLinePunct w:val="0"/>
              <w:autoSpaceDE/>
              <w:autoSpaceDN/>
              <w:bidi w:val="0"/>
              <w:adjustRightInd/>
              <w:snapToGrid/>
              <w:jc w:val="center"/>
              <w:rPr>
                <w:rFonts w:hint="eastAsia" w:ascii="仿宋_GB2312" w:hAnsi="仿宋_GB2312" w:eastAsia="仿宋_GB2312" w:cs="仿宋_GB2312"/>
                <w:color w:val="000000"/>
                <w:kern w:val="0"/>
                <w:sz w:val="24"/>
                <w:szCs w:val="24"/>
              </w:rPr>
            </w:pPr>
          </w:p>
        </w:tc>
      </w:tr>
      <w:tr w14:paraId="14F12E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trPr>
        <w:tc>
          <w:tcPr>
            <w:tcW w:w="1234" w:type="dxa"/>
            <w:vMerge w:val="continue"/>
            <w:shd w:val="clear" w:color="auto" w:fill="auto"/>
            <w:vAlign w:val="center"/>
          </w:tcPr>
          <w:p w14:paraId="6F63B1BA">
            <w:pPr>
              <w:keepNext w:val="0"/>
              <w:keepLines w:val="0"/>
              <w:pageBreakBefore w:val="0"/>
              <w:widowControl/>
              <w:kinsoku/>
              <w:wordWrap/>
              <w:overflowPunct/>
              <w:topLinePunct w:val="0"/>
              <w:autoSpaceDE/>
              <w:autoSpaceDN/>
              <w:bidi w:val="0"/>
              <w:adjustRightInd/>
              <w:snapToGrid/>
              <w:jc w:val="center"/>
              <w:rPr>
                <w:rFonts w:hint="eastAsia" w:ascii="仿宋_GB2312" w:hAnsi="仿宋_GB2312" w:eastAsia="仿宋_GB2312" w:cs="仿宋_GB2312"/>
                <w:color w:val="000000"/>
                <w:kern w:val="0"/>
                <w:sz w:val="24"/>
                <w:szCs w:val="24"/>
              </w:rPr>
            </w:pPr>
          </w:p>
        </w:tc>
        <w:tc>
          <w:tcPr>
            <w:tcW w:w="1389" w:type="dxa"/>
            <w:vMerge w:val="continue"/>
            <w:shd w:val="clear" w:color="auto" w:fill="auto"/>
            <w:vAlign w:val="center"/>
          </w:tcPr>
          <w:p w14:paraId="3A318BE6">
            <w:pPr>
              <w:keepNext w:val="0"/>
              <w:keepLines w:val="0"/>
              <w:pageBreakBefore w:val="0"/>
              <w:widowControl/>
              <w:kinsoku/>
              <w:wordWrap/>
              <w:overflowPunct/>
              <w:topLinePunct w:val="0"/>
              <w:autoSpaceDE/>
              <w:autoSpaceDN/>
              <w:bidi w:val="0"/>
              <w:adjustRightInd/>
              <w:snapToGrid/>
              <w:jc w:val="center"/>
              <w:rPr>
                <w:rFonts w:hint="eastAsia" w:ascii="仿宋_GB2312" w:hAnsi="仿宋_GB2312" w:eastAsia="仿宋_GB2312" w:cs="仿宋_GB2312"/>
                <w:color w:val="000000"/>
                <w:kern w:val="0"/>
                <w:sz w:val="24"/>
                <w:szCs w:val="24"/>
              </w:rPr>
            </w:pPr>
          </w:p>
        </w:tc>
        <w:tc>
          <w:tcPr>
            <w:tcW w:w="2445" w:type="dxa"/>
            <w:shd w:val="clear" w:color="000000" w:fill="FFFFFF"/>
            <w:vAlign w:val="center"/>
          </w:tcPr>
          <w:p w14:paraId="3417E756">
            <w:pPr>
              <w:keepNext w:val="0"/>
              <w:keepLines w:val="0"/>
              <w:pageBreakBefore w:val="0"/>
              <w:widowControl/>
              <w:kinsoku/>
              <w:wordWrap/>
              <w:overflowPunct/>
              <w:topLinePunct w:val="0"/>
              <w:autoSpaceDE/>
              <w:autoSpaceDN/>
              <w:bidi w:val="0"/>
              <w:adjustRightInd/>
              <w:snapToGrid/>
              <w:jc w:val="center"/>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制度执行有效性</w:t>
            </w:r>
          </w:p>
        </w:tc>
        <w:tc>
          <w:tcPr>
            <w:tcW w:w="1397" w:type="dxa"/>
            <w:shd w:val="clear" w:color="000000" w:fill="FFFFFF"/>
            <w:vAlign w:val="center"/>
          </w:tcPr>
          <w:p w14:paraId="37126FF8">
            <w:pPr>
              <w:keepNext w:val="0"/>
              <w:keepLines w:val="0"/>
              <w:pageBreakBefore w:val="0"/>
              <w:widowControl/>
              <w:kinsoku/>
              <w:wordWrap/>
              <w:overflowPunct/>
              <w:topLinePunct w:val="0"/>
              <w:autoSpaceDE/>
              <w:autoSpaceDN/>
              <w:bidi w:val="0"/>
              <w:adjustRightInd/>
              <w:snapToGrid/>
              <w:jc w:val="center"/>
              <w:textAlignment w:val="center"/>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lang w:bidi="ar"/>
              </w:rPr>
              <w:t>5.00</w:t>
            </w:r>
          </w:p>
        </w:tc>
        <w:tc>
          <w:tcPr>
            <w:tcW w:w="1245" w:type="dxa"/>
            <w:shd w:val="clear" w:color="000000" w:fill="FFFFFF"/>
            <w:vAlign w:val="center"/>
          </w:tcPr>
          <w:p w14:paraId="3F145937">
            <w:pPr>
              <w:keepNext w:val="0"/>
              <w:keepLines w:val="0"/>
              <w:pageBreakBefore w:val="0"/>
              <w:widowControl/>
              <w:kinsoku/>
              <w:wordWrap/>
              <w:overflowPunct/>
              <w:topLinePunct w:val="0"/>
              <w:autoSpaceDE/>
              <w:autoSpaceDN/>
              <w:bidi w:val="0"/>
              <w:adjustRightInd/>
              <w:snapToGrid/>
              <w:jc w:val="center"/>
              <w:textAlignment w:val="center"/>
              <w:rPr>
                <w:rFonts w:hint="eastAsia" w:ascii="仿宋_GB2312" w:hAnsi="仿宋_GB2312" w:eastAsia="仿宋_GB2312" w:cs="仿宋_GB2312"/>
                <w:color w:val="000000"/>
                <w:kern w:val="0"/>
                <w:sz w:val="24"/>
                <w:szCs w:val="24"/>
                <w:lang w:bidi="ar"/>
              </w:rPr>
            </w:pPr>
            <w:r>
              <w:rPr>
                <w:rFonts w:hint="eastAsia" w:ascii="仿宋_GB2312" w:hAnsi="仿宋_GB2312" w:eastAsia="仿宋_GB2312" w:cs="仿宋_GB2312"/>
                <w:color w:val="000000"/>
                <w:kern w:val="0"/>
                <w:sz w:val="24"/>
                <w:szCs w:val="24"/>
                <w:lang w:bidi="ar"/>
              </w:rPr>
              <w:t>5.00</w:t>
            </w:r>
          </w:p>
        </w:tc>
        <w:tc>
          <w:tcPr>
            <w:tcW w:w="780" w:type="dxa"/>
            <w:shd w:val="clear" w:color="000000" w:fill="FFFFFF"/>
            <w:vAlign w:val="center"/>
          </w:tcPr>
          <w:p w14:paraId="69D2C8BB">
            <w:pPr>
              <w:keepNext w:val="0"/>
              <w:keepLines w:val="0"/>
              <w:pageBreakBefore w:val="0"/>
              <w:widowControl/>
              <w:kinsoku/>
              <w:wordWrap/>
              <w:overflowPunct/>
              <w:topLinePunct w:val="0"/>
              <w:autoSpaceDE/>
              <w:autoSpaceDN/>
              <w:bidi w:val="0"/>
              <w:adjustRightInd/>
              <w:snapToGrid/>
              <w:jc w:val="center"/>
              <w:rPr>
                <w:rFonts w:hint="eastAsia" w:ascii="仿宋_GB2312" w:hAnsi="仿宋_GB2312" w:eastAsia="仿宋_GB2312" w:cs="仿宋_GB2312"/>
                <w:color w:val="000000"/>
                <w:kern w:val="0"/>
                <w:sz w:val="24"/>
                <w:szCs w:val="24"/>
              </w:rPr>
            </w:pPr>
          </w:p>
        </w:tc>
      </w:tr>
      <w:tr w14:paraId="22E3E3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trPr>
        <w:tc>
          <w:tcPr>
            <w:tcW w:w="1234" w:type="dxa"/>
            <w:vMerge w:val="restart"/>
            <w:shd w:val="clear" w:color="000000" w:fill="FFFFFF"/>
            <w:vAlign w:val="center"/>
          </w:tcPr>
          <w:p w14:paraId="62A6D162">
            <w:pPr>
              <w:keepNext w:val="0"/>
              <w:keepLines w:val="0"/>
              <w:pageBreakBefore w:val="0"/>
              <w:widowControl/>
              <w:kinsoku/>
              <w:wordWrap/>
              <w:overflowPunct/>
              <w:topLinePunct w:val="0"/>
              <w:autoSpaceDE/>
              <w:autoSpaceDN/>
              <w:bidi w:val="0"/>
              <w:adjustRightInd/>
              <w:snapToGrid/>
              <w:jc w:val="center"/>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产出</w:t>
            </w:r>
          </w:p>
          <w:p w14:paraId="70B93F9B">
            <w:pPr>
              <w:keepNext w:val="0"/>
              <w:keepLines w:val="0"/>
              <w:pageBreakBefore w:val="0"/>
              <w:widowControl/>
              <w:kinsoku/>
              <w:wordWrap/>
              <w:overflowPunct/>
              <w:topLinePunct w:val="0"/>
              <w:autoSpaceDE/>
              <w:autoSpaceDN/>
              <w:bidi w:val="0"/>
              <w:adjustRightInd/>
              <w:snapToGrid/>
              <w:jc w:val="center"/>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（40分）</w:t>
            </w:r>
          </w:p>
        </w:tc>
        <w:tc>
          <w:tcPr>
            <w:tcW w:w="1389" w:type="dxa"/>
            <w:shd w:val="clear" w:color="000000" w:fill="FFFFFF"/>
            <w:vAlign w:val="center"/>
          </w:tcPr>
          <w:p w14:paraId="4C6563AA">
            <w:pPr>
              <w:keepNext w:val="0"/>
              <w:keepLines w:val="0"/>
              <w:pageBreakBefore w:val="0"/>
              <w:widowControl/>
              <w:kinsoku/>
              <w:wordWrap/>
              <w:overflowPunct/>
              <w:topLinePunct w:val="0"/>
              <w:autoSpaceDE/>
              <w:autoSpaceDN/>
              <w:bidi w:val="0"/>
              <w:adjustRightInd/>
              <w:snapToGrid/>
              <w:jc w:val="center"/>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产出数量</w:t>
            </w:r>
          </w:p>
        </w:tc>
        <w:tc>
          <w:tcPr>
            <w:tcW w:w="2445" w:type="dxa"/>
            <w:shd w:val="clear" w:color="000000" w:fill="FFFFFF"/>
            <w:vAlign w:val="center"/>
          </w:tcPr>
          <w:p w14:paraId="5A9929ED">
            <w:pPr>
              <w:keepNext w:val="0"/>
              <w:keepLines w:val="0"/>
              <w:pageBreakBefore w:val="0"/>
              <w:widowControl/>
              <w:kinsoku/>
              <w:wordWrap/>
              <w:overflowPunct/>
              <w:topLinePunct w:val="0"/>
              <w:autoSpaceDE/>
              <w:autoSpaceDN/>
              <w:bidi w:val="0"/>
              <w:adjustRightInd/>
              <w:snapToGrid/>
              <w:jc w:val="center"/>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实际完成率</w:t>
            </w:r>
          </w:p>
        </w:tc>
        <w:tc>
          <w:tcPr>
            <w:tcW w:w="1397" w:type="dxa"/>
            <w:shd w:val="clear" w:color="000000" w:fill="FFFFFF"/>
            <w:vAlign w:val="center"/>
          </w:tcPr>
          <w:p w14:paraId="32AEFA94">
            <w:pPr>
              <w:keepNext w:val="0"/>
              <w:keepLines w:val="0"/>
              <w:pageBreakBefore w:val="0"/>
              <w:widowControl/>
              <w:kinsoku/>
              <w:wordWrap/>
              <w:overflowPunct/>
              <w:topLinePunct w:val="0"/>
              <w:autoSpaceDE/>
              <w:autoSpaceDN/>
              <w:bidi w:val="0"/>
              <w:adjustRightInd/>
              <w:snapToGrid/>
              <w:jc w:val="center"/>
              <w:textAlignment w:val="center"/>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lang w:bidi="ar"/>
              </w:rPr>
              <w:t>10.00</w:t>
            </w:r>
          </w:p>
        </w:tc>
        <w:tc>
          <w:tcPr>
            <w:tcW w:w="1245" w:type="dxa"/>
            <w:shd w:val="clear" w:color="000000" w:fill="FFFFFF"/>
            <w:vAlign w:val="center"/>
          </w:tcPr>
          <w:p w14:paraId="47A5DAC0">
            <w:pPr>
              <w:keepNext w:val="0"/>
              <w:keepLines w:val="0"/>
              <w:pageBreakBefore w:val="0"/>
              <w:widowControl/>
              <w:kinsoku/>
              <w:wordWrap/>
              <w:overflowPunct/>
              <w:topLinePunct w:val="0"/>
              <w:autoSpaceDE/>
              <w:autoSpaceDN/>
              <w:bidi w:val="0"/>
              <w:adjustRightInd/>
              <w:snapToGrid/>
              <w:jc w:val="center"/>
              <w:textAlignment w:val="center"/>
              <w:rPr>
                <w:rFonts w:hint="eastAsia" w:ascii="仿宋_GB2312" w:hAnsi="仿宋_GB2312" w:eastAsia="仿宋_GB2312" w:cs="仿宋_GB2312"/>
                <w:color w:val="000000"/>
                <w:kern w:val="0"/>
                <w:sz w:val="24"/>
                <w:szCs w:val="24"/>
                <w:lang w:bidi="ar"/>
              </w:rPr>
            </w:pPr>
            <w:r>
              <w:rPr>
                <w:rFonts w:hint="eastAsia" w:ascii="仿宋_GB2312" w:hAnsi="仿宋_GB2312" w:eastAsia="仿宋_GB2312" w:cs="仿宋_GB2312"/>
                <w:color w:val="000000"/>
                <w:kern w:val="0"/>
                <w:sz w:val="24"/>
                <w:szCs w:val="24"/>
                <w:lang w:bidi="ar"/>
              </w:rPr>
              <w:t>10.00</w:t>
            </w:r>
          </w:p>
        </w:tc>
        <w:tc>
          <w:tcPr>
            <w:tcW w:w="780" w:type="dxa"/>
            <w:shd w:val="clear" w:color="000000" w:fill="FFFFFF"/>
            <w:vAlign w:val="center"/>
          </w:tcPr>
          <w:p w14:paraId="310680CB">
            <w:pPr>
              <w:keepNext w:val="0"/>
              <w:keepLines w:val="0"/>
              <w:pageBreakBefore w:val="0"/>
              <w:widowControl/>
              <w:kinsoku/>
              <w:wordWrap/>
              <w:overflowPunct/>
              <w:topLinePunct w:val="0"/>
              <w:autoSpaceDE/>
              <w:autoSpaceDN/>
              <w:bidi w:val="0"/>
              <w:adjustRightInd/>
              <w:snapToGrid/>
              <w:jc w:val="center"/>
              <w:rPr>
                <w:rFonts w:hint="eastAsia" w:ascii="仿宋_GB2312" w:hAnsi="仿宋_GB2312" w:eastAsia="仿宋_GB2312" w:cs="仿宋_GB2312"/>
                <w:color w:val="000000"/>
                <w:kern w:val="0"/>
                <w:sz w:val="24"/>
                <w:szCs w:val="24"/>
              </w:rPr>
            </w:pPr>
          </w:p>
        </w:tc>
      </w:tr>
      <w:tr w14:paraId="38D5ED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trPr>
        <w:tc>
          <w:tcPr>
            <w:tcW w:w="1234" w:type="dxa"/>
            <w:vMerge w:val="continue"/>
            <w:shd w:val="clear" w:color="auto" w:fill="auto"/>
            <w:vAlign w:val="center"/>
          </w:tcPr>
          <w:p w14:paraId="5A6F72E2">
            <w:pPr>
              <w:keepNext w:val="0"/>
              <w:keepLines w:val="0"/>
              <w:pageBreakBefore w:val="0"/>
              <w:widowControl/>
              <w:kinsoku/>
              <w:wordWrap/>
              <w:overflowPunct/>
              <w:topLinePunct w:val="0"/>
              <w:autoSpaceDE/>
              <w:autoSpaceDN/>
              <w:bidi w:val="0"/>
              <w:adjustRightInd/>
              <w:snapToGrid/>
              <w:jc w:val="center"/>
              <w:rPr>
                <w:rFonts w:hint="eastAsia" w:ascii="仿宋_GB2312" w:hAnsi="仿宋_GB2312" w:eastAsia="仿宋_GB2312" w:cs="仿宋_GB2312"/>
                <w:color w:val="000000"/>
                <w:kern w:val="0"/>
                <w:sz w:val="24"/>
                <w:szCs w:val="24"/>
              </w:rPr>
            </w:pPr>
          </w:p>
        </w:tc>
        <w:tc>
          <w:tcPr>
            <w:tcW w:w="1389" w:type="dxa"/>
            <w:shd w:val="clear" w:color="000000" w:fill="FFFFFF"/>
            <w:vAlign w:val="center"/>
          </w:tcPr>
          <w:p w14:paraId="1F1A6746">
            <w:pPr>
              <w:keepNext w:val="0"/>
              <w:keepLines w:val="0"/>
              <w:pageBreakBefore w:val="0"/>
              <w:widowControl/>
              <w:kinsoku/>
              <w:wordWrap/>
              <w:overflowPunct/>
              <w:topLinePunct w:val="0"/>
              <w:autoSpaceDE/>
              <w:autoSpaceDN/>
              <w:bidi w:val="0"/>
              <w:adjustRightInd/>
              <w:snapToGrid/>
              <w:jc w:val="center"/>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产出质量</w:t>
            </w:r>
          </w:p>
        </w:tc>
        <w:tc>
          <w:tcPr>
            <w:tcW w:w="2445" w:type="dxa"/>
            <w:shd w:val="clear" w:color="000000" w:fill="FFFFFF"/>
            <w:vAlign w:val="center"/>
          </w:tcPr>
          <w:p w14:paraId="01BA50EC">
            <w:pPr>
              <w:keepNext w:val="0"/>
              <w:keepLines w:val="0"/>
              <w:pageBreakBefore w:val="0"/>
              <w:widowControl/>
              <w:kinsoku/>
              <w:wordWrap/>
              <w:overflowPunct/>
              <w:topLinePunct w:val="0"/>
              <w:autoSpaceDE/>
              <w:autoSpaceDN/>
              <w:bidi w:val="0"/>
              <w:adjustRightInd/>
              <w:snapToGrid/>
              <w:jc w:val="center"/>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质量达标率</w:t>
            </w:r>
          </w:p>
        </w:tc>
        <w:tc>
          <w:tcPr>
            <w:tcW w:w="1397" w:type="dxa"/>
            <w:shd w:val="clear" w:color="000000" w:fill="FFFFFF"/>
            <w:vAlign w:val="center"/>
          </w:tcPr>
          <w:p w14:paraId="029E8EFC">
            <w:pPr>
              <w:keepNext w:val="0"/>
              <w:keepLines w:val="0"/>
              <w:pageBreakBefore w:val="0"/>
              <w:widowControl/>
              <w:kinsoku/>
              <w:wordWrap/>
              <w:overflowPunct/>
              <w:topLinePunct w:val="0"/>
              <w:autoSpaceDE/>
              <w:autoSpaceDN/>
              <w:bidi w:val="0"/>
              <w:adjustRightInd/>
              <w:snapToGrid/>
              <w:jc w:val="center"/>
              <w:textAlignment w:val="center"/>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lang w:bidi="ar"/>
              </w:rPr>
              <w:t>10.00</w:t>
            </w:r>
          </w:p>
        </w:tc>
        <w:tc>
          <w:tcPr>
            <w:tcW w:w="1245" w:type="dxa"/>
            <w:shd w:val="clear" w:color="000000" w:fill="FFFFFF"/>
            <w:vAlign w:val="center"/>
          </w:tcPr>
          <w:p w14:paraId="0FBDCD67">
            <w:pPr>
              <w:keepNext w:val="0"/>
              <w:keepLines w:val="0"/>
              <w:pageBreakBefore w:val="0"/>
              <w:widowControl/>
              <w:kinsoku/>
              <w:wordWrap/>
              <w:overflowPunct/>
              <w:topLinePunct w:val="0"/>
              <w:autoSpaceDE/>
              <w:autoSpaceDN/>
              <w:bidi w:val="0"/>
              <w:adjustRightInd/>
              <w:snapToGrid/>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10.00</w:t>
            </w:r>
          </w:p>
        </w:tc>
        <w:tc>
          <w:tcPr>
            <w:tcW w:w="780" w:type="dxa"/>
            <w:shd w:val="clear" w:color="000000" w:fill="FFFFFF"/>
            <w:vAlign w:val="center"/>
          </w:tcPr>
          <w:p w14:paraId="77BFA805">
            <w:pPr>
              <w:keepNext w:val="0"/>
              <w:keepLines w:val="0"/>
              <w:pageBreakBefore w:val="0"/>
              <w:widowControl/>
              <w:kinsoku/>
              <w:wordWrap/>
              <w:overflowPunct/>
              <w:topLinePunct w:val="0"/>
              <w:autoSpaceDE/>
              <w:autoSpaceDN/>
              <w:bidi w:val="0"/>
              <w:adjustRightInd/>
              <w:snapToGrid/>
              <w:jc w:val="center"/>
              <w:rPr>
                <w:rFonts w:hint="eastAsia" w:ascii="仿宋_GB2312" w:hAnsi="仿宋_GB2312" w:eastAsia="仿宋_GB2312" w:cs="仿宋_GB2312"/>
                <w:color w:val="000000"/>
                <w:kern w:val="0"/>
                <w:sz w:val="24"/>
                <w:szCs w:val="24"/>
              </w:rPr>
            </w:pPr>
          </w:p>
        </w:tc>
      </w:tr>
      <w:tr w14:paraId="73279E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trPr>
        <w:tc>
          <w:tcPr>
            <w:tcW w:w="1234" w:type="dxa"/>
            <w:vMerge w:val="continue"/>
            <w:shd w:val="clear" w:color="auto" w:fill="auto"/>
            <w:vAlign w:val="center"/>
          </w:tcPr>
          <w:p w14:paraId="561B1D29">
            <w:pPr>
              <w:keepNext w:val="0"/>
              <w:keepLines w:val="0"/>
              <w:pageBreakBefore w:val="0"/>
              <w:widowControl/>
              <w:kinsoku/>
              <w:wordWrap/>
              <w:overflowPunct/>
              <w:topLinePunct w:val="0"/>
              <w:autoSpaceDE/>
              <w:autoSpaceDN/>
              <w:bidi w:val="0"/>
              <w:adjustRightInd/>
              <w:snapToGrid/>
              <w:jc w:val="center"/>
              <w:rPr>
                <w:rFonts w:hint="eastAsia" w:ascii="仿宋_GB2312" w:hAnsi="仿宋_GB2312" w:eastAsia="仿宋_GB2312" w:cs="仿宋_GB2312"/>
                <w:color w:val="000000"/>
                <w:kern w:val="0"/>
                <w:sz w:val="24"/>
                <w:szCs w:val="24"/>
              </w:rPr>
            </w:pPr>
          </w:p>
        </w:tc>
        <w:tc>
          <w:tcPr>
            <w:tcW w:w="1389" w:type="dxa"/>
            <w:shd w:val="clear" w:color="000000" w:fill="FFFFFF"/>
            <w:vAlign w:val="center"/>
          </w:tcPr>
          <w:p w14:paraId="5D24F066">
            <w:pPr>
              <w:keepNext w:val="0"/>
              <w:keepLines w:val="0"/>
              <w:pageBreakBefore w:val="0"/>
              <w:widowControl/>
              <w:kinsoku/>
              <w:wordWrap/>
              <w:overflowPunct/>
              <w:topLinePunct w:val="0"/>
              <w:autoSpaceDE/>
              <w:autoSpaceDN/>
              <w:bidi w:val="0"/>
              <w:adjustRightInd/>
              <w:snapToGrid/>
              <w:jc w:val="center"/>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产出时效</w:t>
            </w:r>
          </w:p>
        </w:tc>
        <w:tc>
          <w:tcPr>
            <w:tcW w:w="2445" w:type="dxa"/>
            <w:shd w:val="clear" w:color="000000" w:fill="FFFFFF"/>
            <w:vAlign w:val="center"/>
          </w:tcPr>
          <w:p w14:paraId="1B262BD0">
            <w:pPr>
              <w:keepNext w:val="0"/>
              <w:keepLines w:val="0"/>
              <w:pageBreakBefore w:val="0"/>
              <w:widowControl/>
              <w:kinsoku/>
              <w:wordWrap/>
              <w:overflowPunct/>
              <w:topLinePunct w:val="0"/>
              <w:autoSpaceDE/>
              <w:autoSpaceDN/>
              <w:bidi w:val="0"/>
              <w:adjustRightInd/>
              <w:snapToGrid/>
              <w:jc w:val="center"/>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完成及时性</w:t>
            </w:r>
          </w:p>
        </w:tc>
        <w:tc>
          <w:tcPr>
            <w:tcW w:w="1397" w:type="dxa"/>
            <w:shd w:val="clear" w:color="000000" w:fill="FFFFFF"/>
            <w:vAlign w:val="center"/>
          </w:tcPr>
          <w:p w14:paraId="47B50E69">
            <w:pPr>
              <w:keepNext w:val="0"/>
              <w:keepLines w:val="0"/>
              <w:pageBreakBefore w:val="0"/>
              <w:widowControl/>
              <w:kinsoku/>
              <w:wordWrap/>
              <w:overflowPunct/>
              <w:topLinePunct w:val="0"/>
              <w:autoSpaceDE/>
              <w:autoSpaceDN/>
              <w:bidi w:val="0"/>
              <w:adjustRightInd/>
              <w:snapToGrid/>
              <w:jc w:val="center"/>
              <w:textAlignment w:val="center"/>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lang w:bidi="ar"/>
              </w:rPr>
              <w:t>10.00</w:t>
            </w:r>
          </w:p>
        </w:tc>
        <w:tc>
          <w:tcPr>
            <w:tcW w:w="1245" w:type="dxa"/>
            <w:shd w:val="clear" w:color="000000" w:fill="FFFFFF"/>
            <w:vAlign w:val="center"/>
          </w:tcPr>
          <w:p w14:paraId="7D04285C">
            <w:pPr>
              <w:keepNext w:val="0"/>
              <w:keepLines w:val="0"/>
              <w:pageBreakBefore w:val="0"/>
              <w:widowControl/>
              <w:kinsoku/>
              <w:wordWrap/>
              <w:overflowPunct/>
              <w:topLinePunct w:val="0"/>
              <w:autoSpaceDE/>
              <w:autoSpaceDN/>
              <w:bidi w:val="0"/>
              <w:adjustRightInd/>
              <w:snapToGrid/>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10.00</w:t>
            </w:r>
          </w:p>
        </w:tc>
        <w:tc>
          <w:tcPr>
            <w:tcW w:w="780" w:type="dxa"/>
            <w:shd w:val="clear" w:color="000000" w:fill="FFFFFF"/>
            <w:vAlign w:val="center"/>
          </w:tcPr>
          <w:p w14:paraId="45CB1D9B">
            <w:pPr>
              <w:keepNext w:val="0"/>
              <w:keepLines w:val="0"/>
              <w:pageBreakBefore w:val="0"/>
              <w:widowControl/>
              <w:kinsoku/>
              <w:wordWrap/>
              <w:overflowPunct/>
              <w:topLinePunct w:val="0"/>
              <w:autoSpaceDE/>
              <w:autoSpaceDN/>
              <w:bidi w:val="0"/>
              <w:adjustRightInd/>
              <w:snapToGrid/>
              <w:jc w:val="center"/>
              <w:rPr>
                <w:rFonts w:hint="eastAsia" w:ascii="仿宋_GB2312" w:hAnsi="仿宋_GB2312" w:eastAsia="仿宋_GB2312" w:cs="仿宋_GB2312"/>
                <w:color w:val="000000"/>
                <w:kern w:val="0"/>
                <w:sz w:val="24"/>
                <w:szCs w:val="24"/>
              </w:rPr>
            </w:pPr>
          </w:p>
        </w:tc>
      </w:tr>
      <w:tr w14:paraId="49094C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trPr>
        <w:tc>
          <w:tcPr>
            <w:tcW w:w="1234" w:type="dxa"/>
            <w:vMerge w:val="continue"/>
            <w:shd w:val="clear" w:color="auto" w:fill="auto"/>
            <w:vAlign w:val="center"/>
          </w:tcPr>
          <w:p w14:paraId="5697E5C2">
            <w:pPr>
              <w:keepNext w:val="0"/>
              <w:keepLines w:val="0"/>
              <w:pageBreakBefore w:val="0"/>
              <w:widowControl/>
              <w:kinsoku/>
              <w:wordWrap/>
              <w:overflowPunct/>
              <w:topLinePunct w:val="0"/>
              <w:autoSpaceDE/>
              <w:autoSpaceDN/>
              <w:bidi w:val="0"/>
              <w:adjustRightInd/>
              <w:snapToGrid/>
              <w:jc w:val="center"/>
              <w:rPr>
                <w:rFonts w:hint="eastAsia" w:ascii="仿宋_GB2312" w:hAnsi="仿宋_GB2312" w:eastAsia="仿宋_GB2312" w:cs="仿宋_GB2312"/>
                <w:color w:val="000000"/>
                <w:kern w:val="0"/>
                <w:sz w:val="24"/>
                <w:szCs w:val="24"/>
              </w:rPr>
            </w:pPr>
          </w:p>
        </w:tc>
        <w:tc>
          <w:tcPr>
            <w:tcW w:w="1389" w:type="dxa"/>
            <w:shd w:val="clear" w:color="000000" w:fill="FFFFFF"/>
            <w:vAlign w:val="center"/>
          </w:tcPr>
          <w:p w14:paraId="71A37A79">
            <w:pPr>
              <w:keepNext w:val="0"/>
              <w:keepLines w:val="0"/>
              <w:pageBreakBefore w:val="0"/>
              <w:widowControl/>
              <w:kinsoku/>
              <w:wordWrap/>
              <w:overflowPunct/>
              <w:topLinePunct w:val="0"/>
              <w:autoSpaceDE/>
              <w:autoSpaceDN/>
              <w:bidi w:val="0"/>
              <w:adjustRightInd/>
              <w:snapToGrid/>
              <w:jc w:val="center"/>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产出成本</w:t>
            </w:r>
          </w:p>
        </w:tc>
        <w:tc>
          <w:tcPr>
            <w:tcW w:w="2445" w:type="dxa"/>
            <w:shd w:val="clear" w:color="000000" w:fill="FFFFFF"/>
            <w:vAlign w:val="center"/>
          </w:tcPr>
          <w:p w14:paraId="4812D0F4">
            <w:pPr>
              <w:keepNext w:val="0"/>
              <w:keepLines w:val="0"/>
              <w:pageBreakBefore w:val="0"/>
              <w:widowControl/>
              <w:kinsoku/>
              <w:wordWrap/>
              <w:overflowPunct/>
              <w:topLinePunct w:val="0"/>
              <w:autoSpaceDE/>
              <w:autoSpaceDN/>
              <w:bidi w:val="0"/>
              <w:adjustRightInd/>
              <w:snapToGrid/>
              <w:jc w:val="center"/>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成本节约率</w:t>
            </w:r>
          </w:p>
        </w:tc>
        <w:tc>
          <w:tcPr>
            <w:tcW w:w="1397" w:type="dxa"/>
            <w:shd w:val="clear" w:color="000000" w:fill="FFFFFF"/>
            <w:vAlign w:val="center"/>
          </w:tcPr>
          <w:p w14:paraId="4706D205">
            <w:pPr>
              <w:keepNext w:val="0"/>
              <w:keepLines w:val="0"/>
              <w:pageBreakBefore w:val="0"/>
              <w:widowControl/>
              <w:kinsoku/>
              <w:wordWrap/>
              <w:overflowPunct/>
              <w:topLinePunct w:val="0"/>
              <w:autoSpaceDE/>
              <w:autoSpaceDN/>
              <w:bidi w:val="0"/>
              <w:adjustRightInd/>
              <w:snapToGrid/>
              <w:jc w:val="center"/>
              <w:textAlignment w:val="center"/>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lang w:bidi="ar"/>
              </w:rPr>
              <w:t>10.00</w:t>
            </w:r>
          </w:p>
        </w:tc>
        <w:tc>
          <w:tcPr>
            <w:tcW w:w="1245" w:type="dxa"/>
            <w:shd w:val="clear" w:color="000000" w:fill="FFFFFF"/>
            <w:vAlign w:val="center"/>
          </w:tcPr>
          <w:p w14:paraId="4662C20E">
            <w:pPr>
              <w:keepNext w:val="0"/>
              <w:keepLines w:val="0"/>
              <w:pageBreakBefore w:val="0"/>
              <w:widowControl/>
              <w:kinsoku/>
              <w:wordWrap/>
              <w:overflowPunct/>
              <w:topLinePunct w:val="0"/>
              <w:autoSpaceDE/>
              <w:autoSpaceDN/>
              <w:bidi w:val="0"/>
              <w:adjustRightInd/>
              <w:snapToGrid/>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10.00</w:t>
            </w:r>
          </w:p>
        </w:tc>
        <w:tc>
          <w:tcPr>
            <w:tcW w:w="780" w:type="dxa"/>
            <w:shd w:val="clear" w:color="000000" w:fill="FFFFFF"/>
            <w:vAlign w:val="center"/>
          </w:tcPr>
          <w:p w14:paraId="0526BC65">
            <w:pPr>
              <w:keepNext w:val="0"/>
              <w:keepLines w:val="0"/>
              <w:pageBreakBefore w:val="0"/>
              <w:widowControl/>
              <w:kinsoku/>
              <w:wordWrap/>
              <w:overflowPunct/>
              <w:topLinePunct w:val="0"/>
              <w:autoSpaceDE/>
              <w:autoSpaceDN/>
              <w:bidi w:val="0"/>
              <w:adjustRightInd/>
              <w:snapToGrid/>
              <w:jc w:val="center"/>
              <w:rPr>
                <w:rFonts w:hint="eastAsia" w:ascii="仿宋_GB2312" w:hAnsi="仿宋_GB2312" w:eastAsia="仿宋_GB2312" w:cs="仿宋_GB2312"/>
                <w:color w:val="000000"/>
                <w:kern w:val="0"/>
                <w:sz w:val="24"/>
                <w:szCs w:val="24"/>
              </w:rPr>
            </w:pPr>
          </w:p>
        </w:tc>
      </w:tr>
      <w:tr w14:paraId="1F719C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trPr>
        <w:tc>
          <w:tcPr>
            <w:tcW w:w="1234" w:type="dxa"/>
            <w:vMerge w:val="restart"/>
            <w:shd w:val="clear" w:color="000000" w:fill="FFFFFF"/>
            <w:vAlign w:val="center"/>
          </w:tcPr>
          <w:p w14:paraId="64B62BAA">
            <w:pPr>
              <w:keepNext w:val="0"/>
              <w:keepLines w:val="0"/>
              <w:pageBreakBefore w:val="0"/>
              <w:widowControl/>
              <w:kinsoku/>
              <w:wordWrap/>
              <w:overflowPunct/>
              <w:topLinePunct w:val="0"/>
              <w:autoSpaceDE/>
              <w:autoSpaceDN/>
              <w:bidi w:val="0"/>
              <w:adjustRightInd/>
              <w:snapToGrid/>
              <w:jc w:val="center"/>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效益</w:t>
            </w:r>
          </w:p>
          <w:p w14:paraId="70914000">
            <w:pPr>
              <w:keepNext w:val="0"/>
              <w:keepLines w:val="0"/>
              <w:pageBreakBefore w:val="0"/>
              <w:widowControl/>
              <w:kinsoku/>
              <w:wordWrap/>
              <w:overflowPunct/>
              <w:topLinePunct w:val="0"/>
              <w:autoSpaceDE/>
              <w:autoSpaceDN/>
              <w:bidi w:val="0"/>
              <w:adjustRightInd/>
              <w:snapToGrid/>
              <w:jc w:val="center"/>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（30分）</w:t>
            </w:r>
          </w:p>
        </w:tc>
        <w:tc>
          <w:tcPr>
            <w:tcW w:w="1389" w:type="dxa"/>
            <w:vMerge w:val="restart"/>
            <w:shd w:val="clear" w:color="000000" w:fill="FFFFFF"/>
            <w:vAlign w:val="center"/>
          </w:tcPr>
          <w:p w14:paraId="3D8D586A">
            <w:pPr>
              <w:keepNext w:val="0"/>
              <w:keepLines w:val="0"/>
              <w:pageBreakBefore w:val="0"/>
              <w:widowControl/>
              <w:kinsoku/>
              <w:wordWrap/>
              <w:overflowPunct/>
              <w:topLinePunct w:val="0"/>
              <w:autoSpaceDE/>
              <w:autoSpaceDN/>
              <w:bidi w:val="0"/>
              <w:adjustRightInd/>
              <w:snapToGrid/>
              <w:jc w:val="center"/>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项目效益</w:t>
            </w:r>
          </w:p>
        </w:tc>
        <w:tc>
          <w:tcPr>
            <w:tcW w:w="2445" w:type="dxa"/>
            <w:shd w:val="clear" w:color="000000" w:fill="FFFFFF"/>
            <w:vAlign w:val="center"/>
          </w:tcPr>
          <w:p w14:paraId="0BC19E6E">
            <w:pPr>
              <w:keepNext w:val="0"/>
              <w:keepLines w:val="0"/>
              <w:pageBreakBefore w:val="0"/>
              <w:widowControl/>
              <w:kinsoku/>
              <w:wordWrap/>
              <w:overflowPunct/>
              <w:topLinePunct w:val="0"/>
              <w:autoSpaceDE/>
              <w:autoSpaceDN/>
              <w:bidi w:val="0"/>
              <w:adjustRightInd/>
              <w:snapToGrid/>
              <w:jc w:val="center"/>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产生的社会效益</w:t>
            </w:r>
          </w:p>
        </w:tc>
        <w:tc>
          <w:tcPr>
            <w:tcW w:w="1397" w:type="dxa"/>
            <w:shd w:val="clear" w:color="000000" w:fill="FFFFFF"/>
            <w:vAlign w:val="center"/>
          </w:tcPr>
          <w:p w14:paraId="7E5EBABF">
            <w:pPr>
              <w:keepNext w:val="0"/>
              <w:keepLines w:val="0"/>
              <w:pageBreakBefore w:val="0"/>
              <w:widowControl/>
              <w:kinsoku/>
              <w:wordWrap/>
              <w:overflowPunct/>
              <w:topLinePunct w:val="0"/>
              <w:autoSpaceDE/>
              <w:autoSpaceDN/>
              <w:bidi w:val="0"/>
              <w:adjustRightInd/>
              <w:snapToGrid/>
              <w:jc w:val="center"/>
              <w:textAlignment w:val="center"/>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lang w:val="en-US" w:eastAsia="zh-CN" w:bidi="ar"/>
              </w:rPr>
              <w:t>10.00</w:t>
            </w:r>
          </w:p>
        </w:tc>
        <w:tc>
          <w:tcPr>
            <w:tcW w:w="1245" w:type="dxa"/>
            <w:shd w:val="clear" w:color="000000" w:fill="FFFFFF"/>
            <w:vAlign w:val="center"/>
          </w:tcPr>
          <w:p w14:paraId="36D3B45A">
            <w:pPr>
              <w:keepNext w:val="0"/>
              <w:keepLines w:val="0"/>
              <w:pageBreakBefore w:val="0"/>
              <w:widowControl/>
              <w:kinsoku/>
              <w:wordWrap/>
              <w:overflowPunct/>
              <w:topLinePunct w:val="0"/>
              <w:autoSpaceDE/>
              <w:autoSpaceDN/>
              <w:bidi w:val="0"/>
              <w:adjustRightInd/>
              <w:snapToGrid/>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kern w:val="0"/>
                <w:sz w:val="24"/>
                <w:szCs w:val="24"/>
                <w:lang w:val="en-US" w:eastAsia="zh-CN" w:bidi="ar"/>
              </w:rPr>
              <w:t>10.00</w:t>
            </w:r>
          </w:p>
        </w:tc>
        <w:tc>
          <w:tcPr>
            <w:tcW w:w="780" w:type="dxa"/>
            <w:shd w:val="clear" w:color="000000" w:fill="FFFFFF"/>
            <w:vAlign w:val="center"/>
          </w:tcPr>
          <w:p w14:paraId="0E6AF319">
            <w:pPr>
              <w:keepNext w:val="0"/>
              <w:keepLines w:val="0"/>
              <w:pageBreakBefore w:val="0"/>
              <w:widowControl/>
              <w:kinsoku/>
              <w:wordWrap/>
              <w:overflowPunct/>
              <w:topLinePunct w:val="0"/>
              <w:autoSpaceDE/>
              <w:autoSpaceDN/>
              <w:bidi w:val="0"/>
              <w:adjustRightInd/>
              <w:snapToGrid/>
              <w:jc w:val="center"/>
              <w:rPr>
                <w:rFonts w:hint="eastAsia" w:ascii="仿宋_GB2312" w:hAnsi="仿宋_GB2312" w:eastAsia="仿宋_GB2312" w:cs="仿宋_GB2312"/>
                <w:color w:val="000000"/>
                <w:kern w:val="0"/>
                <w:sz w:val="24"/>
                <w:szCs w:val="24"/>
              </w:rPr>
            </w:pPr>
          </w:p>
        </w:tc>
      </w:tr>
      <w:tr w14:paraId="00C7DC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trPr>
        <w:tc>
          <w:tcPr>
            <w:tcW w:w="1234" w:type="dxa"/>
            <w:vMerge w:val="continue"/>
            <w:shd w:val="clear" w:color="auto" w:fill="auto"/>
            <w:vAlign w:val="center"/>
          </w:tcPr>
          <w:p w14:paraId="789AC693">
            <w:pPr>
              <w:keepNext w:val="0"/>
              <w:keepLines w:val="0"/>
              <w:pageBreakBefore w:val="0"/>
              <w:widowControl/>
              <w:kinsoku/>
              <w:wordWrap/>
              <w:overflowPunct/>
              <w:topLinePunct w:val="0"/>
              <w:autoSpaceDE/>
              <w:autoSpaceDN/>
              <w:bidi w:val="0"/>
              <w:adjustRightInd/>
              <w:snapToGrid/>
              <w:jc w:val="center"/>
              <w:rPr>
                <w:rFonts w:hint="eastAsia" w:ascii="仿宋_GB2312" w:hAnsi="仿宋_GB2312" w:eastAsia="仿宋_GB2312" w:cs="仿宋_GB2312"/>
                <w:color w:val="000000"/>
                <w:kern w:val="0"/>
                <w:sz w:val="24"/>
                <w:szCs w:val="24"/>
              </w:rPr>
            </w:pPr>
          </w:p>
        </w:tc>
        <w:tc>
          <w:tcPr>
            <w:tcW w:w="1389" w:type="dxa"/>
            <w:vMerge w:val="continue"/>
            <w:shd w:val="clear" w:color="auto" w:fill="auto"/>
            <w:vAlign w:val="center"/>
          </w:tcPr>
          <w:p w14:paraId="251F4AE0">
            <w:pPr>
              <w:keepNext w:val="0"/>
              <w:keepLines w:val="0"/>
              <w:pageBreakBefore w:val="0"/>
              <w:widowControl/>
              <w:kinsoku/>
              <w:wordWrap/>
              <w:overflowPunct/>
              <w:topLinePunct w:val="0"/>
              <w:autoSpaceDE/>
              <w:autoSpaceDN/>
              <w:bidi w:val="0"/>
              <w:adjustRightInd/>
              <w:snapToGrid/>
              <w:jc w:val="center"/>
              <w:rPr>
                <w:rFonts w:hint="eastAsia" w:ascii="仿宋_GB2312" w:hAnsi="仿宋_GB2312" w:eastAsia="仿宋_GB2312" w:cs="仿宋_GB2312"/>
                <w:color w:val="000000"/>
                <w:kern w:val="0"/>
                <w:sz w:val="24"/>
                <w:szCs w:val="24"/>
              </w:rPr>
            </w:pPr>
          </w:p>
        </w:tc>
        <w:tc>
          <w:tcPr>
            <w:tcW w:w="2445" w:type="dxa"/>
            <w:shd w:val="clear" w:color="000000" w:fill="FFFFFF"/>
            <w:vAlign w:val="center"/>
          </w:tcPr>
          <w:p w14:paraId="7A17F875">
            <w:pPr>
              <w:keepNext w:val="0"/>
              <w:keepLines w:val="0"/>
              <w:pageBreakBefore w:val="0"/>
              <w:widowControl/>
              <w:kinsoku/>
              <w:wordWrap/>
              <w:overflowPunct/>
              <w:topLinePunct w:val="0"/>
              <w:autoSpaceDE/>
              <w:autoSpaceDN/>
              <w:bidi w:val="0"/>
              <w:adjustRightInd/>
              <w:snapToGrid/>
              <w:jc w:val="center"/>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产生的</w:t>
            </w:r>
            <w:r>
              <w:rPr>
                <w:rFonts w:hint="eastAsia" w:ascii="仿宋_GB2312" w:hAnsi="仿宋_GB2312" w:eastAsia="仿宋_GB2312" w:cs="仿宋_GB2312"/>
                <w:color w:val="000000"/>
                <w:kern w:val="0"/>
                <w:sz w:val="24"/>
                <w:szCs w:val="24"/>
                <w:lang w:val="en-US" w:eastAsia="zh-CN"/>
              </w:rPr>
              <w:t>生态</w:t>
            </w:r>
            <w:r>
              <w:rPr>
                <w:rFonts w:hint="eastAsia" w:ascii="仿宋_GB2312" w:hAnsi="仿宋_GB2312" w:eastAsia="仿宋_GB2312" w:cs="仿宋_GB2312"/>
                <w:color w:val="000000"/>
                <w:kern w:val="0"/>
                <w:sz w:val="24"/>
                <w:szCs w:val="24"/>
              </w:rPr>
              <w:t>效益</w:t>
            </w:r>
          </w:p>
        </w:tc>
        <w:tc>
          <w:tcPr>
            <w:tcW w:w="1397" w:type="dxa"/>
            <w:shd w:val="clear" w:color="000000" w:fill="FFFFFF"/>
            <w:vAlign w:val="center"/>
          </w:tcPr>
          <w:p w14:paraId="45674811">
            <w:pPr>
              <w:keepNext w:val="0"/>
              <w:keepLines w:val="0"/>
              <w:pageBreakBefore w:val="0"/>
              <w:widowControl/>
              <w:kinsoku/>
              <w:wordWrap/>
              <w:overflowPunct/>
              <w:topLinePunct w:val="0"/>
              <w:autoSpaceDE/>
              <w:autoSpaceDN/>
              <w:bidi w:val="0"/>
              <w:adjustRightInd/>
              <w:snapToGrid/>
              <w:jc w:val="center"/>
              <w:textAlignment w:val="center"/>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lang w:val="en-US" w:eastAsia="zh-CN" w:bidi="ar"/>
              </w:rPr>
              <w:t>10.0</w:t>
            </w:r>
            <w:r>
              <w:rPr>
                <w:rFonts w:hint="eastAsia" w:ascii="仿宋_GB2312" w:hAnsi="仿宋_GB2312" w:eastAsia="仿宋_GB2312" w:cs="仿宋_GB2312"/>
                <w:color w:val="000000"/>
                <w:kern w:val="0"/>
                <w:sz w:val="24"/>
                <w:szCs w:val="24"/>
                <w:lang w:bidi="ar"/>
              </w:rPr>
              <w:t>0</w:t>
            </w:r>
          </w:p>
        </w:tc>
        <w:tc>
          <w:tcPr>
            <w:tcW w:w="1245" w:type="dxa"/>
            <w:shd w:val="clear" w:color="000000" w:fill="FFFFFF"/>
            <w:vAlign w:val="center"/>
          </w:tcPr>
          <w:p w14:paraId="57E94F24">
            <w:pPr>
              <w:keepNext w:val="0"/>
              <w:keepLines w:val="0"/>
              <w:pageBreakBefore w:val="0"/>
              <w:widowControl/>
              <w:kinsoku/>
              <w:wordWrap/>
              <w:overflowPunct/>
              <w:topLinePunct w:val="0"/>
              <w:autoSpaceDE/>
              <w:autoSpaceDN/>
              <w:bidi w:val="0"/>
              <w:adjustRightInd/>
              <w:snapToGrid/>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val="en-US" w:eastAsia="zh-CN" w:bidi="ar"/>
              </w:rPr>
              <w:t>10.0</w:t>
            </w:r>
            <w:r>
              <w:rPr>
                <w:rFonts w:hint="eastAsia" w:ascii="仿宋_GB2312" w:hAnsi="仿宋_GB2312" w:eastAsia="仿宋_GB2312" w:cs="仿宋_GB2312"/>
                <w:color w:val="000000"/>
                <w:kern w:val="0"/>
                <w:sz w:val="24"/>
                <w:szCs w:val="24"/>
                <w:lang w:bidi="ar"/>
              </w:rPr>
              <w:t>0</w:t>
            </w:r>
          </w:p>
        </w:tc>
        <w:tc>
          <w:tcPr>
            <w:tcW w:w="780" w:type="dxa"/>
            <w:shd w:val="clear" w:color="000000" w:fill="FFFFFF"/>
            <w:vAlign w:val="center"/>
          </w:tcPr>
          <w:p w14:paraId="2DAD9C51">
            <w:pPr>
              <w:keepNext w:val="0"/>
              <w:keepLines w:val="0"/>
              <w:pageBreakBefore w:val="0"/>
              <w:widowControl/>
              <w:kinsoku/>
              <w:wordWrap/>
              <w:overflowPunct/>
              <w:topLinePunct w:val="0"/>
              <w:autoSpaceDE/>
              <w:autoSpaceDN/>
              <w:bidi w:val="0"/>
              <w:adjustRightInd/>
              <w:snapToGrid/>
              <w:jc w:val="center"/>
              <w:rPr>
                <w:rFonts w:hint="eastAsia" w:ascii="仿宋_GB2312" w:hAnsi="仿宋_GB2312" w:eastAsia="仿宋_GB2312" w:cs="仿宋_GB2312"/>
                <w:color w:val="000000"/>
                <w:kern w:val="0"/>
                <w:sz w:val="24"/>
                <w:szCs w:val="24"/>
              </w:rPr>
            </w:pPr>
          </w:p>
        </w:tc>
      </w:tr>
      <w:tr w14:paraId="727FD9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trPr>
        <w:tc>
          <w:tcPr>
            <w:tcW w:w="1234" w:type="dxa"/>
            <w:vMerge w:val="continue"/>
            <w:tcBorders>
              <w:bottom w:val="single" w:color="auto" w:sz="4" w:space="0"/>
            </w:tcBorders>
            <w:shd w:val="clear" w:color="auto" w:fill="auto"/>
            <w:vAlign w:val="center"/>
          </w:tcPr>
          <w:p w14:paraId="01151C41">
            <w:pPr>
              <w:keepNext w:val="0"/>
              <w:keepLines w:val="0"/>
              <w:pageBreakBefore w:val="0"/>
              <w:widowControl/>
              <w:kinsoku/>
              <w:wordWrap/>
              <w:overflowPunct/>
              <w:topLinePunct w:val="0"/>
              <w:autoSpaceDE/>
              <w:autoSpaceDN/>
              <w:bidi w:val="0"/>
              <w:adjustRightInd/>
              <w:snapToGrid/>
              <w:jc w:val="center"/>
              <w:rPr>
                <w:rFonts w:hint="eastAsia" w:ascii="仿宋_GB2312" w:hAnsi="仿宋_GB2312" w:eastAsia="仿宋_GB2312" w:cs="仿宋_GB2312"/>
                <w:color w:val="000000"/>
                <w:kern w:val="0"/>
                <w:sz w:val="24"/>
                <w:szCs w:val="24"/>
              </w:rPr>
            </w:pPr>
          </w:p>
        </w:tc>
        <w:tc>
          <w:tcPr>
            <w:tcW w:w="1389" w:type="dxa"/>
            <w:vMerge w:val="continue"/>
            <w:tcBorders>
              <w:bottom w:val="single" w:color="auto" w:sz="4" w:space="0"/>
            </w:tcBorders>
            <w:shd w:val="clear" w:color="auto" w:fill="auto"/>
            <w:vAlign w:val="center"/>
          </w:tcPr>
          <w:p w14:paraId="1CB6989C">
            <w:pPr>
              <w:keepNext w:val="0"/>
              <w:keepLines w:val="0"/>
              <w:pageBreakBefore w:val="0"/>
              <w:widowControl/>
              <w:kinsoku/>
              <w:wordWrap/>
              <w:overflowPunct/>
              <w:topLinePunct w:val="0"/>
              <w:autoSpaceDE/>
              <w:autoSpaceDN/>
              <w:bidi w:val="0"/>
              <w:adjustRightInd/>
              <w:snapToGrid/>
              <w:jc w:val="center"/>
              <w:rPr>
                <w:rFonts w:hint="eastAsia" w:ascii="仿宋_GB2312" w:hAnsi="仿宋_GB2312" w:eastAsia="仿宋_GB2312" w:cs="仿宋_GB2312"/>
                <w:color w:val="000000"/>
                <w:kern w:val="0"/>
                <w:sz w:val="24"/>
                <w:szCs w:val="24"/>
              </w:rPr>
            </w:pPr>
          </w:p>
        </w:tc>
        <w:tc>
          <w:tcPr>
            <w:tcW w:w="2445" w:type="dxa"/>
            <w:tcBorders>
              <w:bottom w:val="single" w:color="auto" w:sz="4" w:space="0"/>
            </w:tcBorders>
            <w:shd w:val="clear" w:color="000000" w:fill="FFFFFF"/>
            <w:vAlign w:val="center"/>
          </w:tcPr>
          <w:p w14:paraId="30566FDE">
            <w:pPr>
              <w:keepNext w:val="0"/>
              <w:keepLines w:val="0"/>
              <w:pageBreakBefore w:val="0"/>
              <w:widowControl/>
              <w:kinsoku/>
              <w:wordWrap/>
              <w:overflowPunct/>
              <w:topLinePunct w:val="0"/>
              <w:autoSpaceDE/>
              <w:autoSpaceDN/>
              <w:bidi w:val="0"/>
              <w:adjustRightInd/>
              <w:snapToGrid/>
              <w:jc w:val="center"/>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服务对象满意度</w:t>
            </w:r>
          </w:p>
        </w:tc>
        <w:tc>
          <w:tcPr>
            <w:tcW w:w="1397" w:type="dxa"/>
            <w:tcBorders>
              <w:bottom w:val="single" w:color="auto" w:sz="4" w:space="0"/>
            </w:tcBorders>
            <w:shd w:val="clear" w:color="000000" w:fill="FFFFFF"/>
            <w:vAlign w:val="center"/>
          </w:tcPr>
          <w:p w14:paraId="281E4824">
            <w:pPr>
              <w:keepNext w:val="0"/>
              <w:keepLines w:val="0"/>
              <w:pageBreakBefore w:val="0"/>
              <w:widowControl/>
              <w:kinsoku/>
              <w:wordWrap/>
              <w:overflowPunct/>
              <w:topLinePunct w:val="0"/>
              <w:autoSpaceDE/>
              <w:autoSpaceDN/>
              <w:bidi w:val="0"/>
              <w:adjustRightInd/>
              <w:snapToGrid/>
              <w:jc w:val="center"/>
              <w:textAlignment w:val="center"/>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lang w:bidi="ar"/>
              </w:rPr>
              <w:t>10.00</w:t>
            </w:r>
          </w:p>
        </w:tc>
        <w:tc>
          <w:tcPr>
            <w:tcW w:w="1245" w:type="dxa"/>
            <w:shd w:val="clear" w:color="000000" w:fill="FFFFFF"/>
            <w:vAlign w:val="center"/>
          </w:tcPr>
          <w:p w14:paraId="16282563">
            <w:pPr>
              <w:keepNext w:val="0"/>
              <w:keepLines w:val="0"/>
              <w:pageBreakBefore w:val="0"/>
              <w:widowControl/>
              <w:kinsoku/>
              <w:wordWrap/>
              <w:overflowPunct/>
              <w:topLinePunct w:val="0"/>
              <w:autoSpaceDE/>
              <w:autoSpaceDN/>
              <w:bidi w:val="0"/>
              <w:adjustRightInd/>
              <w:snapToGrid/>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10.00</w:t>
            </w:r>
          </w:p>
        </w:tc>
        <w:tc>
          <w:tcPr>
            <w:tcW w:w="780" w:type="dxa"/>
            <w:shd w:val="clear" w:color="000000" w:fill="FFFFFF"/>
            <w:vAlign w:val="center"/>
          </w:tcPr>
          <w:p w14:paraId="7A1F2BC7">
            <w:pPr>
              <w:keepNext w:val="0"/>
              <w:keepLines w:val="0"/>
              <w:pageBreakBefore w:val="0"/>
              <w:widowControl/>
              <w:kinsoku/>
              <w:wordWrap/>
              <w:overflowPunct/>
              <w:topLinePunct w:val="0"/>
              <w:autoSpaceDE/>
              <w:autoSpaceDN/>
              <w:bidi w:val="0"/>
              <w:adjustRightInd/>
              <w:snapToGrid/>
              <w:jc w:val="center"/>
              <w:rPr>
                <w:rFonts w:hint="eastAsia" w:ascii="仿宋_GB2312" w:hAnsi="仿宋_GB2312" w:eastAsia="仿宋_GB2312" w:cs="仿宋_GB2312"/>
                <w:color w:val="000000"/>
                <w:kern w:val="0"/>
                <w:sz w:val="24"/>
                <w:szCs w:val="24"/>
              </w:rPr>
            </w:pPr>
          </w:p>
        </w:tc>
      </w:tr>
      <w:tr w14:paraId="5C51EB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6" w:hRule="exact"/>
        </w:trPr>
        <w:tc>
          <w:tcPr>
            <w:tcW w:w="5068" w:type="dxa"/>
            <w:gridSpan w:val="3"/>
            <w:tcBorders>
              <w:bottom w:val="single" w:color="auto" w:sz="4" w:space="0"/>
            </w:tcBorders>
            <w:shd w:val="clear" w:color="auto" w:fill="auto"/>
            <w:vAlign w:val="center"/>
          </w:tcPr>
          <w:p w14:paraId="5EBC83FD">
            <w:pPr>
              <w:keepNext w:val="0"/>
              <w:keepLines w:val="0"/>
              <w:pageBreakBefore w:val="0"/>
              <w:widowControl/>
              <w:kinsoku/>
              <w:wordWrap/>
              <w:overflowPunct/>
              <w:topLinePunct w:val="0"/>
              <w:autoSpaceDE/>
              <w:autoSpaceDN/>
              <w:bidi w:val="0"/>
              <w:adjustRightInd/>
              <w:snapToGrid/>
              <w:jc w:val="center"/>
              <w:rPr>
                <w:rFonts w:hint="eastAsia" w:ascii="仿宋_GB2312" w:hAnsi="仿宋_GB2312" w:eastAsia="仿宋_GB2312" w:cs="仿宋_GB2312"/>
                <w:b/>
                <w:color w:val="000000"/>
                <w:kern w:val="0"/>
                <w:sz w:val="24"/>
                <w:szCs w:val="24"/>
              </w:rPr>
            </w:pPr>
            <w:r>
              <w:rPr>
                <w:rFonts w:hint="eastAsia" w:ascii="仿宋_GB2312" w:hAnsi="仿宋_GB2312" w:eastAsia="仿宋_GB2312" w:cs="仿宋_GB2312"/>
                <w:b/>
                <w:color w:val="000000"/>
                <w:kern w:val="0"/>
                <w:sz w:val="24"/>
                <w:szCs w:val="24"/>
              </w:rPr>
              <w:t>合计</w:t>
            </w:r>
          </w:p>
        </w:tc>
        <w:tc>
          <w:tcPr>
            <w:tcW w:w="1397" w:type="dxa"/>
            <w:tcBorders>
              <w:bottom w:val="single" w:color="auto" w:sz="4" w:space="0"/>
            </w:tcBorders>
            <w:shd w:val="clear" w:color="000000" w:fill="FFFFFF"/>
            <w:vAlign w:val="center"/>
          </w:tcPr>
          <w:p w14:paraId="125C3CBC">
            <w:pPr>
              <w:keepNext w:val="0"/>
              <w:keepLines w:val="0"/>
              <w:pageBreakBefore w:val="0"/>
              <w:widowControl/>
              <w:kinsoku/>
              <w:wordWrap/>
              <w:overflowPunct/>
              <w:topLinePunct w:val="0"/>
              <w:autoSpaceDE/>
              <w:autoSpaceDN/>
              <w:bidi w:val="0"/>
              <w:adjustRightInd/>
              <w:snapToGrid/>
              <w:jc w:val="center"/>
              <w:rPr>
                <w:rFonts w:hint="default" w:ascii="仿宋_GB2312" w:hAnsi="仿宋_GB2312" w:eastAsia="仿宋_GB2312" w:cs="仿宋_GB2312"/>
                <w:b/>
                <w:color w:val="000000"/>
                <w:kern w:val="0"/>
                <w:sz w:val="24"/>
                <w:szCs w:val="24"/>
                <w:lang w:val="en-US" w:eastAsia="zh-CN"/>
              </w:rPr>
            </w:pPr>
            <w:r>
              <w:rPr>
                <w:rFonts w:hint="eastAsia" w:ascii="仿宋_GB2312" w:hAnsi="仿宋_GB2312" w:eastAsia="仿宋_GB2312" w:cs="仿宋_GB2312"/>
                <w:b/>
                <w:color w:val="000000"/>
                <w:kern w:val="0"/>
                <w:sz w:val="24"/>
                <w:szCs w:val="24"/>
              </w:rPr>
              <w:fldChar w:fldCharType="begin"/>
            </w:r>
            <w:r>
              <w:rPr>
                <w:rFonts w:hint="eastAsia" w:ascii="仿宋_GB2312" w:hAnsi="仿宋_GB2312" w:eastAsia="仿宋_GB2312" w:cs="仿宋_GB2312"/>
                <w:b/>
                <w:color w:val="000000"/>
                <w:kern w:val="0"/>
                <w:sz w:val="24"/>
                <w:szCs w:val="24"/>
              </w:rPr>
              <w:instrText xml:space="preserve"> =SUM(ABOVE) </w:instrText>
            </w:r>
            <w:r>
              <w:rPr>
                <w:rFonts w:hint="eastAsia" w:ascii="仿宋_GB2312" w:hAnsi="仿宋_GB2312" w:eastAsia="仿宋_GB2312" w:cs="仿宋_GB2312"/>
                <w:b/>
                <w:color w:val="000000"/>
                <w:kern w:val="0"/>
                <w:sz w:val="24"/>
                <w:szCs w:val="24"/>
              </w:rPr>
              <w:fldChar w:fldCharType="separate"/>
            </w:r>
            <w:r>
              <w:rPr>
                <w:rFonts w:hint="eastAsia" w:ascii="仿宋_GB2312" w:hAnsi="仿宋_GB2312" w:eastAsia="仿宋_GB2312" w:cs="仿宋_GB2312"/>
                <w:b/>
                <w:color w:val="000000"/>
                <w:kern w:val="0"/>
                <w:sz w:val="24"/>
                <w:szCs w:val="24"/>
              </w:rPr>
              <w:t>100</w:t>
            </w:r>
            <w:r>
              <w:rPr>
                <w:rFonts w:hint="eastAsia" w:ascii="仿宋_GB2312" w:hAnsi="仿宋_GB2312" w:eastAsia="仿宋_GB2312" w:cs="仿宋_GB2312"/>
                <w:b/>
                <w:color w:val="000000"/>
                <w:kern w:val="0"/>
                <w:sz w:val="24"/>
                <w:szCs w:val="24"/>
              </w:rPr>
              <w:fldChar w:fldCharType="end"/>
            </w:r>
            <w:r>
              <w:rPr>
                <w:rFonts w:hint="eastAsia" w:ascii="仿宋_GB2312" w:hAnsi="仿宋_GB2312" w:eastAsia="仿宋_GB2312" w:cs="仿宋_GB2312"/>
                <w:b/>
                <w:color w:val="000000"/>
                <w:kern w:val="0"/>
                <w:sz w:val="24"/>
                <w:szCs w:val="24"/>
                <w:lang w:val="en-US" w:eastAsia="zh-CN"/>
              </w:rPr>
              <w:t>.00</w:t>
            </w:r>
          </w:p>
        </w:tc>
        <w:tc>
          <w:tcPr>
            <w:tcW w:w="1245" w:type="dxa"/>
            <w:shd w:val="clear" w:color="000000" w:fill="FFFFFF"/>
            <w:vAlign w:val="center"/>
          </w:tcPr>
          <w:p w14:paraId="145A28E0">
            <w:pPr>
              <w:keepNext w:val="0"/>
              <w:keepLines w:val="0"/>
              <w:pageBreakBefore w:val="0"/>
              <w:widowControl/>
              <w:kinsoku/>
              <w:wordWrap/>
              <w:overflowPunct/>
              <w:topLinePunct w:val="0"/>
              <w:autoSpaceDE/>
              <w:autoSpaceDN/>
              <w:bidi w:val="0"/>
              <w:adjustRightInd/>
              <w:snapToGrid/>
              <w:jc w:val="center"/>
              <w:rPr>
                <w:rFonts w:hint="eastAsia" w:ascii="仿宋_GB2312" w:hAnsi="仿宋_GB2312" w:eastAsia="仿宋_GB2312" w:cs="仿宋_GB2312"/>
                <w:b/>
                <w:color w:val="000000"/>
                <w:kern w:val="0"/>
                <w:sz w:val="24"/>
                <w:szCs w:val="24"/>
              </w:rPr>
            </w:pPr>
            <w:r>
              <w:rPr>
                <w:rFonts w:hint="eastAsia" w:ascii="仿宋_GB2312" w:hAnsi="仿宋_GB2312" w:eastAsia="仿宋_GB2312" w:cs="仿宋_GB2312"/>
                <w:b/>
                <w:color w:val="000000"/>
                <w:kern w:val="0"/>
                <w:sz w:val="24"/>
                <w:szCs w:val="24"/>
                <w:lang w:val="en-US" w:eastAsia="zh-CN"/>
              </w:rPr>
              <w:t>100.0</w:t>
            </w:r>
            <w:r>
              <w:rPr>
                <w:rFonts w:hint="eastAsia" w:ascii="仿宋_GB2312" w:hAnsi="仿宋_GB2312" w:eastAsia="仿宋_GB2312" w:cs="仿宋_GB2312"/>
                <w:b/>
                <w:color w:val="000000"/>
                <w:kern w:val="0"/>
                <w:sz w:val="24"/>
                <w:szCs w:val="24"/>
              </w:rPr>
              <w:t>0</w:t>
            </w:r>
          </w:p>
        </w:tc>
        <w:tc>
          <w:tcPr>
            <w:tcW w:w="780" w:type="dxa"/>
            <w:shd w:val="clear" w:color="000000" w:fill="FFFFFF"/>
            <w:vAlign w:val="center"/>
          </w:tcPr>
          <w:p w14:paraId="1B20C703">
            <w:pPr>
              <w:keepNext w:val="0"/>
              <w:keepLines w:val="0"/>
              <w:pageBreakBefore w:val="0"/>
              <w:widowControl/>
              <w:kinsoku/>
              <w:wordWrap/>
              <w:overflowPunct/>
              <w:topLinePunct w:val="0"/>
              <w:autoSpaceDE/>
              <w:autoSpaceDN/>
              <w:bidi w:val="0"/>
              <w:adjustRightInd/>
              <w:snapToGrid/>
              <w:jc w:val="center"/>
              <w:rPr>
                <w:rFonts w:hint="eastAsia" w:ascii="仿宋_GB2312" w:hAnsi="仿宋_GB2312" w:eastAsia="仿宋_GB2312" w:cs="仿宋_GB2312"/>
                <w:color w:val="000000"/>
                <w:kern w:val="0"/>
                <w:sz w:val="24"/>
                <w:szCs w:val="24"/>
              </w:rPr>
            </w:pPr>
          </w:p>
        </w:tc>
      </w:tr>
      <w:bookmarkEnd w:id="0"/>
      <w:bookmarkEnd w:id="1"/>
      <w:bookmarkEnd w:id="2"/>
    </w:tbl>
    <w:p w14:paraId="4F576776">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黑体" w:hAnsi="黑体" w:eastAsia="黑体" w:cs="黑体"/>
          <w:b w:val="0"/>
          <w:bCs/>
          <w:color w:val="000000"/>
          <w:kern w:val="0"/>
          <w:sz w:val="32"/>
          <w:szCs w:val="32"/>
          <w:highlight w:val="none"/>
        </w:rPr>
      </w:pPr>
      <w:r>
        <w:rPr>
          <w:rFonts w:hint="eastAsia" w:ascii="黑体" w:hAnsi="黑体" w:eastAsia="黑体" w:cs="黑体"/>
          <w:b w:val="0"/>
          <w:bCs/>
          <w:color w:val="000000"/>
          <w:kern w:val="0"/>
          <w:sz w:val="32"/>
          <w:szCs w:val="32"/>
          <w:highlight w:val="none"/>
        </w:rPr>
        <w:t>四、绩效评价指标分析</w:t>
      </w:r>
    </w:p>
    <w:p w14:paraId="30FB6BA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仿宋_GB2312" w:eastAsia="楷体_GB2312" w:cs="仿宋_GB2312"/>
          <w:color w:val="000000"/>
          <w:kern w:val="0"/>
          <w:sz w:val="32"/>
          <w:szCs w:val="32"/>
        </w:rPr>
      </w:pPr>
      <w:r>
        <w:rPr>
          <w:rFonts w:hint="eastAsia" w:ascii="楷体_GB2312" w:hAnsi="仿宋_GB2312" w:eastAsia="楷体_GB2312" w:cs="仿宋_GB2312"/>
          <w:color w:val="000000"/>
          <w:kern w:val="0"/>
          <w:sz w:val="32"/>
          <w:szCs w:val="32"/>
        </w:rPr>
        <w:t>（一）项目决策情况</w:t>
      </w:r>
    </w:p>
    <w:p w14:paraId="2D34F76A">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lang w:val="en-US" w:eastAsia="zh-CN"/>
        </w:rPr>
        <w:t>1.项目立项</w:t>
      </w:r>
    </w:p>
    <w:p w14:paraId="1025871C">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lang w:val="en-US" w:eastAsia="zh-CN"/>
        </w:rPr>
        <w:t>项目负责人按照预算编报要求申报该项目预算，编制项目申报书及绩效目标表等项目申报资料；科室负责人审核后交由主管业务领导审核，主管业务领导审核其主管科室提交的预算需求及相关资料，主要关注项目的真实性、必要性及可行性；审核通过由办公室汇总预算；主管财务领导审核汇总的单位预算需求明细，平衡单位预算需求，审核通过提交局长知晓；局长知晓汇总的单位预算需求明细情况，并组织召开党组会。党组会对本单位汇总的预算需求进行审议，审议通过后的预算明细录入预算一体化系统上报区财政局。项目立项履行了内部审核审批程序，立项依据充分，立项程序规范。</w:t>
      </w:r>
    </w:p>
    <w:p w14:paraId="5BD1AB57">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lang w:val="en-US" w:eastAsia="zh-CN"/>
        </w:rPr>
        <w:t>2.绩效目标</w:t>
      </w:r>
    </w:p>
    <w:p w14:paraId="123EEC4C">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lang w:val="en-US" w:eastAsia="zh-CN"/>
        </w:rPr>
        <w:t>该项目的总体绩效目标设置合理、设定明确，绩效目标与项目需求相匹配。</w:t>
      </w:r>
    </w:p>
    <w:p w14:paraId="5B49A122">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lang w:val="en-US" w:eastAsia="zh-CN"/>
        </w:rPr>
        <w:t>3.资金投入</w:t>
      </w:r>
    </w:p>
    <w:p w14:paraId="0ADF02BE">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lang w:val="en-US" w:eastAsia="zh-CN"/>
        </w:rPr>
        <w:t>该项目总金额118.00万元，其中2024年度当年财政拨款118.00万元。为区生态环境局规范和加强专项资金管理，进一步提高资金使用效益提供保障。</w:t>
      </w:r>
    </w:p>
    <w:p w14:paraId="08C409A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仿宋_GB2312" w:eastAsia="楷体_GB2312" w:cs="仿宋_GB2312"/>
          <w:color w:val="000000"/>
          <w:kern w:val="0"/>
          <w:sz w:val="32"/>
          <w:szCs w:val="32"/>
        </w:rPr>
      </w:pPr>
      <w:r>
        <w:rPr>
          <w:rFonts w:hint="eastAsia" w:ascii="楷体_GB2312" w:hAnsi="仿宋_GB2312" w:eastAsia="楷体_GB2312" w:cs="仿宋_GB2312"/>
          <w:color w:val="000000"/>
          <w:kern w:val="0"/>
          <w:sz w:val="32"/>
          <w:szCs w:val="32"/>
        </w:rPr>
        <w:t>（二）项目过程情况</w:t>
      </w:r>
    </w:p>
    <w:p w14:paraId="02FCD2A9">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lang w:val="en-US" w:eastAsia="zh-CN"/>
        </w:rPr>
        <w:t>1.资金到位率及执行率</w:t>
      </w:r>
    </w:p>
    <w:p w14:paraId="1C114EFE">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lang w:val="en-US" w:eastAsia="zh-CN"/>
        </w:rPr>
        <w:t>该项目实际支出118.00万元，全部来自当年财政拨款。实际到位资金118.00万元，资金到位率100.00%，预算执行率100.00%。</w:t>
      </w:r>
    </w:p>
    <w:p w14:paraId="587D1B91">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lang w:val="en-US" w:eastAsia="zh-CN"/>
        </w:rPr>
        <w:t>2.资金使用合规性</w:t>
      </w:r>
    </w:p>
    <w:p w14:paraId="6FFEAA80">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lang w:val="en-US" w:eastAsia="zh-CN"/>
        </w:rPr>
        <w:t>项目执行过程中，严格履行政府采购流程，通过公开招标方式确定项目承接单位，资金支出由经办人、业务负责人及主管领导签字、主管财务领导等人签字审批，资金的拨付严格按照内部审批流程执行，资金使用合规，未发现挤占、挪用、虚列支出等现象。</w:t>
      </w:r>
    </w:p>
    <w:p w14:paraId="491EDF87">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default"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lang w:val="en-US" w:eastAsia="zh-CN"/>
        </w:rPr>
        <w:t>3.管理制度健全性和制度执行有效性</w:t>
      </w:r>
    </w:p>
    <w:p w14:paraId="4963D510">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default" w:ascii="仿宋_GB2312" w:hAnsi="仿宋_GB2312" w:eastAsia="仿宋_GB2312" w:cs="仿宋_GB2312"/>
          <w:color w:val="000000"/>
          <w:kern w:val="0"/>
          <w:sz w:val="32"/>
          <w:szCs w:val="32"/>
          <w:highlight w:val="none"/>
          <w:lang w:val="en-US" w:eastAsia="zh-CN"/>
        </w:rPr>
      </w:pPr>
      <w:r>
        <w:rPr>
          <w:rFonts w:hint="default" w:ascii="仿宋_GB2312" w:hAnsi="仿宋_GB2312" w:eastAsia="仿宋_GB2312" w:cs="仿宋_GB2312"/>
          <w:color w:val="000000"/>
          <w:kern w:val="0"/>
          <w:sz w:val="32"/>
          <w:szCs w:val="32"/>
          <w:highlight w:val="none"/>
          <w:lang w:val="en-US" w:eastAsia="zh-CN"/>
        </w:rPr>
        <w:t>（1）管理制度健全性</w:t>
      </w:r>
    </w:p>
    <w:p w14:paraId="2A4EBF61">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default" w:ascii="仿宋_GB2312" w:hAnsi="仿宋_GB2312" w:eastAsia="仿宋_GB2312" w:cs="仿宋_GB2312"/>
          <w:color w:val="000000"/>
          <w:kern w:val="0"/>
          <w:sz w:val="32"/>
          <w:szCs w:val="32"/>
          <w:highlight w:val="none"/>
          <w:lang w:val="en-US" w:eastAsia="zh-CN"/>
        </w:rPr>
      </w:pPr>
      <w:r>
        <w:rPr>
          <w:rFonts w:hint="default" w:ascii="仿宋_GB2312" w:hAnsi="仿宋_GB2312" w:eastAsia="仿宋_GB2312" w:cs="仿宋_GB2312"/>
          <w:color w:val="000000"/>
          <w:kern w:val="0"/>
          <w:sz w:val="32"/>
          <w:szCs w:val="32"/>
          <w:highlight w:val="none"/>
          <w:lang w:val="en-US" w:eastAsia="zh-CN"/>
        </w:rPr>
        <w:t>区生态环境局管理制度健全</w:t>
      </w:r>
      <w:r>
        <w:rPr>
          <w:rFonts w:hint="eastAsia" w:ascii="仿宋_GB2312" w:hAnsi="仿宋_GB2312" w:eastAsia="仿宋_GB2312" w:cs="仿宋_GB2312"/>
          <w:color w:val="000000"/>
          <w:kern w:val="0"/>
          <w:sz w:val="32"/>
          <w:szCs w:val="32"/>
          <w:highlight w:val="none"/>
          <w:lang w:val="en-US" w:eastAsia="zh-CN"/>
        </w:rPr>
        <w:t>。</w:t>
      </w:r>
      <w:r>
        <w:rPr>
          <w:rFonts w:hint="default" w:ascii="仿宋_GB2312" w:hAnsi="仿宋_GB2312" w:eastAsia="仿宋_GB2312" w:cs="仿宋_GB2312"/>
          <w:color w:val="000000"/>
          <w:kern w:val="0"/>
          <w:sz w:val="32"/>
          <w:szCs w:val="32"/>
          <w:highlight w:val="none"/>
          <w:lang w:val="en-US" w:eastAsia="zh-CN"/>
        </w:rPr>
        <w:t>财务管理制度方面，为推进财务管理的规范化、制度化，制定了</w:t>
      </w:r>
      <w:r>
        <w:rPr>
          <w:rFonts w:hint="eastAsia" w:ascii="仿宋_GB2312" w:hAnsi="仿宋_GB2312" w:eastAsia="仿宋_GB2312" w:cs="仿宋_GB2312"/>
          <w:color w:val="000000"/>
          <w:kern w:val="0"/>
          <w:sz w:val="32"/>
          <w:szCs w:val="32"/>
          <w:highlight w:val="none"/>
          <w:lang w:val="en-US" w:eastAsia="zh-CN"/>
        </w:rPr>
        <w:t>《大兴区生态环境局收入管理办法》、《大兴区生态环境局支出管理办法》、《大兴区生态环境局公务卡管理办法》、</w:t>
      </w:r>
      <w:r>
        <w:rPr>
          <w:rFonts w:hint="default" w:ascii="仿宋_GB2312" w:hAnsi="仿宋_GB2312" w:eastAsia="仿宋_GB2312" w:cs="仿宋_GB2312"/>
          <w:color w:val="000000"/>
          <w:kern w:val="0"/>
          <w:sz w:val="32"/>
          <w:szCs w:val="32"/>
          <w:highlight w:val="none"/>
          <w:lang w:val="en-US" w:eastAsia="zh-CN"/>
        </w:rPr>
        <w:t>《大兴区生态环境局会议费管理办法》等制度文件，对财务安全管理、</w:t>
      </w:r>
      <w:r>
        <w:rPr>
          <w:rFonts w:hint="eastAsia" w:ascii="仿宋_GB2312" w:hAnsi="仿宋_GB2312" w:eastAsia="仿宋_GB2312" w:cs="仿宋_GB2312"/>
          <w:color w:val="000000"/>
          <w:kern w:val="0"/>
          <w:sz w:val="32"/>
          <w:szCs w:val="32"/>
          <w:highlight w:val="none"/>
          <w:lang w:val="en-US" w:eastAsia="zh-CN"/>
        </w:rPr>
        <w:t>公务卡管理、</w:t>
      </w:r>
      <w:r>
        <w:rPr>
          <w:rFonts w:hint="default" w:ascii="仿宋_GB2312" w:hAnsi="仿宋_GB2312" w:eastAsia="仿宋_GB2312" w:cs="仿宋_GB2312"/>
          <w:color w:val="000000"/>
          <w:kern w:val="0"/>
          <w:sz w:val="32"/>
          <w:szCs w:val="32"/>
          <w:highlight w:val="none"/>
          <w:lang w:val="en-US" w:eastAsia="zh-CN"/>
        </w:rPr>
        <w:t>会议费报销等内容进行了明确规定。业务管理制度方面，</w:t>
      </w:r>
      <w:r>
        <w:rPr>
          <w:rFonts w:hint="eastAsia" w:ascii="仿宋_GB2312" w:hAnsi="仿宋_GB2312" w:eastAsia="仿宋_GB2312" w:cs="仿宋_GB2312"/>
          <w:color w:val="000000"/>
          <w:kern w:val="0"/>
          <w:sz w:val="32"/>
          <w:szCs w:val="32"/>
          <w:highlight w:val="none"/>
          <w:lang w:val="en-US" w:eastAsia="zh-CN"/>
        </w:rPr>
        <w:t>区</w:t>
      </w:r>
      <w:r>
        <w:rPr>
          <w:rFonts w:hint="default" w:ascii="仿宋_GB2312" w:hAnsi="仿宋_GB2312" w:eastAsia="仿宋_GB2312" w:cs="仿宋_GB2312"/>
          <w:color w:val="000000"/>
          <w:kern w:val="0"/>
          <w:sz w:val="32"/>
          <w:szCs w:val="32"/>
          <w:highlight w:val="none"/>
          <w:lang w:val="en-US" w:eastAsia="zh-CN"/>
        </w:rPr>
        <w:t>生态环境局制定了《大兴区生态环境局部门预算管理制度》</w:t>
      </w:r>
      <w:r>
        <w:rPr>
          <w:rFonts w:hint="eastAsia" w:ascii="仿宋_GB2312" w:hAnsi="仿宋_GB2312" w:eastAsia="仿宋_GB2312" w:cs="仿宋_GB2312"/>
          <w:color w:val="000000"/>
          <w:kern w:val="0"/>
          <w:sz w:val="32"/>
          <w:szCs w:val="32"/>
          <w:highlight w:val="none"/>
          <w:lang w:val="en-US" w:eastAsia="zh-CN"/>
        </w:rPr>
        <w:t>、</w:t>
      </w:r>
      <w:r>
        <w:rPr>
          <w:rFonts w:hint="default" w:ascii="仿宋_GB2312" w:hAnsi="仿宋_GB2312" w:eastAsia="仿宋_GB2312" w:cs="仿宋_GB2312"/>
          <w:color w:val="000000"/>
          <w:kern w:val="0"/>
          <w:sz w:val="32"/>
          <w:szCs w:val="32"/>
          <w:highlight w:val="none"/>
          <w:lang w:val="en-US" w:eastAsia="zh-CN"/>
        </w:rPr>
        <w:t>《大兴区生态环境局项目管理办法》</w:t>
      </w:r>
      <w:r>
        <w:rPr>
          <w:rFonts w:hint="eastAsia" w:ascii="仿宋_GB2312" w:hAnsi="仿宋_GB2312" w:eastAsia="仿宋_GB2312" w:cs="仿宋_GB2312"/>
          <w:color w:val="000000"/>
          <w:kern w:val="0"/>
          <w:sz w:val="32"/>
          <w:szCs w:val="32"/>
          <w:highlight w:val="none"/>
          <w:lang w:val="en-US" w:eastAsia="zh-CN"/>
        </w:rPr>
        <w:t>、</w:t>
      </w:r>
      <w:r>
        <w:rPr>
          <w:rFonts w:hint="default" w:ascii="仿宋_GB2312" w:hAnsi="仿宋_GB2312" w:eastAsia="仿宋_GB2312" w:cs="仿宋_GB2312"/>
          <w:color w:val="000000"/>
          <w:kern w:val="0"/>
          <w:sz w:val="32"/>
          <w:szCs w:val="32"/>
          <w:highlight w:val="none"/>
          <w:lang w:val="en-US" w:eastAsia="zh-CN"/>
        </w:rPr>
        <w:t>《大兴区生态环境局政府采购管理实施办法》</w:t>
      </w:r>
      <w:r>
        <w:rPr>
          <w:rFonts w:hint="eastAsia" w:ascii="仿宋_GB2312" w:hAnsi="仿宋_GB2312" w:eastAsia="仿宋_GB2312" w:cs="仿宋_GB2312"/>
          <w:color w:val="000000"/>
          <w:kern w:val="0"/>
          <w:sz w:val="32"/>
          <w:szCs w:val="32"/>
          <w:highlight w:val="none"/>
          <w:lang w:val="en-US" w:eastAsia="zh-CN"/>
        </w:rPr>
        <w:t>、</w:t>
      </w:r>
      <w:r>
        <w:rPr>
          <w:rFonts w:hint="default" w:ascii="仿宋_GB2312" w:hAnsi="仿宋_GB2312" w:eastAsia="仿宋_GB2312" w:cs="仿宋_GB2312"/>
          <w:color w:val="000000"/>
          <w:kern w:val="0"/>
          <w:sz w:val="32"/>
          <w:szCs w:val="32"/>
          <w:highlight w:val="none"/>
          <w:lang w:val="en-US" w:eastAsia="zh-CN"/>
        </w:rPr>
        <w:t>《大兴区生态环境局合同管理办法》</w:t>
      </w:r>
      <w:r>
        <w:rPr>
          <w:rFonts w:hint="eastAsia" w:ascii="仿宋_GB2312" w:hAnsi="仿宋_GB2312" w:eastAsia="仿宋_GB2312" w:cs="仿宋_GB2312"/>
          <w:color w:val="000000"/>
          <w:kern w:val="0"/>
          <w:sz w:val="32"/>
          <w:szCs w:val="32"/>
          <w:highlight w:val="none"/>
          <w:lang w:val="en-US" w:eastAsia="zh-CN"/>
        </w:rPr>
        <w:t>、</w:t>
      </w:r>
      <w:r>
        <w:rPr>
          <w:rFonts w:hint="default" w:ascii="仿宋_GB2312" w:hAnsi="仿宋_GB2312" w:eastAsia="仿宋_GB2312" w:cs="仿宋_GB2312"/>
          <w:color w:val="000000"/>
          <w:kern w:val="0"/>
          <w:sz w:val="32"/>
          <w:szCs w:val="32"/>
          <w:highlight w:val="none"/>
          <w:lang w:val="en-US" w:eastAsia="zh-CN"/>
        </w:rPr>
        <w:t>《大兴区生态环境局财政支出绩效评价管理办法》等制度，对项目申报、政府</w:t>
      </w:r>
      <w:r>
        <w:rPr>
          <w:rFonts w:hint="eastAsia" w:ascii="仿宋_GB2312" w:hAnsi="仿宋_GB2312" w:eastAsia="仿宋_GB2312" w:cs="仿宋_GB2312"/>
          <w:color w:val="000000"/>
          <w:kern w:val="0"/>
          <w:sz w:val="32"/>
          <w:szCs w:val="32"/>
          <w:highlight w:val="none"/>
          <w:lang w:val="en-US" w:eastAsia="zh-CN"/>
        </w:rPr>
        <w:t>采购、</w:t>
      </w:r>
      <w:r>
        <w:rPr>
          <w:rFonts w:hint="default" w:ascii="仿宋_GB2312" w:hAnsi="仿宋_GB2312" w:eastAsia="仿宋_GB2312" w:cs="仿宋_GB2312"/>
          <w:color w:val="000000"/>
          <w:kern w:val="0"/>
          <w:sz w:val="32"/>
          <w:szCs w:val="32"/>
          <w:highlight w:val="none"/>
          <w:lang w:val="en-US" w:eastAsia="zh-CN"/>
        </w:rPr>
        <w:t>项目合同签订内容及合同签订程序、项目验收等内容进行了规定</w:t>
      </w:r>
      <w:r>
        <w:rPr>
          <w:rFonts w:hint="eastAsia" w:ascii="仿宋_GB2312" w:hAnsi="仿宋_GB2312" w:eastAsia="仿宋_GB2312" w:cs="仿宋_GB2312"/>
          <w:color w:val="000000"/>
          <w:kern w:val="0"/>
          <w:sz w:val="32"/>
          <w:szCs w:val="32"/>
          <w:highlight w:val="none"/>
          <w:lang w:val="en-US" w:eastAsia="zh-CN"/>
        </w:rPr>
        <w:t>，</w:t>
      </w:r>
      <w:r>
        <w:rPr>
          <w:rFonts w:hint="default" w:ascii="仿宋_GB2312" w:hAnsi="仿宋_GB2312" w:eastAsia="仿宋_GB2312" w:cs="仿宋_GB2312"/>
          <w:color w:val="000000"/>
          <w:kern w:val="0"/>
          <w:sz w:val="32"/>
          <w:szCs w:val="32"/>
          <w:highlight w:val="none"/>
          <w:lang w:val="en-US" w:eastAsia="zh-CN"/>
        </w:rPr>
        <w:t>管理制度为项目执行提供了制度保障和依据。</w:t>
      </w:r>
    </w:p>
    <w:p w14:paraId="5340D163">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default" w:ascii="仿宋_GB2312" w:hAnsi="仿宋_GB2312" w:eastAsia="仿宋_GB2312" w:cs="仿宋_GB2312"/>
          <w:color w:val="000000"/>
          <w:kern w:val="0"/>
          <w:sz w:val="32"/>
          <w:szCs w:val="32"/>
          <w:highlight w:val="none"/>
          <w:lang w:val="en-US" w:eastAsia="zh-CN"/>
        </w:rPr>
      </w:pPr>
      <w:r>
        <w:rPr>
          <w:rFonts w:hint="default" w:ascii="仿宋_GB2312" w:hAnsi="仿宋_GB2312" w:eastAsia="仿宋_GB2312" w:cs="仿宋_GB2312"/>
          <w:color w:val="000000"/>
          <w:kern w:val="0"/>
          <w:sz w:val="32"/>
          <w:szCs w:val="32"/>
          <w:highlight w:val="none"/>
          <w:lang w:val="en-US" w:eastAsia="zh-CN"/>
        </w:rPr>
        <w:t>（2）制度执行有效性</w:t>
      </w:r>
    </w:p>
    <w:p w14:paraId="35D48ADE">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default" w:ascii="仿宋_GB2312" w:hAnsi="仿宋_GB2312" w:eastAsia="仿宋_GB2312" w:cs="仿宋_GB2312"/>
          <w:color w:val="000000"/>
          <w:kern w:val="0"/>
          <w:sz w:val="32"/>
          <w:szCs w:val="32"/>
          <w:highlight w:val="none"/>
          <w:lang w:val="en-US" w:eastAsia="zh-CN"/>
        </w:rPr>
      </w:pPr>
      <w:r>
        <w:rPr>
          <w:rFonts w:hint="default" w:ascii="仿宋_GB2312" w:hAnsi="仿宋_GB2312" w:eastAsia="仿宋_GB2312" w:cs="仿宋_GB2312"/>
          <w:color w:val="000000"/>
          <w:kern w:val="0"/>
          <w:sz w:val="32"/>
          <w:szCs w:val="32"/>
          <w:highlight w:val="none"/>
          <w:lang w:val="en-US" w:eastAsia="zh-CN"/>
        </w:rPr>
        <w:t>该项目按照《大兴区生态环境局部门预算管理制度》编制、申报预算，按照《大兴区生态环境局政府采购管理实施办法》进行政府采购管理，招投标完成后，按照采购结果并在履行合同审批管理程序后，与项目承接单位签订服务合同。按照《大兴区生态环境局合同管理办法》进行合同管理，按照《大兴区生态环境局支出管理办法》</w:t>
      </w:r>
      <w:r>
        <w:rPr>
          <w:rFonts w:hint="eastAsia" w:ascii="仿宋_GB2312" w:hAnsi="仿宋_GB2312" w:eastAsia="仿宋_GB2312" w:cs="仿宋_GB2312"/>
          <w:color w:val="000000"/>
          <w:kern w:val="0"/>
          <w:sz w:val="32"/>
          <w:szCs w:val="32"/>
          <w:highlight w:val="none"/>
          <w:lang w:val="en-US" w:eastAsia="zh-CN"/>
        </w:rPr>
        <w:t>等相关制度</w:t>
      </w:r>
      <w:r>
        <w:rPr>
          <w:rFonts w:hint="default" w:ascii="仿宋_GB2312" w:hAnsi="仿宋_GB2312" w:eastAsia="仿宋_GB2312" w:cs="仿宋_GB2312"/>
          <w:color w:val="000000"/>
          <w:kern w:val="0"/>
          <w:sz w:val="32"/>
          <w:szCs w:val="32"/>
          <w:highlight w:val="none"/>
          <w:lang w:val="en-US" w:eastAsia="zh-CN"/>
        </w:rPr>
        <w:t>及合同约定进行资金支付。</w:t>
      </w:r>
    </w:p>
    <w:p w14:paraId="08051164">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default" w:ascii="仿宋_GB2312" w:hAnsi="仿宋_GB2312" w:eastAsia="仿宋_GB2312" w:cs="仿宋_GB2312"/>
          <w:color w:val="000000"/>
          <w:kern w:val="0"/>
          <w:sz w:val="32"/>
          <w:szCs w:val="32"/>
          <w:highlight w:val="none"/>
          <w:lang w:val="en-US" w:eastAsia="zh-CN"/>
        </w:rPr>
      </w:pPr>
      <w:r>
        <w:rPr>
          <w:rFonts w:hint="default" w:ascii="仿宋_GB2312" w:hAnsi="仿宋_GB2312" w:eastAsia="仿宋_GB2312" w:cs="仿宋_GB2312"/>
          <w:color w:val="000000"/>
          <w:kern w:val="0"/>
          <w:sz w:val="32"/>
          <w:szCs w:val="32"/>
          <w:highlight w:val="none"/>
          <w:lang w:val="en-US" w:eastAsia="zh-CN"/>
        </w:rPr>
        <w:t>项目过程管控及验收方面：前期调研充分，在项目实施过程中，北京市大兴区污染源防治事务中心与项目承接单位建立沟通机制，相关工作人员不定期与承接单位对接</w:t>
      </w:r>
      <w:r>
        <w:rPr>
          <w:rFonts w:hint="eastAsia" w:ascii="仿宋_GB2312" w:hAnsi="仿宋_GB2312" w:eastAsia="仿宋_GB2312" w:cs="仿宋_GB2312"/>
          <w:color w:val="000000"/>
          <w:kern w:val="0"/>
          <w:sz w:val="32"/>
          <w:szCs w:val="32"/>
          <w:highlight w:val="none"/>
          <w:lang w:val="en-US" w:eastAsia="zh-CN"/>
        </w:rPr>
        <w:t>，</w:t>
      </w:r>
      <w:r>
        <w:rPr>
          <w:rFonts w:hint="default" w:ascii="仿宋_GB2312" w:hAnsi="仿宋_GB2312" w:eastAsia="仿宋_GB2312" w:cs="仿宋_GB2312"/>
          <w:color w:val="000000"/>
          <w:kern w:val="0"/>
          <w:sz w:val="32"/>
          <w:szCs w:val="32"/>
          <w:highlight w:val="none"/>
          <w:lang w:val="en-US" w:eastAsia="zh-CN"/>
        </w:rPr>
        <w:t>随时调整修改清单，现场实地调研，扎实开展项目</w:t>
      </w:r>
      <w:r>
        <w:rPr>
          <w:rFonts w:hint="eastAsia" w:ascii="仿宋_GB2312" w:hAnsi="仿宋_GB2312" w:eastAsia="仿宋_GB2312" w:cs="仿宋_GB2312"/>
          <w:color w:val="000000"/>
          <w:kern w:val="0"/>
          <w:sz w:val="32"/>
          <w:szCs w:val="32"/>
          <w:highlight w:val="none"/>
          <w:lang w:val="en-US" w:eastAsia="zh-CN"/>
        </w:rPr>
        <w:t>。</w:t>
      </w:r>
      <w:r>
        <w:rPr>
          <w:rFonts w:hint="default" w:ascii="仿宋_GB2312" w:hAnsi="仿宋_GB2312" w:eastAsia="仿宋_GB2312" w:cs="仿宋_GB2312"/>
          <w:color w:val="000000"/>
          <w:kern w:val="0"/>
          <w:sz w:val="32"/>
          <w:szCs w:val="32"/>
          <w:highlight w:val="none"/>
          <w:lang w:val="en-US" w:eastAsia="zh-CN"/>
        </w:rPr>
        <w:t>项目成果形成后，通过采取结项验收的方式</w:t>
      </w:r>
      <w:r>
        <w:rPr>
          <w:rFonts w:hint="eastAsia" w:ascii="仿宋_GB2312" w:hAnsi="仿宋_GB2312" w:eastAsia="仿宋_GB2312" w:cs="仿宋_GB2312"/>
          <w:color w:val="000000"/>
          <w:kern w:val="0"/>
          <w:sz w:val="32"/>
          <w:szCs w:val="32"/>
          <w:highlight w:val="none"/>
          <w:lang w:val="en-US" w:eastAsia="zh-CN"/>
        </w:rPr>
        <w:t>，组织专家对项目进行验收</w:t>
      </w:r>
      <w:r>
        <w:rPr>
          <w:rFonts w:hint="default" w:ascii="仿宋_GB2312" w:hAnsi="仿宋_GB2312" w:eastAsia="仿宋_GB2312" w:cs="仿宋_GB2312"/>
          <w:color w:val="000000"/>
          <w:kern w:val="0"/>
          <w:sz w:val="32"/>
          <w:szCs w:val="32"/>
          <w:highlight w:val="none"/>
          <w:lang w:val="en-US" w:eastAsia="zh-CN"/>
        </w:rPr>
        <w:t>。</w:t>
      </w:r>
    </w:p>
    <w:p w14:paraId="3E2D802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仿宋_GB2312" w:eastAsia="楷体_GB2312" w:cs="仿宋_GB2312"/>
          <w:color w:val="000000"/>
          <w:kern w:val="0"/>
          <w:sz w:val="32"/>
          <w:szCs w:val="32"/>
        </w:rPr>
      </w:pPr>
      <w:r>
        <w:rPr>
          <w:rFonts w:hint="eastAsia" w:ascii="楷体_GB2312" w:hAnsi="仿宋_GB2312" w:eastAsia="楷体_GB2312" w:cs="仿宋_GB2312"/>
          <w:color w:val="000000"/>
          <w:kern w:val="0"/>
          <w:sz w:val="32"/>
          <w:szCs w:val="32"/>
        </w:rPr>
        <w:t>（三）项目产出情况</w:t>
      </w:r>
    </w:p>
    <w:p w14:paraId="4AF1EA50">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default"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lang w:val="en-US" w:eastAsia="zh-CN"/>
        </w:rPr>
        <w:t>项目实际按照预算目标及合同约定完成相关工作，实现了预期的产出目标。</w:t>
      </w:r>
    </w:p>
    <w:p w14:paraId="3D8C2E7C">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lang w:val="en-US" w:eastAsia="zh-CN"/>
        </w:rPr>
        <w:t>1.产出数量：开展119家重点行业企业现场调查及核验；建立1份大兴区重点行业应急减排清单。</w:t>
      </w:r>
    </w:p>
    <w:p w14:paraId="57388BE5">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default"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lang w:val="en-US" w:eastAsia="zh-CN"/>
        </w:rPr>
        <w:t>2.产出质量：重点行业绩效评级及应急减排清单符合国家及北京市重点行业应急减排相关工作要求；召开结题验收会通过专家评审。</w:t>
      </w:r>
    </w:p>
    <w:p w14:paraId="4ECC0A4C">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default"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lang w:val="en-US" w:eastAsia="zh-CN"/>
        </w:rPr>
        <w:t>3.产出时效：12个月内按计划完成各项工作。</w:t>
      </w:r>
    </w:p>
    <w:p w14:paraId="0ECA4287">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default"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lang w:val="en-US" w:eastAsia="zh-CN"/>
        </w:rPr>
        <w:t>4.产出成本：严格按照要求控制成本，项目首款预算59.00万元，项目总成本118.00万元。</w:t>
      </w:r>
    </w:p>
    <w:p w14:paraId="3FFC1DB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仿宋_GB2312" w:eastAsia="楷体_GB2312" w:cs="仿宋_GB2312"/>
          <w:color w:val="000000"/>
          <w:kern w:val="0"/>
          <w:sz w:val="32"/>
          <w:szCs w:val="32"/>
        </w:rPr>
      </w:pPr>
      <w:r>
        <w:rPr>
          <w:rFonts w:hint="eastAsia" w:ascii="楷体_GB2312" w:hAnsi="仿宋_GB2312" w:eastAsia="楷体_GB2312" w:cs="仿宋_GB2312"/>
          <w:color w:val="000000"/>
          <w:kern w:val="0"/>
          <w:sz w:val="32"/>
          <w:szCs w:val="32"/>
        </w:rPr>
        <w:t>（四）项目效益情况</w:t>
      </w:r>
    </w:p>
    <w:p w14:paraId="1F788FAA">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lang w:val="en-US" w:eastAsia="zh-CN"/>
        </w:rPr>
        <w:t>1.社会效益：空气重污染应急管理决策能力有效提高。通过项目的实施，实现了空气重污染应急期间企业差异化减排，杜绝“一刀切”情况出现，落实“精准治污、科学治污、依法治污”原则。通过项目的实施，推进重点行业绩效分级，完善重点行业绩效分级管理体系；强化应急减排措施清单化管理，精准施策、精细减排，切实发挥减排效应的同时，推动行业治理水平整体升级。</w:t>
      </w:r>
    </w:p>
    <w:p w14:paraId="5365AE8E">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lang w:val="en-US" w:eastAsia="zh-CN"/>
        </w:rPr>
        <w:t>2.生态效益：有效促进大兴区环境空气质量改善。项目围绕“精准治污、科学治污、依法治污”的原则来开展工作，持续开展重点行业绩效评级，夯实减排清单，发挥应急减排实效。大兴区2024年前三季度PM2.5浓度为32.2微克/立方米，同比2023年下降5.9%，优良天数比率74.5%，较去年同期提升7.6个百分点。</w:t>
      </w:r>
    </w:p>
    <w:p w14:paraId="744057B0">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lang w:val="en-US" w:eastAsia="zh-CN"/>
        </w:rPr>
        <w:t>3.服务对象满意度：决策部门满意度达100%。项目的服务对象为决策部门，本项目实施完成后，针对项目的服务对象开展了满意度调查。通过口头询问的方式，共访问了5人。受访人员均对项目的开展情况以及项目取得的成果表示满意，满意度达到100%。</w:t>
      </w:r>
    </w:p>
    <w:p w14:paraId="2CD82C79">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黑体" w:hAnsi="黑体" w:eastAsia="黑体" w:cs="黑体"/>
          <w:b w:val="0"/>
          <w:bCs/>
          <w:color w:val="000000"/>
          <w:kern w:val="0"/>
          <w:sz w:val="32"/>
          <w:szCs w:val="32"/>
          <w:highlight w:val="none"/>
        </w:rPr>
      </w:pPr>
      <w:r>
        <w:rPr>
          <w:rFonts w:hint="eastAsia" w:ascii="黑体" w:hAnsi="黑体" w:eastAsia="黑体" w:cs="黑体"/>
          <w:b w:val="0"/>
          <w:bCs/>
          <w:color w:val="000000"/>
          <w:kern w:val="0"/>
          <w:sz w:val="32"/>
          <w:szCs w:val="32"/>
          <w:highlight w:val="none"/>
        </w:rPr>
        <w:t>五、主要经验及做法、存在的问题及原因分析</w:t>
      </w:r>
    </w:p>
    <w:p w14:paraId="1FA92A4F">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lang w:val="en-US" w:eastAsia="zh-CN"/>
        </w:rPr>
        <w:t>主要经验及做法：在本项目实施前，可能会存在预警天气“一刀切”（即空气重污染应急期间可能所有企业都停产）的情况。本项目的实施，更新了明确、细致的应急减排清单，实现了空气重污染应急期间企业差异化减排，落实“精准治污、科学治污、依法治污”的原则，推进重点行业绩效分级，完善重点行业绩效分级管理体系，强化应急减排措施清单化管理，精准施策、精细减排，切实发挥减排效应的同时，推动行业治理水平整体升级，从而为打赢蓝天保卫战、建设美丽中国提供有力支撑。</w:t>
      </w:r>
    </w:p>
    <w:p w14:paraId="30296819">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default"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lang w:val="en-US" w:eastAsia="zh-CN"/>
        </w:rPr>
        <w:t>该项目存在的问题：缺乏长期规划与整体统筹。该项目为延续性项目，但尚未结合项目情况制定明确的长期规划及分阶段目标，缺少对项目预期成果的阶段性分解。</w:t>
      </w:r>
    </w:p>
    <w:p w14:paraId="3091E9A5">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黑体" w:hAnsi="黑体" w:eastAsia="黑体" w:cs="黑体"/>
          <w:b w:val="0"/>
          <w:bCs/>
          <w:color w:val="000000"/>
          <w:kern w:val="0"/>
          <w:sz w:val="32"/>
          <w:szCs w:val="32"/>
          <w:highlight w:val="none"/>
        </w:rPr>
      </w:pPr>
      <w:r>
        <w:rPr>
          <w:rFonts w:hint="eastAsia" w:ascii="黑体" w:hAnsi="黑体" w:eastAsia="黑体" w:cs="黑体"/>
          <w:b w:val="0"/>
          <w:bCs/>
          <w:color w:val="000000"/>
          <w:kern w:val="0"/>
          <w:sz w:val="32"/>
          <w:szCs w:val="32"/>
          <w:highlight w:val="none"/>
        </w:rPr>
        <w:t>六、有关建议</w:t>
      </w:r>
    </w:p>
    <w:p w14:paraId="346800B0">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lang w:val="en-US" w:eastAsia="zh-CN"/>
        </w:rPr>
        <w:t>强化顶层设计，制定项目长期规划。统筹考虑项目发展方向和整体布局，编制总体规划，根据总体规划明确各阶段的任务目标、实施步骤和预期成果，确保项目持续推进、有序发展。</w:t>
      </w:r>
    </w:p>
    <w:p w14:paraId="420A6062">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黑体" w:hAnsi="黑体" w:eastAsia="黑体" w:cs="黑体"/>
          <w:b w:val="0"/>
          <w:bCs/>
          <w:color w:val="000000"/>
          <w:kern w:val="0"/>
          <w:sz w:val="32"/>
          <w:szCs w:val="32"/>
          <w:highlight w:val="none"/>
        </w:rPr>
      </w:pPr>
      <w:r>
        <w:rPr>
          <w:rFonts w:hint="eastAsia" w:ascii="黑体" w:hAnsi="黑体" w:eastAsia="黑体" w:cs="黑体"/>
          <w:b w:val="0"/>
          <w:bCs/>
          <w:color w:val="000000"/>
          <w:kern w:val="0"/>
          <w:sz w:val="32"/>
          <w:szCs w:val="32"/>
          <w:highlight w:val="none"/>
        </w:rPr>
        <w:t>七、其他需要说明的问题</w:t>
      </w:r>
    </w:p>
    <w:p w14:paraId="6BF0B5E4">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lang w:val="en-US" w:eastAsia="zh-CN"/>
        </w:rPr>
        <w:t>无</w:t>
      </w:r>
    </w:p>
    <w:p w14:paraId="620E0D92">
      <w:pPr>
        <w:rPr>
          <w:highlight w:val="none"/>
        </w:rPr>
      </w:pPr>
    </w:p>
    <w:p w14:paraId="33F0A8FC">
      <w:pPr>
        <w:rPr>
          <w:highlight w:val="none"/>
        </w:rPr>
      </w:pPr>
    </w:p>
    <w:p w14:paraId="25DE1582">
      <w:pPr>
        <w:rPr>
          <w:highlight w:val="none"/>
        </w:rPr>
      </w:pPr>
    </w:p>
    <w:p w14:paraId="3943596F">
      <w:pPr>
        <w:jc w:val="both"/>
        <w:rPr>
          <w:rFonts w:hint="eastAsia" w:ascii="黑体" w:hAnsi="黑体" w:eastAsia="黑体"/>
          <w:sz w:val="30"/>
          <w:szCs w:val="30"/>
          <w:highlight w:val="none"/>
          <w:lang w:val="en-US" w:eastAsia="zh-CN"/>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F3A813">
    <w:pPr>
      <w:pStyle w:val="5"/>
      <w:jc w:val="right"/>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16</w:t>
    </w:r>
    <w:r>
      <w:rPr>
        <w:rFonts w:ascii="宋体" w:hAnsi="宋体"/>
        <w:sz w:val="28"/>
        <w:szCs w:val="28"/>
      </w:rPr>
      <w:fldChar w:fldCharType="end"/>
    </w:r>
  </w:p>
  <w:p w14:paraId="4657F931">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I1NGQ4MDY4NjMxYWVlMzc3ODM2NDE0MmU1ODUxYzYifQ=="/>
  </w:docVars>
  <w:rsids>
    <w:rsidRoot w:val="00000000"/>
    <w:rsid w:val="01B91D0C"/>
    <w:rsid w:val="038B32A6"/>
    <w:rsid w:val="03DA42D3"/>
    <w:rsid w:val="04EE7F1F"/>
    <w:rsid w:val="07BE007D"/>
    <w:rsid w:val="08D950F1"/>
    <w:rsid w:val="093305F6"/>
    <w:rsid w:val="0A285C68"/>
    <w:rsid w:val="0A512204"/>
    <w:rsid w:val="0A954F73"/>
    <w:rsid w:val="0AA8696B"/>
    <w:rsid w:val="0C1E733C"/>
    <w:rsid w:val="0CF9525A"/>
    <w:rsid w:val="0FFE370C"/>
    <w:rsid w:val="104D6E1D"/>
    <w:rsid w:val="108138D5"/>
    <w:rsid w:val="12CE7C70"/>
    <w:rsid w:val="136917E4"/>
    <w:rsid w:val="13E13A2C"/>
    <w:rsid w:val="16361726"/>
    <w:rsid w:val="17FFF9DD"/>
    <w:rsid w:val="18E37943"/>
    <w:rsid w:val="1C4F2BF7"/>
    <w:rsid w:val="1E51534F"/>
    <w:rsid w:val="1E5F416F"/>
    <w:rsid w:val="1E94348E"/>
    <w:rsid w:val="1F107A68"/>
    <w:rsid w:val="23675615"/>
    <w:rsid w:val="23971A56"/>
    <w:rsid w:val="26E96EB2"/>
    <w:rsid w:val="27795C59"/>
    <w:rsid w:val="28B5798E"/>
    <w:rsid w:val="291116B2"/>
    <w:rsid w:val="2AF43C32"/>
    <w:rsid w:val="2C4C1D43"/>
    <w:rsid w:val="2D743669"/>
    <w:rsid w:val="2D856DC3"/>
    <w:rsid w:val="2E754EC6"/>
    <w:rsid w:val="2EDA4EED"/>
    <w:rsid w:val="2EEC3AAA"/>
    <w:rsid w:val="2FCD4A51"/>
    <w:rsid w:val="31232B7B"/>
    <w:rsid w:val="317E3A6E"/>
    <w:rsid w:val="359202CF"/>
    <w:rsid w:val="3679323D"/>
    <w:rsid w:val="36E23C1F"/>
    <w:rsid w:val="37425D25"/>
    <w:rsid w:val="38635F53"/>
    <w:rsid w:val="38A61B36"/>
    <w:rsid w:val="39FA6443"/>
    <w:rsid w:val="3A8305CD"/>
    <w:rsid w:val="3B141786"/>
    <w:rsid w:val="3C112178"/>
    <w:rsid w:val="3CA21CCC"/>
    <w:rsid w:val="3D56453F"/>
    <w:rsid w:val="3D87344A"/>
    <w:rsid w:val="3E210442"/>
    <w:rsid w:val="40972C3D"/>
    <w:rsid w:val="438A7C97"/>
    <w:rsid w:val="443469F5"/>
    <w:rsid w:val="447D117C"/>
    <w:rsid w:val="478F28C0"/>
    <w:rsid w:val="49C03205"/>
    <w:rsid w:val="4AA85A47"/>
    <w:rsid w:val="4D6C7200"/>
    <w:rsid w:val="4DC40DEA"/>
    <w:rsid w:val="4F4B60ED"/>
    <w:rsid w:val="4F55619D"/>
    <w:rsid w:val="512E4EF8"/>
    <w:rsid w:val="514065A0"/>
    <w:rsid w:val="5164660D"/>
    <w:rsid w:val="522B1438"/>
    <w:rsid w:val="56BF4844"/>
    <w:rsid w:val="57A55D95"/>
    <w:rsid w:val="58A61418"/>
    <w:rsid w:val="58E16CF4"/>
    <w:rsid w:val="594F3C5E"/>
    <w:rsid w:val="59CE67D9"/>
    <w:rsid w:val="5AF85E8A"/>
    <w:rsid w:val="5BA83942"/>
    <w:rsid w:val="5D415FB3"/>
    <w:rsid w:val="5D6D0B56"/>
    <w:rsid w:val="5E287173"/>
    <w:rsid w:val="5EAF519E"/>
    <w:rsid w:val="618476BA"/>
    <w:rsid w:val="62505DB8"/>
    <w:rsid w:val="65DD6A95"/>
    <w:rsid w:val="68E5013A"/>
    <w:rsid w:val="69692B1A"/>
    <w:rsid w:val="69872FA0"/>
    <w:rsid w:val="69A262CD"/>
    <w:rsid w:val="6AEBB5AA"/>
    <w:rsid w:val="6CB71DEE"/>
    <w:rsid w:val="6D1234C8"/>
    <w:rsid w:val="6E747590"/>
    <w:rsid w:val="6E9922D7"/>
    <w:rsid w:val="6F9E7295"/>
    <w:rsid w:val="6FBA5257"/>
    <w:rsid w:val="72535B88"/>
    <w:rsid w:val="732C533E"/>
    <w:rsid w:val="735859AD"/>
    <w:rsid w:val="742D6E39"/>
    <w:rsid w:val="74C90910"/>
    <w:rsid w:val="74F02341"/>
    <w:rsid w:val="759A22AD"/>
    <w:rsid w:val="75B90985"/>
    <w:rsid w:val="75D02172"/>
    <w:rsid w:val="75F32F93"/>
    <w:rsid w:val="763224E5"/>
    <w:rsid w:val="77381D7D"/>
    <w:rsid w:val="77DC1B8B"/>
    <w:rsid w:val="797154BA"/>
    <w:rsid w:val="7A7BE003"/>
    <w:rsid w:val="7AC5601E"/>
    <w:rsid w:val="7CA83501"/>
    <w:rsid w:val="7D4F11F6"/>
    <w:rsid w:val="7E024E93"/>
    <w:rsid w:val="7E064983"/>
    <w:rsid w:val="7F076C05"/>
    <w:rsid w:val="7FB25EE2"/>
    <w:rsid w:val="7FF7E053"/>
    <w:rsid w:val="7FF802FC"/>
    <w:rsid w:val="94F7D73A"/>
    <w:rsid w:val="BBD6156E"/>
    <w:rsid w:val="F77F3269"/>
    <w:rsid w:val="F77F74EF"/>
    <w:rsid w:val="FF71AF81"/>
    <w:rsid w:val="FFF4A1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2"/>
    <w:basedOn w:val="3"/>
    <w:unhideWhenUsed/>
    <w:qFormat/>
    <w:uiPriority w:val="99"/>
    <w:pPr>
      <w:ind w:firstLine="420" w:firstLineChars="200"/>
    </w:pPr>
  </w:style>
  <w:style w:type="paragraph" w:styleId="3">
    <w:name w:val="Body Text Indent"/>
    <w:basedOn w:val="1"/>
    <w:next w:val="4"/>
    <w:qFormat/>
    <w:uiPriority w:val="0"/>
    <w:pPr>
      <w:spacing w:after="120"/>
      <w:ind w:left="420" w:leftChars="200"/>
    </w:pPr>
  </w:style>
  <w:style w:type="paragraph" w:styleId="4">
    <w:name w:val="envelope return"/>
    <w:basedOn w:val="1"/>
    <w:qFormat/>
    <w:uiPriority w:val="0"/>
    <w:pPr>
      <w:snapToGrid w:val="0"/>
    </w:pPr>
    <w:rPr>
      <w:rFonts w:ascii="Arial" w:hAnsi="Arial"/>
    </w:rPr>
  </w:style>
  <w:style w:type="paragraph" w:styleId="5">
    <w:name w:val="footer"/>
    <w:basedOn w:val="1"/>
    <w:qFormat/>
    <w:uiPriority w:val="0"/>
    <w:pPr>
      <w:tabs>
        <w:tab w:val="center" w:pos="4153"/>
        <w:tab w:val="right" w:pos="8306"/>
      </w:tabs>
      <w:snapToGrid w:val="0"/>
      <w:jc w:val="left"/>
    </w:pPr>
    <w:rPr>
      <w:sz w:val="18"/>
      <w:szCs w:val="18"/>
    </w:rPr>
  </w:style>
  <w:style w:type="table" w:styleId="7">
    <w:name w:val="Table Grid"/>
    <w:basedOn w:val="6"/>
    <w:qFormat/>
    <w:uiPriority w:val="59"/>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9">
    <w:name w:val="my正文"/>
    <w:basedOn w:val="1"/>
    <w:qFormat/>
    <w:uiPriority w:val="0"/>
    <w:pPr>
      <w:wordWrap w:val="0"/>
      <w:spacing w:line="360" w:lineRule="auto"/>
      <w:ind w:firstLine="480" w:firstLineChars="200"/>
    </w:pPr>
    <w:rPr>
      <w:rFonts w:ascii="仿宋_GB2312"/>
      <w:sz w:val="24"/>
      <w:szCs w:val="3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4698</Words>
  <Characters>5026</Characters>
  <Lines>0</Lines>
  <Paragraphs>0</Paragraphs>
  <TotalTime>9</TotalTime>
  <ScaleCrop>false</ScaleCrop>
  <LinksUpToDate>false</LinksUpToDate>
  <CharactersWithSpaces>5037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2014-11-01T12:08:00Z</dcterms:created>
  <dc:creator>pc</dc:creator>
  <cp:lastModifiedBy>WPS_1620356725</cp:lastModifiedBy>
  <cp:lastPrinted>2023-02-10T03:44:00Z</cp:lastPrinted>
  <dcterms:modified xsi:type="dcterms:W3CDTF">2025-09-25T02:18:24Z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3FBCBFFE9D404447893CF10A509E1ED9_13</vt:lpwstr>
  </property>
  <property fmtid="{D5CDD505-2E9C-101B-9397-08002B2CF9AE}" pid="4" name="KSOTemplateDocerSaveRecord">
    <vt:lpwstr>eyJoZGlkIjoiZDk5YzY5Y2RlNGMyNGY0YWI1ZWJmNmRmYmRmYWJhYmYiLCJ1c2VySWQiOiIxMjA3NDgxMzgwIn0=</vt:lpwstr>
  </property>
</Properties>
</file>