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30572">
      <w:pPr>
        <w:jc w:val="both"/>
        <w:rPr>
          <w:rFonts w:hint="default" w:ascii="黑体" w:hAnsi="黑体" w:eastAsia="黑体"/>
          <w:sz w:val="30"/>
          <w:szCs w:val="30"/>
          <w:highlight w:val="none"/>
          <w:lang w:val="en-US" w:eastAsia="zh-CN"/>
        </w:rPr>
      </w:pPr>
      <w:r>
        <w:rPr>
          <w:rFonts w:hint="eastAsia" w:ascii="黑体" w:hAnsi="黑体" w:eastAsia="黑体"/>
          <w:sz w:val="30"/>
          <w:szCs w:val="30"/>
          <w:highlight w:val="none"/>
          <w:lang w:val="en-US" w:eastAsia="zh-CN"/>
        </w:rPr>
        <w:t>附件</w:t>
      </w:r>
      <w:bookmarkStart w:id="0" w:name="_GoBack"/>
      <w:bookmarkEnd w:id="0"/>
    </w:p>
    <w:tbl>
      <w:tblPr>
        <w:tblStyle w:val="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6"/>
        <w:gridCol w:w="4"/>
        <w:gridCol w:w="1100"/>
        <w:gridCol w:w="1294"/>
        <w:gridCol w:w="81"/>
        <w:gridCol w:w="1492"/>
        <w:gridCol w:w="635"/>
        <w:gridCol w:w="458"/>
        <w:gridCol w:w="2151"/>
        <w:gridCol w:w="1771"/>
        <w:gridCol w:w="28"/>
        <w:gridCol w:w="872"/>
        <w:gridCol w:w="929"/>
        <w:gridCol w:w="35"/>
        <w:gridCol w:w="721"/>
        <w:gridCol w:w="864"/>
        <w:gridCol w:w="643"/>
      </w:tblGrid>
      <w:tr w14:paraId="1E092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4174" w:type="dxa"/>
            <w:gridSpan w:val="17"/>
            <w:tcBorders>
              <w:top w:val="nil"/>
              <w:left w:val="nil"/>
              <w:bottom w:val="single" w:color="auto" w:sz="4" w:space="0"/>
              <w:right w:val="nil"/>
            </w:tcBorders>
            <w:shd w:val="clear" w:color="auto" w:fill="auto"/>
            <w:vAlign w:val="center"/>
          </w:tcPr>
          <w:p w14:paraId="1B78E97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8"/>
                <w:szCs w:val="28"/>
                <w:highlight w:val="none"/>
                <w:u w:val="none"/>
                <w:lang w:val="en-US" w:eastAsia="zh-CN" w:bidi="ar"/>
              </w:rPr>
              <w:br w:type="page"/>
            </w:r>
            <w:r>
              <w:rPr>
                <w:rFonts w:hint="eastAsia" w:ascii="宋体" w:hAnsi="宋体" w:eastAsia="宋体" w:cs="宋体"/>
                <w:b/>
                <w:bCs/>
                <w:i w:val="0"/>
                <w:iCs w:val="0"/>
                <w:color w:val="000000"/>
                <w:kern w:val="0"/>
                <w:sz w:val="28"/>
                <w:szCs w:val="28"/>
                <w:highlight w:val="none"/>
                <w:u w:val="none"/>
                <w:lang w:val="en-US" w:eastAsia="zh-CN" w:bidi="ar"/>
              </w:rPr>
              <w:t>2024年度部门整体绩效评价表</w:t>
            </w:r>
          </w:p>
        </w:tc>
      </w:tr>
      <w:tr w14:paraId="20D64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174" w:type="dxa"/>
            <w:gridSpan w:val="17"/>
            <w:tcBorders>
              <w:top w:val="single" w:color="auto" w:sz="4" w:space="0"/>
              <w:left w:val="single" w:color="auto" w:sz="4" w:space="0"/>
              <w:bottom w:val="single" w:color="auto" w:sz="4" w:space="0"/>
              <w:right w:val="single" w:color="auto" w:sz="4" w:space="0"/>
            </w:tcBorders>
            <w:shd w:val="clear" w:color="auto" w:fill="auto"/>
            <w:vAlign w:val="center"/>
          </w:tcPr>
          <w:p w14:paraId="2B8A84E8">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14:paraId="4C253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F3BA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7331110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FDA2D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1492" w:type="dxa"/>
            <w:tcBorders>
              <w:top w:val="single" w:color="auto" w:sz="4" w:space="0"/>
              <w:left w:val="single" w:color="auto" w:sz="4" w:space="0"/>
              <w:bottom w:val="single" w:color="auto" w:sz="4" w:space="0"/>
              <w:right w:val="single" w:color="auto" w:sz="4" w:space="0"/>
            </w:tcBorders>
            <w:shd w:val="clear" w:color="auto" w:fill="auto"/>
            <w:vAlign w:val="center"/>
          </w:tcPr>
          <w:p w14:paraId="1068730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24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558A5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7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D771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0676B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7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BB4F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09A838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26FB842C">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56CFA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6"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B482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D044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178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14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BC3014">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244"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356463">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14:paraId="7F89B5C3">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14:paraId="14919E62">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7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ADE8EC">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rPr>
              <w:t>18</w:t>
            </w:r>
            <w:r>
              <w:rPr>
                <w:rFonts w:hint="eastAsia" w:ascii="宋体" w:hAnsi="宋体" w:eastAsia="宋体" w:cs="宋体"/>
                <w:i w:val="0"/>
                <w:iCs w:val="0"/>
                <w:color w:val="000000"/>
                <w:sz w:val="21"/>
                <w:szCs w:val="21"/>
                <w:highlight w:val="none"/>
                <w:u w:val="none"/>
                <w:lang w:val="en-US" w:eastAsia="zh-CN"/>
              </w:rPr>
              <w:t>,</w:t>
            </w:r>
            <w:r>
              <w:rPr>
                <w:rFonts w:hint="eastAsia" w:ascii="宋体" w:hAnsi="宋体" w:eastAsia="宋体" w:cs="宋体"/>
                <w:i w:val="0"/>
                <w:iCs w:val="0"/>
                <w:color w:val="000000"/>
                <w:sz w:val="21"/>
                <w:szCs w:val="21"/>
                <w:highlight w:val="none"/>
                <w:u w:val="none"/>
              </w:rPr>
              <w:t>58</w:t>
            </w:r>
            <w:r>
              <w:rPr>
                <w:rFonts w:hint="eastAsia" w:ascii="宋体" w:hAnsi="宋体" w:eastAsia="宋体" w:cs="宋体"/>
                <w:i w:val="0"/>
                <w:iCs w:val="0"/>
                <w:color w:val="000000"/>
                <w:sz w:val="21"/>
                <w:szCs w:val="21"/>
                <w:highlight w:val="none"/>
                <w:u w:val="none"/>
                <w:lang w:val="en-US" w:eastAsia="zh-CN"/>
              </w:rPr>
              <w:t>6.</w:t>
            </w:r>
            <w:r>
              <w:rPr>
                <w:rFonts w:hint="eastAsia" w:ascii="宋体" w:hAnsi="宋体" w:eastAsia="宋体" w:cs="宋体"/>
                <w:i w:val="0"/>
                <w:iCs w:val="0"/>
                <w:color w:val="000000"/>
                <w:sz w:val="21"/>
                <w:szCs w:val="21"/>
                <w:highlight w:val="none"/>
                <w:u w:val="none"/>
              </w:rPr>
              <w:t>43</w:t>
            </w:r>
          </w:p>
        </w:tc>
        <w:tc>
          <w:tcPr>
            <w:tcW w:w="1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674145">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rPr>
              <w:t>18</w:t>
            </w:r>
            <w:r>
              <w:rPr>
                <w:rFonts w:hint="eastAsia" w:ascii="宋体" w:hAnsi="宋体" w:eastAsia="宋体" w:cs="宋体"/>
                <w:i w:val="0"/>
                <w:iCs w:val="0"/>
                <w:color w:val="000000"/>
                <w:sz w:val="21"/>
                <w:szCs w:val="21"/>
                <w:highlight w:val="none"/>
                <w:u w:val="none"/>
                <w:lang w:val="en-US" w:eastAsia="zh-CN"/>
              </w:rPr>
              <w:t>,</w:t>
            </w:r>
            <w:r>
              <w:rPr>
                <w:rFonts w:hint="eastAsia" w:ascii="宋体" w:hAnsi="宋体" w:eastAsia="宋体" w:cs="宋体"/>
                <w:i w:val="0"/>
                <w:iCs w:val="0"/>
                <w:color w:val="000000"/>
                <w:sz w:val="21"/>
                <w:szCs w:val="21"/>
                <w:highlight w:val="none"/>
                <w:u w:val="none"/>
              </w:rPr>
              <w:t>58</w:t>
            </w:r>
            <w:r>
              <w:rPr>
                <w:rFonts w:hint="eastAsia" w:ascii="宋体" w:hAnsi="宋体" w:eastAsia="宋体" w:cs="宋体"/>
                <w:i w:val="0"/>
                <w:iCs w:val="0"/>
                <w:color w:val="000000"/>
                <w:sz w:val="21"/>
                <w:szCs w:val="21"/>
                <w:highlight w:val="none"/>
                <w:u w:val="none"/>
                <w:lang w:val="en-US" w:eastAsia="zh-CN"/>
              </w:rPr>
              <w:t>6.</w:t>
            </w:r>
            <w:r>
              <w:rPr>
                <w:rFonts w:hint="eastAsia" w:ascii="宋体" w:hAnsi="宋体" w:eastAsia="宋体" w:cs="宋体"/>
                <w:i w:val="0"/>
                <w:iCs w:val="0"/>
                <w:color w:val="000000"/>
                <w:sz w:val="21"/>
                <w:szCs w:val="21"/>
                <w:highlight w:val="none"/>
                <w:u w:val="none"/>
              </w:rPr>
              <w:t>43</w:t>
            </w:r>
          </w:p>
        </w:tc>
        <w:tc>
          <w:tcPr>
            <w:tcW w:w="75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67C9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93517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559D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20</w:t>
            </w:r>
          </w:p>
        </w:tc>
      </w:tr>
      <w:tr w14:paraId="0A267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2" w:hRule="atLeast"/>
        </w:trPr>
        <w:tc>
          <w:tcPr>
            <w:tcW w:w="1100"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563F2395">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E90A5B4">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ACF88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149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EA10A42">
            <w:pPr>
              <w:jc w:val="left"/>
              <w:rPr>
                <w:rFonts w:hint="eastAsia" w:ascii="宋体" w:hAnsi="宋体" w:eastAsia="宋体" w:cs="宋体"/>
                <w:i w:val="0"/>
                <w:iCs w:val="0"/>
                <w:color w:val="000000"/>
                <w:sz w:val="21"/>
                <w:szCs w:val="21"/>
                <w:highlight w:val="none"/>
                <w:u w:val="none"/>
              </w:rPr>
            </w:pPr>
          </w:p>
        </w:tc>
        <w:tc>
          <w:tcPr>
            <w:tcW w:w="3244" w:type="dxa"/>
            <w:gridSpan w:val="3"/>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0700D1F">
            <w:pPr>
              <w:jc w:val="left"/>
              <w:rPr>
                <w:rFonts w:hint="eastAsia" w:ascii="宋体" w:hAnsi="宋体" w:eastAsia="宋体" w:cs="宋体"/>
                <w:i w:val="0"/>
                <w:iCs w:val="0"/>
                <w:color w:val="000000"/>
                <w:sz w:val="21"/>
                <w:szCs w:val="21"/>
                <w:highlight w:val="none"/>
                <w:u w:val="none"/>
              </w:rPr>
            </w:pPr>
          </w:p>
        </w:tc>
        <w:tc>
          <w:tcPr>
            <w:tcW w:w="1799"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37ED3DAC">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6,337.54</w:t>
            </w:r>
          </w:p>
        </w:tc>
        <w:tc>
          <w:tcPr>
            <w:tcW w:w="1801"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34466D3">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6,337.54</w:t>
            </w:r>
          </w:p>
        </w:tc>
        <w:tc>
          <w:tcPr>
            <w:tcW w:w="756" w:type="dxa"/>
            <w:gridSpan w:val="2"/>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87A1295">
            <w:pPr>
              <w:jc w:val="center"/>
              <w:rPr>
                <w:rFonts w:hint="eastAsia" w:ascii="宋体" w:hAnsi="宋体" w:eastAsia="宋体" w:cs="宋体"/>
                <w:i w:val="0"/>
                <w:iCs w:val="0"/>
                <w:color w:val="000000"/>
                <w:sz w:val="21"/>
                <w:szCs w:val="21"/>
                <w:highlight w:val="none"/>
                <w:u w:val="none"/>
              </w:rPr>
            </w:pPr>
          </w:p>
        </w:tc>
        <w:tc>
          <w:tcPr>
            <w:tcW w:w="86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44AA7B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43"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14:paraId="4DE0931D">
            <w:pPr>
              <w:jc w:val="center"/>
              <w:rPr>
                <w:rFonts w:hint="eastAsia" w:ascii="宋体" w:hAnsi="宋体" w:eastAsia="宋体" w:cs="宋体"/>
                <w:i w:val="0"/>
                <w:iCs w:val="0"/>
                <w:color w:val="000000"/>
                <w:sz w:val="21"/>
                <w:szCs w:val="21"/>
                <w:highlight w:val="none"/>
                <w:u w:val="none"/>
              </w:rPr>
            </w:pPr>
          </w:p>
        </w:tc>
      </w:tr>
      <w:tr w14:paraId="295F8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868597E">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E6151">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7F5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7E730">
            <w:pPr>
              <w:jc w:val="left"/>
              <w:rPr>
                <w:rFonts w:hint="eastAsia" w:ascii="宋体" w:hAnsi="宋体" w:eastAsia="宋体" w:cs="宋体"/>
                <w:i w:val="0"/>
                <w:iCs w:val="0"/>
                <w:color w:val="000000"/>
                <w:sz w:val="21"/>
                <w:szCs w:val="21"/>
                <w:highlight w:val="none"/>
                <w:u w:val="none"/>
              </w:rPr>
            </w:pPr>
          </w:p>
        </w:tc>
        <w:tc>
          <w:tcPr>
            <w:tcW w:w="324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AF62D">
            <w:pPr>
              <w:jc w:val="left"/>
              <w:rPr>
                <w:rFonts w:hint="eastAsia" w:ascii="宋体" w:hAnsi="宋体" w:eastAsia="宋体" w:cs="宋体"/>
                <w:i w:val="0"/>
                <w:iCs w:val="0"/>
                <w:color w:val="000000"/>
                <w:sz w:val="21"/>
                <w:szCs w:val="21"/>
                <w:highlight w:val="none"/>
                <w:u w:val="none"/>
              </w:rPr>
            </w:pP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479D27">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12,248.89</w:t>
            </w:r>
          </w:p>
        </w:tc>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79D6A">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12,248.89</w:t>
            </w:r>
          </w:p>
        </w:tc>
        <w:tc>
          <w:tcPr>
            <w:tcW w:w="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F3C05">
            <w:pPr>
              <w:jc w:val="center"/>
              <w:rPr>
                <w:rFonts w:hint="eastAsia" w:ascii="宋体" w:hAnsi="宋体" w:eastAsia="宋体" w:cs="宋体"/>
                <w:i w:val="0"/>
                <w:iCs w:val="0"/>
                <w:color w:val="000000"/>
                <w:sz w:val="21"/>
                <w:szCs w:val="21"/>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038B6">
            <w:pPr>
              <w:jc w:val="center"/>
              <w:rPr>
                <w:rFonts w:hint="eastAsia" w:ascii="宋体" w:hAnsi="宋体" w:eastAsia="宋体" w:cs="宋体"/>
                <w:i w:val="0"/>
                <w:iCs w:val="0"/>
                <w:color w:val="000000"/>
                <w:sz w:val="21"/>
                <w:szCs w:val="21"/>
                <w:highlight w:val="none"/>
                <w:u w:val="none"/>
              </w:rPr>
            </w:pPr>
          </w:p>
        </w:tc>
        <w:tc>
          <w:tcPr>
            <w:tcW w:w="643"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526D97B">
            <w:pPr>
              <w:jc w:val="center"/>
              <w:rPr>
                <w:rFonts w:hint="eastAsia" w:ascii="宋体" w:hAnsi="宋体" w:eastAsia="宋体" w:cs="宋体"/>
                <w:i w:val="0"/>
                <w:iCs w:val="0"/>
                <w:color w:val="000000"/>
                <w:sz w:val="21"/>
                <w:szCs w:val="21"/>
                <w:highlight w:val="none"/>
                <w:u w:val="none"/>
              </w:rPr>
            </w:pPr>
          </w:p>
        </w:tc>
      </w:tr>
      <w:tr w14:paraId="167AC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F3ABE7B">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FB8BB">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ACCE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4D01B">
            <w:pPr>
              <w:jc w:val="left"/>
              <w:rPr>
                <w:rFonts w:hint="eastAsia" w:ascii="宋体" w:hAnsi="宋体" w:eastAsia="宋体" w:cs="宋体"/>
                <w:i w:val="0"/>
                <w:iCs w:val="0"/>
                <w:color w:val="000000"/>
                <w:sz w:val="21"/>
                <w:szCs w:val="21"/>
                <w:highlight w:val="none"/>
                <w:u w:val="none"/>
              </w:rPr>
            </w:pPr>
          </w:p>
        </w:tc>
        <w:tc>
          <w:tcPr>
            <w:tcW w:w="324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96FAB">
            <w:pPr>
              <w:jc w:val="left"/>
              <w:rPr>
                <w:rFonts w:hint="eastAsia" w:ascii="宋体" w:hAnsi="宋体" w:eastAsia="宋体" w:cs="宋体"/>
                <w:i w:val="0"/>
                <w:iCs w:val="0"/>
                <w:color w:val="000000"/>
                <w:sz w:val="21"/>
                <w:szCs w:val="21"/>
                <w:highlight w:val="none"/>
                <w:u w:val="none"/>
              </w:rPr>
            </w:pP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F6D82">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0.00</w:t>
            </w:r>
          </w:p>
        </w:tc>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B0F9A">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0.00</w:t>
            </w:r>
          </w:p>
        </w:tc>
        <w:tc>
          <w:tcPr>
            <w:tcW w:w="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C3506">
            <w:pPr>
              <w:jc w:val="center"/>
              <w:rPr>
                <w:rFonts w:hint="eastAsia" w:ascii="宋体" w:hAnsi="宋体" w:eastAsia="宋体" w:cs="宋体"/>
                <w:i w:val="0"/>
                <w:iCs w:val="0"/>
                <w:color w:val="000000"/>
                <w:sz w:val="21"/>
                <w:szCs w:val="21"/>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50E9E">
            <w:pPr>
              <w:jc w:val="center"/>
              <w:rPr>
                <w:rFonts w:hint="eastAsia" w:ascii="宋体" w:hAnsi="宋体" w:eastAsia="宋体" w:cs="宋体"/>
                <w:i w:val="0"/>
                <w:iCs w:val="0"/>
                <w:color w:val="000000"/>
                <w:sz w:val="21"/>
                <w:szCs w:val="21"/>
                <w:highlight w:val="none"/>
                <w:u w:val="none"/>
              </w:rPr>
            </w:pPr>
          </w:p>
        </w:tc>
        <w:tc>
          <w:tcPr>
            <w:tcW w:w="643"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BAA59D7">
            <w:pPr>
              <w:jc w:val="center"/>
              <w:rPr>
                <w:rFonts w:hint="eastAsia" w:ascii="宋体" w:hAnsi="宋体" w:eastAsia="宋体" w:cs="宋体"/>
                <w:i w:val="0"/>
                <w:iCs w:val="0"/>
                <w:color w:val="000000"/>
                <w:sz w:val="21"/>
                <w:szCs w:val="21"/>
                <w:highlight w:val="none"/>
                <w:u w:val="none"/>
              </w:rPr>
            </w:pPr>
          </w:p>
        </w:tc>
      </w:tr>
      <w:tr w14:paraId="3FD1F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991D9D">
            <w:pPr>
              <w:jc w:val="center"/>
              <w:rPr>
                <w:rFonts w:hint="eastAsia" w:ascii="宋体" w:hAnsi="宋体" w:eastAsia="宋体" w:cs="宋体"/>
                <w:i w:val="0"/>
                <w:iCs w:val="0"/>
                <w:color w:val="000000"/>
                <w:sz w:val="21"/>
                <w:szCs w:val="21"/>
                <w:highlight w:val="none"/>
                <w:u w:val="none"/>
              </w:rPr>
            </w:pPr>
          </w:p>
        </w:tc>
        <w:tc>
          <w:tcPr>
            <w:tcW w:w="10811" w:type="dxa"/>
            <w:gridSpan w:val="11"/>
            <w:tcBorders>
              <w:top w:val="single" w:color="000000" w:sz="4" w:space="0"/>
              <w:left w:val="single" w:color="000000" w:sz="4" w:space="0"/>
              <w:bottom w:val="single" w:color="000000" w:sz="4" w:space="0"/>
              <w:right w:val="nil"/>
            </w:tcBorders>
            <w:shd w:val="clear" w:color="auto" w:fill="auto"/>
            <w:vAlign w:val="center"/>
          </w:tcPr>
          <w:p w14:paraId="10C1BC1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09979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DEFCB">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F93D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14:paraId="28D14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14174"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1F780D21">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14:paraId="26C38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trPr>
        <w:tc>
          <w:tcPr>
            <w:tcW w:w="110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CD33D4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095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B6C3F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AA0EF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5D0E2A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CD3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AF77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D2F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514D3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4"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1F99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D7E16A8">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任务一</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48AB1">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认真贯彻决策部署</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F3467E">
            <w:pPr>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认真贯彻</w:t>
            </w:r>
            <w:r>
              <w:rPr>
                <w:rFonts w:hint="eastAsia" w:ascii="宋体" w:hAnsi="宋体" w:eastAsia="宋体" w:cs="宋体"/>
                <w:kern w:val="0"/>
                <w:sz w:val="21"/>
                <w:szCs w:val="21"/>
                <w:highlight w:val="none"/>
                <w:lang w:val="en-US" w:eastAsia="zh-CN"/>
              </w:rPr>
              <w:t>市</w:t>
            </w:r>
            <w:r>
              <w:rPr>
                <w:rFonts w:hint="eastAsia" w:ascii="宋体" w:hAnsi="宋体" w:eastAsia="宋体" w:cs="宋体"/>
                <w:kern w:val="0"/>
                <w:sz w:val="21"/>
                <w:szCs w:val="21"/>
                <w:highlight w:val="none"/>
                <w:lang w:eastAsia="zh-CN"/>
              </w:rPr>
              <w:t>委、市政府生态文明建设各项决策部署，持续巩固全区生态文明建设成果。</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F25254">
            <w:pPr>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2024年，大兴区生态环境局深入贯彻党的二十届三中全会、全国生态环境保护大会精神和习近平生态文明思想，全面落实区委区政府决策部署。以落实美丽北京行动为统领，全力推动“六个大兴”之“生态大兴”建设，筑牢首都南部重要生态安全屏障。聚焦“三提一创”工作总要求，高水平深入打好污染防治攻坚战，充分发挥生态环境保护对高质量发展的支撑保障、优化引领作用，较好完成各项年度任务。</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AE7D5">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CACD">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C278">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01178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8"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EA912A">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A7FEF08">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任务二</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5584F8">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开展碳达峰碳中和顶层设计</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F3EFC2">
            <w:pPr>
              <w:jc w:val="left"/>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编制减污降碳协同增效实施方案，推动减污降碳协同创新试点城市建设。</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BF2859">
            <w:pPr>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2024年，大兴区生态环境局创新“1+3+N”模式，出台《北京市大兴区减污降碳协同创新试点方案（2024-2026年）》，围绕氢能、机场、循环产业园三大板块，多方探索开展“碳评”纳入环评、绿色信用建设、与教育领域融合等实践，部署4个方面11项重点任务34条具体举措，推动试点建设。</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E6394">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E399">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93D5">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7677B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8"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9174AF">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B3A3A54">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任务三</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76C58">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巩固空气质量改善成效</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6E7031">
            <w:pPr>
              <w:jc w:val="left"/>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以巩固空气质量改善成效为目标,统筹推进PM2.5与臭氧协同治理、挥发性有机物和氮氧化物协同减排、城市扬尘综合整治。</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0C451CE">
            <w:pPr>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2024年，大兴区首次实现全年重污染天清零。空气质量优良天数282天。</w:t>
            </w:r>
            <w:r>
              <w:rPr>
                <w:rFonts w:hint="eastAsia" w:ascii="宋体" w:hAnsi="宋体" w:eastAsia="宋体" w:cs="宋体"/>
                <w:kern w:val="0"/>
                <w:sz w:val="21"/>
                <w:szCs w:val="21"/>
                <w:highlight w:val="none"/>
                <w:lang w:eastAsia="zh-CN"/>
              </w:rPr>
              <w:t>四项主要污染物浓度均达到国家环境空气质量二级标准，其中，PM</w:t>
            </w:r>
            <w:r>
              <w:rPr>
                <w:rFonts w:hint="eastAsia" w:ascii="宋体" w:hAnsi="宋体" w:eastAsia="宋体" w:cs="宋体"/>
                <w:kern w:val="0"/>
                <w:sz w:val="21"/>
                <w:szCs w:val="21"/>
                <w:highlight w:val="none"/>
                <w:vertAlign w:val="subscript"/>
                <w:lang w:eastAsia="zh-CN"/>
              </w:rPr>
              <w:t>2.5</w:t>
            </w:r>
            <w:r>
              <w:rPr>
                <w:rFonts w:hint="eastAsia" w:ascii="宋体" w:hAnsi="宋体" w:eastAsia="宋体" w:cs="宋体"/>
                <w:kern w:val="0"/>
                <w:sz w:val="21"/>
                <w:szCs w:val="21"/>
                <w:highlight w:val="none"/>
                <w:lang w:eastAsia="zh-CN"/>
              </w:rPr>
              <w:t>年均浓度为</w:t>
            </w:r>
            <w:r>
              <w:rPr>
                <w:rFonts w:hint="eastAsia" w:ascii="宋体" w:hAnsi="宋体" w:eastAsia="宋体" w:cs="宋体"/>
                <w:kern w:val="0"/>
                <w:sz w:val="21"/>
                <w:szCs w:val="21"/>
                <w:highlight w:val="none"/>
                <w:lang w:val="en-US" w:eastAsia="zh-CN"/>
              </w:rPr>
              <w:t>33</w:t>
            </w:r>
            <w:r>
              <w:rPr>
                <w:rFonts w:hint="eastAsia" w:ascii="宋体" w:hAnsi="宋体" w:eastAsia="宋体" w:cs="宋体"/>
                <w:kern w:val="0"/>
                <w:sz w:val="21"/>
                <w:szCs w:val="21"/>
                <w:highlight w:val="none"/>
                <w:lang w:eastAsia="zh-CN"/>
              </w:rPr>
              <w:t>微克/立方米，同比下降</w:t>
            </w:r>
            <w:r>
              <w:rPr>
                <w:rFonts w:hint="eastAsia" w:ascii="宋体" w:hAnsi="宋体" w:eastAsia="宋体" w:cs="宋体"/>
                <w:kern w:val="0"/>
                <w:sz w:val="21"/>
                <w:szCs w:val="21"/>
                <w:highlight w:val="none"/>
                <w:lang w:val="en-US" w:eastAsia="zh-CN"/>
              </w:rPr>
              <w:t>8</w:t>
            </w:r>
            <w:r>
              <w:rPr>
                <w:rFonts w:hint="eastAsia" w:ascii="宋体" w:hAnsi="宋体" w:eastAsia="宋体" w:cs="宋体"/>
                <w:kern w:val="0"/>
                <w:sz w:val="21"/>
                <w:szCs w:val="21"/>
                <w:highlight w:val="none"/>
                <w:lang w:eastAsia="zh-CN"/>
              </w:rPr>
              <w:t>.3%；PM</w:t>
            </w:r>
            <w:r>
              <w:rPr>
                <w:rFonts w:hint="eastAsia" w:ascii="宋体" w:hAnsi="宋体" w:eastAsia="宋体" w:cs="宋体"/>
                <w:kern w:val="0"/>
                <w:sz w:val="21"/>
                <w:szCs w:val="21"/>
                <w:highlight w:val="none"/>
                <w:vertAlign w:val="subscript"/>
                <w:lang w:eastAsia="zh-CN"/>
              </w:rPr>
              <w:t>10</w:t>
            </w:r>
            <w:r>
              <w:rPr>
                <w:rFonts w:hint="eastAsia" w:ascii="宋体" w:hAnsi="宋体" w:eastAsia="宋体" w:cs="宋体"/>
                <w:kern w:val="0"/>
                <w:sz w:val="21"/>
                <w:szCs w:val="21"/>
                <w:highlight w:val="none"/>
                <w:lang w:eastAsia="zh-CN"/>
              </w:rPr>
              <w:t>、NO</w:t>
            </w:r>
            <w:r>
              <w:rPr>
                <w:rFonts w:hint="eastAsia" w:ascii="宋体" w:hAnsi="宋体" w:eastAsia="宋体" w:cs="宋体"/>
                <w:kern w:val="0"/>
                <w:sz w:val="21"/>
                <w:szCs w:val="21"/>
                <w:highlight w:val="none"/>
                <w:vertAlign w:val="subscript"/>
                <w:lang w:eastAsia="zh-CN"/>
              </w:rPr>
              <w:t>2</w:t>
            </w:r>
            <w:r>
              <w:rPr>
                <w:rFonts w:hint="eastAsia" w:ascii="宋体" w:hAnsi="宋体" w:eastAsia="宋体" w:cs="宋体"/>
                <w:kern w:val="0"/>
                <w:sz w:val="21"/>
                <w:szCs w:val="21"/>
                <w:highlight w:val="none"/>
                <w:lang w:eastAsia="zh-CN"/>
              </w:rPr>
              <w:t>年均浓度分别同比下降10.3%、12.5%，连续5年稳定达标，SO</w:t>
            </w:r>
            <w:r>
              <w:rPr>
                <w:rFonts w:hint="eastAsia" w:ascii="宋体" w:hAnsi="宋体" w:eastAsia="宋体" w:cs="宋体"/>
                <w:kern w:val="0"/>
                <w:sz w:val="21"/>
                <w:szCs w:val="21"/>
                <w:highlight w:val="none"/>
                <w:vertAlign w:val="subscript"/>
                <w:lang w:eastAsia="zh-CN"/>
              </w:rPr>
              <w:t>2</w:t>
            </w:r>
            <w:r>
              <w:rPr>
                <w:rFonts w:hint="eastAsia" w:ascii="宋体" w:hAnsi="宋体" w:eastAsia="宋体" w:cs="宋体"/>
                <w:kern w:val="0"/>
                <w:sz w:val="21"/>
                <w:szCs w:val="21"/>
                <w:highlight w:val="none"/>
                <w:lang w:eastAsia="zh-CN"/>
              </w:rPr>
              <w:t>浓度继续保持在极低的个位数水平。</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EB68">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9A42">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B3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582F2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6"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DC3FB1">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3DABDB00">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任务四</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07900">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深化“ 三水统筹”</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113EC9">
            <w:pPr>
              <w:jc w:val="left"/>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加快推进大龙河安定段水生态修复项目，推动区级集中式饮用水水源地水质保持稳定达标，地下水水质总体保持稳定。</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F04FB4F">
            <w:pPr>
              <w:jc w:val="lef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大龙河安定段水生态项目于</w:t>
            </w:r>
            <w:r>
              <w:rPr>
                <w:rFonts w:hint="eastAsia" w:ascii="宋体" w:hAnsi="宋体" w:eastAsia="宋体" w:cs="宋体"/>
                <w:kern w:val="0"/>
                <w:sz w:val="21"/>
                <w:szCs w:val="21"/>
                <w:highlight w:val="none"/>
                <w:lang w:val="en-US" w:eastAsia="zh-CN"/>
              </w:rPr>
              <w:t>20</w:t>
            </w:r>
            <w:r>
              <w:rPr>
                <w:rFonts w:hint="eastAsia" w:ascii="宋体" w:hAnsi="宋体" w:eastAsia="宋体" w:cs="宋体"/>
                <w:kern w:val="0"/>
                <w:sz w:val="21"/>
                <w:szCs w:val="21"/>
                <w:highlight w:val="none"/>
                <w:lang w:eastAsia="zh-CN"/>
              </w:rPr>
              <w:t>24年3月份开工，项目一阶段已完工，正在推进项目二阶段实施。区级集中式饮用水水源地水质保持稳定达标，地下水水质总体保持稳定。</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A1B8">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747F">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9D02">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74164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8"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12936A">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1972C48E">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任务五</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B39CB">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深入防控建设用地风险</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AA4532">
            <w:pPr>
              <w:jc w:val="left"/>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 xml:space="preserve">强化土壤污染源头防控，推进优先监管地块风险管控，保障重点建设用地安全利用。 </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14AA4E">
            <w:pPr>
              <w:jc w:val="left"/>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2024年度，辖区14家土壤污染重点监管单位均规范落实法定义务，潜在污染行业企业全覆盖完成隐患排查。优先监管地块土壤污染风险管控率、重点建设用地安全利用率均达100%</w:t>
            </w:r>
            <w:r>
              <w:rPr>
                <w:rFonts w:hint="eastAsia" w:ascii="宋体" w:hAnsi="宋体" w:eastAsia="宋体" w:cs="宋体"/>
                <w:kern w:val="0"/>
                <w:sz w:val="21"/>
                <w:szCs w:val="21"/>
                <w:highlight w:val="none"/>
                <w:lang w:eastAsia="zh-CN"/>
              </w:rPr>
              <w:t>。</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EE18C">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5F191">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EC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6CA98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8"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23DDB3">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5431CCE">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任务六</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3585E">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加强重要生态空间监管</w:t>
            </w:r>
          </w:p>
        </w:tc>
        <w:tc>
          <w:tcPr>
            <w:tcW w:w="25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05C6BB">
            <w:pPr>
              <w:jc w:val="left"/>
              <w:rPr>
                <w:rFonts w:hint="eastAsia" w:ascii="宋体" w:hAnsi="宋体" w:eastAsia="宋体" w:cs="宋体"/>
                <w:i w:val="0"/>
                <w:iCs w:val="0"/>
                <w:color w:val="000000"/>
                <w:sz w:val="21"/>
                <w:szCs w:val="21"/>
                <w:highlight w:val="none"/>
                <w:u w:val="none"/>
              </w:rPr>
            </w:pPr>
            <w:r>
              <w:rPr>
                <w:rFonts w:hint="eastAsia" w:ascii="宋体" w:hAnsi="宋体" w:eastAsia="宋体" w:cs="宋体"/>
                <w:kern w:val="0"/>
                <w:sz w:val="21"/>
                <w:szCs w:val="21"/>
                <w:highlight w:val="none"/>
              </w:rPr>
              <w:t>提升自然生态保护成效；持续开展生物多样性系统调查，促进保护监管能力提升。</w:t>
            </w:r>
          </w:p>
        </w:tc>
        <w:tc>
          <w:tcPr>
            <w:tcW w:w="57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5C4D1D">
            <w:pPr>
              <w:jc w:val="left"/>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2024年，大兴区生态环境局强化生物多样性保护，完成全域首次生物多样性调查，辖区内调查记录物种3760种，配合市级部门对永定河两侧实施生态廊道修复；维护空间格局稳定性，组织开展重要生态空间疑似人类活动问题实地核查、整改工作及生态用地变化线索核查整改；促进生态保护可持续发展，积极探索生态系统调节服务和地区生产总值交换补偿机制，让良好的生态环境更好的服务、支撑、转化成经济发展动能。</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C2E7F">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F91CD">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995AB">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14:paraId="4737E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F6A9B7">
            <w:pPr>
              <w:jc w:val="center"/>
              <w:rPr>
                <w:rFonts w:hint="eastAsia" w:ascii="宋体" w:hAnsi="宋体" w:eastAsia="宋体" w:cs="宋体"/>
                <w:i w:val="0"/>
                <w:iCs w:val="0"/>
                <w:color w:val="000000"/>
                <w:sz w:val="21"/>
                <w:szCs w:val="21"/>
                <w:highlight w:val="none"/>
                <w:u w:val="none"/>
              </w:rPr>
            </w:pPr>
          </w:p>
        </w:tc>
        <w:tc>
          <w:tcPr>
            <w:tcW w:w="10846" w:type="dxa"/>
            <w:gridSpan w:val="12"/>
            <w:tcBorders>
              <w:top w:val="single" w:color="000000" w:sz="4" w:space="0"/>
              <w:left w:val="single" w:color="auto" w:sz="4" w:space="0"/>
              <w:bottom w:val="single" w:color="000000" w:sz="4" w:space="0"/>
              <w:right w:val="single" w:color="000000" w:sz="4" w:space="0"/>
            </w:tcBorders>
            <w:shd w:val="clear" w:color="auto" w:fill="auto"/>
            <w:vAlign w:val="center"/>
          </w:tcPr>
          <w:p w14:paraId="54A9B3D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21" w:type="dxa"/>
            <w:tcBorders>
              <w:top w:val="single" w:color="000000" w:sz="4" w:space="0"/>
              <w:left w:val="nil"/>
              <w:bottom w:val="single" w:color="000000" w:sz="4" w:space="0"/>
              <w:right w:val="single" w:color="000000" w:sz="4" w:space="0"/>
            </w:tcBorders>
            <w:shd w:val="clear" w:color="auto" w:fill="auto"/>
            <w:vAlign w:val="center"/>
          </w:tcPr>
          <w:p w14:paraId="6ECFEB4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BC9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1ED7">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60</w:t>
            </w:r>
          </w:p>
        </w:tc>
      </w:tr>
      <w:tr w14:paraId="57FE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174"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0FA324A3">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14:paraId="26AA4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96" w:type="dxa"/>
            <w:tcBorders>
              <w:top w:val="single" w:color="000000" w:sz="4" w:space="0"/>
              <w:left w:val="single" w:color="000000" w:sz="4" w:space="0"/>
              <w:bottom w:val="single" w:color="auto" w:sz="4" w:space="0"/>
              <w:right w:val="single" w:color="000000" w:sz="4" w:space="0"/>
            </w:tcBorders>
            <w:shd w:val="clear" w:color="auto" w:fill="auto"/>
            <w:vAlign w:val="center"/>
          </w:tcPr>
          <w:p w14:paraId="7BBCD58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B824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291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E20C7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9E7D5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5968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2022年数据</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A79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465E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772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54D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66A59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8" w:hRule="atLeast"/>
        </w:trPr>
        <w:tc>
          <w:tcPr>
            <w:tcW w:w="109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0BB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4"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391EA2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7A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B37A3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2E3589">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010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275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590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6FD3">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02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663C0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8"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C5D54F">
            <w:pPr>
              <w:jc w:val="center"/>
              <w:rPr>
                <w:rFonts w:hint="eastAsia" w:ascii="宋体" w:hAnsi="宋体" w:eastAsia="宋体" w:cs="宋体"/>
                <w:i w:val="0"/>
                <w:iCs w:val="0"/>
                <w:color w:val="000000"/>
                <w:sz w:val="21"/>
                <w:szCs w:val="21"/>
                <w:highlight w:val="none"/>
                <w:u w:val="none"/>
              </w:rPr>
            </w:pPr>
          </w:p>
        </w:tc>
        <w:tc>
          <w:tcPr>
            <w:tcW w:w="110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9E61EC0">
            <w:pPr>
              <w:jc w:val="center"/>
              <w:rPr>
                <w:rFonts w:hint="eastAsia" w:ascii="宋体" w:hAnsi="宋体" w:eastAsia="宋体" w:cs="宋体"/>
                <w:i w:val="0"/>
                <w:iCs w:val="0"/>
                <w:color w:val="000000"/>
                <w:sz w:val="21"/>
                <w:szCs w:val="21"/>
                <w:highlight w:val="none"/>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BC23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FB9B0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A1461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AEF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B2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B20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973A">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AC4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3B3D9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4"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217BBA">
            <w:pPr>
              <w:jc w:val="center"/>
              <w:rPr>
                <w:rFonts w:hint="eastAsia" w:ascii="宋体" w:hAnsi="宋体" w:eastAsia="宋体" w:cs="宋体"/>
                <w:i w:val="0"/>
                <w:iCs w:val="0"/>
                <w:color w:val="000000"/>
                <w:sz w:val="21"/>
                <w:szCs w:val="21"/>
                <w:highlight w:val="none"/>
                <w:u w:val="none"/>
              </w:rPr>
            </w:pPr>
          </w:p>
        </w:tc>
        <w:tc>
          <w:tcPr>
            <w:tcW w:w="110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4648DEA">
            <w:pPr>
              <w:jc w:val="center"/>
              <w:rPr>
                <w:rFonts w:hint="eastAsia" w:ascii="宋体" w:hAnsi="宋体" w:eastAsia="宋体" w:cs="宋体"/>
                <w:i w:val="0"/>
                <w:iCs w:val="0"/>
                <w:color w:val="000000"/>
                <w:sz w:val="21"/>
                <w:szCs w:val="21"/>
                <w:highlight w:val="none"/>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FB9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51609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1E462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A284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DB0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926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5B1FF">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A4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7359F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6"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31BF67">
            <w:pPr>
              <w:jc w:val="center"/>
              <w:rPr>
                <w:rFonts w:hint="eastAsia" w:ascii="宋体" w:hAnsi="宋体" w:eastAsia="宋体" w:cs="宋体"/>
                <w:i w:val="0"/>
                <w:iCs w:val="0"/>
                <w:color w:val="000000"/>
                <w:sz w:val="21"/>
                <w:szCs w:val="21"/>
                <w:highlight w:val="none"/>
                <w:u w:val="none"/>
              </w:rPr>
            </w:pPr>
          </w:p>
        </w:tc>
        <w:tc>
          <w:tcPr>
            <w:tcW w:w="110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CEBB8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1C39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资产管理</w:t>
            </w:r>
          </w:p>
          <w:p w14:paraId="19AAC6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规范性</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5308A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5B7D76">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8F0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97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04F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2F76">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A22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14:paraId="2DC6A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6"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C9416E">
            <w:pPr>
              <w:jc w:val="center"/>
              <w:rPr>
                <w:rFonts w:hint="eastAsia" w:ascii="宋体" w:hAnsi="宋体" w:eastAsia="宋体" w:cs="宋体"/>
                <w:i w:val="0"/>
                <w:iCs w:val="0"/>
                <w:color w:val="000000"/>
                <w:sz w:val="21"/>
                <w:szCs w:val="21"/>
                <w:highlight w:val="none"/>
                <w:u w:val="none"/>
              </w:rPr>
            </w:pPr>
          </w:p>
        </w:tc>
        <w:tc>
          <w:tcPr>
            <w:tcW w:w="110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C4525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74A2">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绩效管理</w:t>
            </w:r>
          </w:p>
          <w:p w14:paraId="5E8855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情况</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858BF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36001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4AC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A4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D82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6A080">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69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14:paraId="53A25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1C9735">
            <w:pPr>
              <w:jc w:val="center"/>
              <w:rPr>
                <w:rFonts w:hint="eastAsia" w:ascii="宋体" w:hAnsi="宋体" w:eastAsia="宋体" w:cs="宋体"/>
                <w:i w:val="0"/>
                <w:iCs w:val="0"/>
                <w:color w:val="000000"/>
                <w:sz w:val="21"/>
                <w:szCs w:val="21"/>
                <w:highlight w:val="none"/>
                <w:u w:val="none"/>
              </w:rPr>
            </w:pPr>
          </w:p>
        </w:tc>
        <w:tc>
          <w:tcPr>
            <w:tcW w:w="110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AB531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99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2F8D77">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3F622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5A782">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sz w:val="21"/>
                <w:szCs w:val="21"/>
                <w:lang w:val="en-US" w:eastAsia="zh-CN"/>
              </w:rPr>
              <w:t>51.86%</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D6C7F">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26.27%</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027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09B2">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B8E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r>
      <w:tr w14:paraId="00C0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0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26656F">
            <w:pPr>
              <w:jc w:val="center"/>
              <w:rPr>
                <w:rFonts w:hint="eastAsia" w:ascii="宋体" w:hAnsi="宋体" w:eastAsia="宋体" w:cs="宋体"/>
                <w:i w:val="0"/>
                <w:iCs w:val="0"/>
                <w:color w:val="000000"/>
                <w:sz w:val="21"/>
                <w:szCs w:val="21"/>
                <w:highlight w:val="none"/>
                <w:u w:val="none"/>
              </w:rPr>
            </w:pPr>
          </w:p>
        </w:tc>
        <w:tc>
          <w:tcPr>
            <w:tcW w:w="10815" w:type="dxa"/>
            <w:gridSpan w:val="12"/>
            <w:tcBorders>
              <w:top w:val="single" w:color="000000" w:sz="4" w:space="0"/>
              <w:left w:val="single" w:color="auto" w:sz="4" w:space="0"/>
              <w:bottom w:val="single" w:color="000000" w:sz="4" w:space="0"/>
              <w:right w:val="nil"/>
            </w:tcBorders>
            <w:shd w:val="clear" w:color="auto" w:fill="auto"/>
            <w:vAlign w:val="center"/>
          </w:tcPr>
          <w:p w14:paraId="6E48709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C2461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DD8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55CA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14:paraId="41F34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91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7286CA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767E9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9255">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CAA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100</w:t>
            </w:r>
          </w:p>
        </w:tc>
      </w:tr>
    </w:tbl>
    <w:p w14:paraId="274FF65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14:paraId="65CD08F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2023年差异率（绝对值）-2022年差异率（绝对值），相减结果为1%（含）-2%，扣0.4分，2%（含）-3%，扣0.8分，以此类推，每高出1个百分点扣0.4分，扣完为止。</w:t>
      </w:r>
    </w:p>
    <w:p w14:paraId="1BD6C1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329C26C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14:paraId="1DF934C5">
      <w:pPr>
        <w:jc w:val="both"/>
        <w:rPr>
          <w:rFonts w:hint="eastAsia" w:ascii="宋体" w:hAnsi="宋体" w:eastAsia="宋体" w:cs="宋体"/>
          <w:i w:val="0"/>
          <w:iCs w:val="0"/>
          <w:color w:val="000000"/>
          <w:kern w:val="0"/>
          <w:sz w:val="22"/>
          <w:szCs w:val="22"/>
          <w:highlight w:val="none"/>
          <w:u w:val="none"/>
          <w:lang w:val="en-US" w:eastAsia="zh-CN" w:bidi="ar"/>
        </w:rPr>
      </w:pPr>
    </w:p>
    <w:p w14:paraId="671CA27A">
      <w:pPr>
        <w:jc w:val="both"/>
        <w:rPr>
          <w:rFonts w:hint="eastAsia" w:ascii="黑体" w:hAnsi="黑体" w:eastAsia="黑体"/>
          <w:sz w:val="30"/>
          <w:szCs w:val="30"/>
          <w:highlight w:val="none"/>
          <w:lang w:val="en-US" w:eastAsia="zh-CN"/>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769C7">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14:paraId="7192B14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1F66A6E"/>
    <w:rsid w:val="02F76F90"/>
    <w:rsid w:val="032D7483"/>
    <w:rsid w:val="03DA42D3"/>
    <w:rsid w:val="08B27FAA"/>
    <w:rsid w:val="08D950F1"/>
    <w:rsid w:val="0A512204"/>
    <w:rsid w:val="0DDA072B"/>
    <w:rsid w:val="0E56629D"/>
    <w:rsid w:val="0EB06A67"/>
    <w:rsid w:val="0FC1070A"/>
    <w:rsid w:val="12AD1419"/>
    <w:rsid w:val="12CE7C70"/>
    <w:rsid w:val="13A9398F"/>
    <w:rsid w:val="140D656A"/>
    <w:rsid w:val="149208C7"/>
    <w:rsid w:val="14F31E6E"/>
    <w:rsid w:val="17FFF9DD"/>
    <w:rsid w:val="19597C05"/>
    <w:rsid w:val="1B75684C"/>
    <w:rsid w:val="1DF500A3"/>
    <w:rsid w:val="1E5F416F"/>
    <w:rsid w:val="1F615D53"/>
    <w:rsid w:val="1F6B68E4"/>
    <w:rsid w:val="200307FA"/>
    <w:rsid w:val="27795C59"/>
    <w:rsid w:val="28B5798E"/>
    <w:rsid w:val="29DF7CB3"/>
    <w:rsid w:val="2B1C3AA7"/>
    <w:rsid w:val="2C844B41"/>
    <w:rsid w:val="2D743669"/>
    <w:rsid w:val="2F3E53CA"/>
    <w:rsid w:val="317E3A6E"/>
    <w:rsid w:val="32601BAD"/>
    <w:rsid w:val="335C2374"/>
    <w:rsid w:val="34CE1050"/>
    <w:rsid w:val="35530D77"/>
    <w:rsid w:val="358A40F2"/>
    <w:rsid w:val="36024E13"/>
    <w:rsid w:val="36E23C1F"/>
    <w:rsid w:val="37054AD1"/>
    <w:rsid w:val="38A61B36"/>
    <w:rsid w:val="39C46C42"/>
    <w:rsid w:val="3C112178"/>
    <w:rsid w:val="3CA21CCC"/>
    <w:rsid w:val="3D172320"/>
    <w:rsid w:val="3F4B5746"/>
    <w:rsid w:val="438A7C97"/>
    <w:rsid w:val="447D117C"/>
    <w:rsid w:val="45CA5027"/>
    <w:rsid w:val="469C7200"/>
    <w:rsid w:val="49F90045"/>
    <w:rsid w:val="4B3E648A"/>
    <w:rsid w:val="4B5E3C26"/>
    <w:rsid w:val="4B935BD3"/>
    <w:rsid w:val="4E3A10AC"/>
    <w:rsid w:val="4E747559"/>
    <w:rsid w:val="4F0516BA"/>
    <w:rsid w:val="4F4B60ED"/>
    <w:rsid w:val="514065A0"/>
    <w:rsid w:val="52C27FEE"/>
    <w:rsid w:val="53E2021C"/>
    <w:rsid w:val="5455279C"/>
    <w:rsid w:val="54FE72D7"/>
    <w:rsid w:val="57A55D95"/>
    <w:rsid w:val="59126EAD"/>
    <w:rsid w:val="5A690D4F"/>
    <w:rsid w:val="5B7025B1"/>
    <w:rsid w:val="60C53CBE"/>
    <w:rsid w:val="61E41603"/>
    <w:rsid w:val="64414AEB"/>
    <w:rsid w:val="672A3F5C"/>
    <w:rsid w:val="69A262CD"/>
    <w:rsid w:val="69E421A0"/>
    <w:rsid w:val="6ACB7804"/>
    <w:rsid w:val="6AD00976"/>
    <w:rsid w:val="6AD20B92"/>
    <w:rsid w:val="6AEBB5AA"/>
    <w:rsid w:val="6BCA6267"/>
    <w:rsid w:val="6BFD47C9"/>
    <w:rsid w:val="6E747590"/>
    <w:rsid w:val="6EB83401"/>
    <w:rsid w:val="716B51FF"/>
    <w:rsid w:val="718801FD"/>
    <w:rsid w:val="72535B88"/>
    <w:rsid w:val="75752846"/>
    <w:rsid w:val="76677D06"/>
    <w:rsid w:val="78056103"/>
    <w:rsid w:val="78F97AAC"/>
    <w:rsid w:val="797154BA"/>
    <w:rsid w:val="79A951B4"/>
    <w:rsid w:val="7A7BE003"/>
    <w:rsid w:val="7A964592"/>
    <w:rsid w:val="7DA57A41"/>
    <w:rsid w:val="7FB25EE2"/>
    <w:rsid w:val="7FF7E053"/>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line="560" w:lineRule="exact"/>
    </w:pPr>
    <w:rPr>
      <w:rFonts w:ascii="Calibri" w:hAnsi="Calibri"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3430</Words>
  <Characters>3777</Characters>
  <Lines>0</Lines>
  <Paragraphs>0</Paragraphs>
  <TotalTime>29</TotalTime>
  <ScaleCrop>false</ScaleCrop>
  <LinksUpToDate>false</LinksUpToDate>
  <CharactersWithSpaces>3779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WPS_1620356725</cp:lastModifiedBy>
  <cp:lastPrinted>2023-02-10T03:44:00Z</cp:lastPrinted>
  <dcterms:modified xsi:type="dcterms:W3CDTF">2025-09-25T02:17:18Z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B8439EB719044B79802B264B4A58A6EC_13</vt:lpwstr>
  </property>
  <property fmtid="{D5CDD505-2E9C-101B-9397-08002B2CF9AE}" pid="4" name="KSOTemplateDocerSaveRecord">
    <vt:lpwstr>eyJoZGlkIjoiZDk5YzY5Y2RlNGMyNGY0YWI1ZWJmNmRmYmRmYWJhYmYiLCJ1c2VySWQiOiIxMjA3NDgxMzgwIn0=</vt:lpwstr>
  </property>
</Properties>
</file>