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sz w:val="30"/>
          <w:szCs w:val="30"/>
          <w:highlight w:val="none"/>
          <w:lang w:val="en-US" w:eastAsia="zh-CN"/>
        </w:rPr>
      </w:pPr>
      <w:r>
        <w:rPr>
          <w:rFonts w:hint="eastAsia" w:ascii="黑体" w:hAnsi="黑体" w:eastAsia="黑体"/>
          <w:sz w:val="30"/>
          <w:szCs w:val="30"/>
          <w:highlight w:val="none"/>
          <w:lang w:val="en-US" w:eastAsia="zh-CN"/>
        </w:rPr>
        <w:t xml:space="preserve">附件3-1      </w:t>
      </w:r>
    </w:p>
    <w:p>
      <w:pPr>
        <w:jc w:val="center"/>
        <w:rPr>
          <w:rFonts w:hint="eastAsia" w:ascii="楷体_GB2312" w:hAnsi="楷体_GB2312" w:eastAsia="楷体_GB2312" w:cs="楷体_GB2312"/>
          <w:b/>
          <w:bCs/>
          <w:sz w:val="44"/>
          <w:szCs w:val="44"/>
          <w:highlight w:val="none"/>
          <w:lang w:eastAsia="zh-CN"/>
        </w:rPr>
      </w:pPr>
      <w:r>
        <w:rPr>
          <w:rFonts w:hint="eastAsia" w:ascii="楷体_GB2312" w:hAnsi="楷体_GB2312" w:eastAsia="楷体_GB2312" w:cs="楷体_GB2312"/>
          <w:b/>
          <w:bCs/>
          <w:sz w:val="44"/>
          <w:szCs w:val="44"/>
          <w:highlight w:val="none"/>
          <w:lang w:eastAsia="zh-CN"/>
        </w:rPr>
        <w:t>大兴区境内公交线路及站点专项规划服务</w:t>
      </w:r>
    </w:p>
    <w:p>
      <w:pPr>
        <w:jc w:val="center"/>
        <w:rPr>
          <w:rFonts w:ascii="仿宋_GB2312"/>
          <w:szCs w:val="30"/>
          <w:highlight w:val="none"/>
        </w:rPr>
      </w:pPr>
      <w:r>
        <w:rPr>
          <w:rFonts w:hint="eastAsia" w:ascii="楷体_GB2312" w:hAnsi="楷体_GB2312" w:eastAsia="楷体_GB2312" w:cs="楷体_GB2312"/>
          <w:b/>
          <w:bCs/>
          <w:sz w:val="44"/>
          <w:szCs w:val="44"/>
          <w:highlight w:val="none"/>
        </w:rPr>
        <w:t>项目支出绩效评价报告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黑体" w:hAnsi="黑体" w:eastAsia="黑体" w:cs="黑体"/>
          <w:b w:val="0"/>
          <w:bCs/>
          <w:color w:val="000000"/>
          <w:kern w:val="0"/>
          <w:sz w:val="32"/>
          <w:szCs w:val="32"/>
          <w:highlight w:val="none"/>
        </w:rPr>
      </w:pPr>
      <w:r>
        <w:rPr>
          <w:rFonts w:hint="eastAsia" w:ascii="黑体" w:hAnsi="黑体" w:eastAsia="黑体" w:cs="黑体"/>
          <w:b w:val="0"/>
          <w:bCs/>
          <w:color w:val="000000"/>
          <w:kern w:val="0"/>
          <w:sz w:val="32"/>
          <w:szCs w:val="32"/>
          <w:highlight w:val="none"/>
        </w:rPr>
        <w:t>一、基本情况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（一）项目概况。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为进一步提升公共交通运营保障和服务能力，同时提高财政补贴资金使用效益，推动公交企业提高管理水平和服务质量，促进公交行业健康持续发展。202</w:t>
      </w:r>
      <w:bookmarkStart w:id="0" w:name="_GoBack"/>
      <w:bookmarkEnd w:id="0"/>
      <w:r>
        <w:rPr>
          <w:rFonts w:hint="eastAsia" w:ascii="仿宋_GB2312" w:hAnsi="仿宋_GB2312" w:eastAsia="仿宋_GB2312" w:cs="仿宋_GB2312"/>
          <w:color w:val="000000"/>
          <w:kern w:val="0"/>
          <w:sz w:val="32"/>
          <w:szCs w:val="32"/>
          <w:highlight w:val="none"/>
          <w:lang w:val="en-US" w:eastAsia="zh-CN"/>
        </w:rPr>
        <w:t>3年初大兴区启动并制定了《北京市大兴区境内公交补贴管理办法》。办法中提出了“综合考虑本区公交基本服务需求以及区级财政承受能力，统筹考虑区财政补贴资金预算总量和公共交通发展需求，合理确定年度公交运营计划。”准确把握全区境内公交73条线路的客流特征，分析线路现存问题，论证大兴区新增公交客流需求，围绕轨道线路和站点布局，优化大兴区境内公交运营计划，以提高公共交通服务水平，成为当前需要解决的问题之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我局通过三方比价，确定中标单位为北京工业大学。项目内容为持续优化公共交通服务，通过开展基础数据收集、需求调研、线路方案制定、实施效果评估、保障措施研究等工作，形成2024年度大兴区境内公交线网优化方案。减少乘客等候时间，提升公交吸引力；科学调配运力，降低公交空驶率，在满足市民出行需要的同时，提高能源利用效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我局2024年5月14日与北京工业大学签订了技术服务合同，合同约定在项目研究成果评审通过并提交后，向技术提供方一次性拨付项目资金9.9万元。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我局已于2024年年底一次性足额拨付项目团队服务资金9.9万元。</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总体目标</w:t>
      </w:r>
      <w:r>
        <w:rPr>
          <w:rFonts w:hint="eastAsia" w:ascii="仿宋_GB2312" w:hAnsi="仿宋_GB2312" w:eastAsia="仿宋_GB2312" w:cs="仿宋_GB2312"/>
          <w:color w:val="000000"/>
          <w:kern w:val="0"/>
          <w:sz w:val="32"/>
          <w:szCs w:val="32"/>
          <w:highlight w:val="none"/>
        </w:rPr>
        <w:t>指导第三方咨询团队开展数据分析、模型构建、规划制图、案例研究、方案设计等专业性技术工作，充分落实“自主研究为主，第三方咨询为辅”的要求，将行业管理经验与先进专业技术进行有机结合</w:t>
      </w:r>
      <w:r>
        <w:rPr>
          <w:rFonts w:hint="eastAsia" w:ascii="仿宋_GB2312" w:hAnsi="仿宋_GB2312" w:eastAsia="仿宋_GB2312" w:cs="仿宋_GB2312"/>
          <w:color w:val="000000"/>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eastAsia="zh-CN"/>
        </w:rPr>
        <w:t>阶段性目标以大兴区境内73条公交线路为研究对象，基于公交多源数据和线路实地调查数据，分析评估大兴区境内公交线路的客流特征、运营效率和服务质量，形成2024年运营计划优化方案。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黑体" w:hAnsi="黑体" w:eastAsia="黑体" w:cs="黑体"/>
          <w:b w:val="0"/>
          <w:bCs/>
          <w:color w:val="000000"/>
          <w:kern w:val="0"/>
          <w:sz w:val="32"/>
          <w:szCs w:val="32"/>
          <w:highlight w:val="none"/>
        </w:rPr>
      </w:pPr>
      <w:r>
        <w:rPr>
          <w:rFonts w:hint="eastAsia" w:ascii="黑体" w:hAnsi="黑体" w:eastAsia="黑体" w:cs="黑体"/>
          <w:b w:val="0"/>
          <w:bCs/>
          <w:color w:val="000000"/>
          <w:kern w:val="0"/>
          <w:sz w:val="32"/>
          <w:szCs w:val="32"/>
          <w:highlight w:val="none"/>
        </w:rPr>
        <w:t>二、绩效评价工作开展情况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我单位于2025年1月9日启动了2024年财政项目绩效自评工作。</w:t>
      </w:r>
      <w:r>
        <w:rPr>
          <w:rFonts w:hint="eastAsia" w:ascii="仿宋_GB2312" w:hAnsi="仿宋_GB2312" w:eastAsia="仿宋_GB2312" w:cs="仿宋_GB2312"/>
          <w:color w:val="000000"/>
          <w:kern w:val="0"/>
          <w:sz w:val="32"/>
          <w:szCs w:val="32"/>
          <w:highlight w:val="none"/>
          <w:lang w:eastAsia="zh-CN"/>
        </w:rPr>
        <w:t>按照在系统中提交的财政项目绩效目标表，逐项梳理各项目标完成情况，依托现有的数据平台，客观的收集数据支撑材料，确保定量指标完成情况数据可靠，资料详实。</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eastAsia="zh-CN"/>
        </w:rPr>
        <w:t>产出指标实际完成情况主要是根据实际开展座谈会次数以及结题报告时间确定。经济指标实际完成情况主要根据申报项目书及签订的合同确定。效益指标实际完成情况主要根据一卡通系统刷卡数据确定。满意度指标依托境内公交满意度考核结果确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黑体" w:hAnsi="黑体" w:eastAsia="黑体" w:cs="黑体"/>
          <w:b w:val="0"/>
          <w:bCs/>
          <w:color w:val="000000"/>
          <w:kern w:val="0"/>
          <w:sz w:val="32"/>
          <w:szCs w:val="32"/>
          <w:highlight w:val="none"/>
        </w:rPr>
      </w:pPr>
      <w:r>
        <w:rPr>
          <w:rFonts w:hint="eastAsia" w:ascii="黑体" w:hAnsi="黑体" w:eastAsia="黑体" w:cs="黑体"/>
          <w:b w:val="0"/>
          <w:bCs/>
          <w:color w:val="000000"/>
          <w:kern w:val="0"/>
          <w:sz w:val="32"/>
          <w:szCs w:val="32"/>
          <w:highlight w:val="none"/>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_GB2312" w:hAnsi="仿宋_GB2312" w:eastAsia="仿宋_GB2312" w:cs="仿宋_GB2312"/>
          <w:b w:val="0"/>
          <w:bCs/>
          <w:color w:val="000000"/>
          <w:kern w:val="0"/>
          <w:sz w:val="32"/>
          <w:szCs w:val="32"/>
          <w:highlight w:val="none"/>
          <w:lang w:val="en-US" w:eastAsia="zh-CN"/>
        </w:rPr>
      </w:pPr>
      <w:r>
        <w:rPr>
          <w:rFonts w:hint="eastAsia" w:ascii="仿宋_GB2312" w:hAnsi="仿宋_GB2312" w:eastAsia="仿宋_GB2312" w:cs="仿宋_GB2312"/>
          <w:b w:val="0"/>
          <w:bCs/>
          <w:color w:val="000000"/>
          <w:kern w:val="0"/>
          <w:sz w:val="32"/>
          <w:szCs w:val="32"/>
          <w:highlight w:val="none"/>
          <w:lang w:eastAsia="zh-CN"/>
        </w:rPr>
        <w:t>项目评价得分</w:t>
      </w:r>
      <w:r>
        <w:rPr>
          <w:rFonts w:hint="eastAsia" w:ascii="仿宋_GB2312" w:hAnsi="仿宋_GB2312" w:eastAsia="仿宋_GB2312" w:cs="仿宋_GB2312"/>
          <w:b w:val="0"/>
          <w:bCs/>
          <w:color w:val="000000"/>
          <w:kern w:val="0"/>
          <w:sz w:val="32"/>
          <w:szCs w:val="32"/>
          <w:highlight w:val="none"/>
          <w:lang w:val="en-US" w:eastAsia="zh-CN"/>
        </w:rPr>
        <w:t>100分，评价结论为优。</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6"/>
        <w:gridCol w:w="816"/>
        <w:gridCol w:w="831"/>
        <w:gridCol w:w="2418"/>
        <w:gridCol w:w="2585"/>
        <w:gridCol w:w="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522"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r>
              <w:rPr>
                <w:rFonts w:hint="eastAsia" w:ascii="宋体" w:hAnsi="宋体" w:eastAsia="宋体" w:cs="宋体"/>
                <w:b/>
                <w:i w:val="0"/>
                <w:color w:val="000000"/>
                <w:kern w:val="0"/>
                <w:sz w:val="36"/>
                <w:szCs w:val="36"/>
                <w:u w:val="none"/>
                <w:lang w:val="en-US" w:eastAsia="zh-CN" w:bidi="ar"/>
              </w:rPr>
              <w:t>区交通局</w:t>
            </w:r>
            <w:r>
              <w:rPr>
                <w:rFonts w:hint="eastAsia" w:ascii="宋体" w:hAnsi="宋体" w:cs="宋体"/>
                <w:b/>
                <w:i w:val="0"/>
                <w:color w:val="000000"/>
                <w:kern w:val="0"/>
                <w:sz w:val="36"/>
                <w:szCs w:val="36"/>
                <w:u w:val="none"/>
                <w:lang w:val="en-US" w:eastAsia="zh-CN" w:bidi="ar"/>
              </w:rPr>
              <w:t>2024</w:t>
            </w:r>
            <w:r>
              <w:rPr>
                <w:rFonts w:hint="eastAsia" w:ascii="宋体" w:hAnsi="宋体" w:eastAsia="宋体" w:cs="宋体"/>
                <w:b/>
                <w:i w:val="0"/>
                <w:color w:val="000000"/>
                <w:kern w:val="0"/>
                <w:sz w:val="36"/>
                <w:szCs w:val="36"/>
                <w:u w:val="none"/>
                <w:lang w:val="en-US" w:eastAsia="zh-CN" w:bidi="ar"/>
              </w:rPr>
              <w:t>年部门绩效评价指标评分表</w:t>
            </w:r>
            <w:r>
              <w:rPr>
                <w:rFonts w:hint="eastAsia" w:ascii="宋体" w:hAnsi="宋体" w:eastAsia="宋体" w:cs="宋体"/>
                <w:b/>
                <w:i w:val="0"/>
                <w:color w:val="000000"/>
                <w:kern w:val="0"/>
                <w:sz w:val="36"/>
                <w:szCs w:val="36"/>
                <w:u w:val="none"/>
                <w:lang w:val="en-US" w:eastAsia="zh-CN" w:bidi="ar"/>
              </w:rPr>
              <w:br w:type="textWrapping"/>
            </w:r>
            <w:r>
              <w:rPr>
                <w:rFonts w:hint="eastAsia" w:ascii="宋体" w:hAnsi="宋体" w:eastAsia="宋体" w:cs="宋体"/>
                <w:b/>
                <w:i w:val="0"/>
                <w:color w:val="000000"/>
                <w:kern w:val="0"/>
                <w:sz w:val="36"/>
                <w:szCs w:val="36"/>
                <w:u w:val="none"/>
                <w:lang w:val="en-US" w:eastAsia="zh-CN" w:bidi="ar"/>
              </w:rPr>
              <w:t>大兴区境内公交线路及站点专项规划服务</w:t>
            </w:r>
          </w:p>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 xml:space="preserve"> 项目负责人：王建民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24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指标解释</w:t>
            </w:r>
          </w:p>
        </w:tc>
        <w:tc>
          <w:tcPr>
            <w:tcW w:w="258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评分标准</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名称</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名称</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名称</w:t>
            </w:r>
          </w:p>
        </w:tc>
        <w:tc>
          <w:tcPr>
            <w:tcW w:w="241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（5分）</w:t>
            </w:r>
          </w:p>
        </w:tc>
        <w:tc>
          <w:tcPr>
            <w:tcW w:w="81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项目立项</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（2分）</w:t>
            </w:r>
          </w:p>
        </w:tc>
        <w:tc>
          <w:tcPr>
            <w:tcW w:w="83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立项依据充分、规范性</w:t>
            </w:r>
          </w:p>
        </w:tc>
        <w:tc>
          <w:tcPr>
            <w:tcW w:w="2418"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项目立项是否符合法律法规、相关政策、发展规划以及部门职责，用以反映和考核项目立项依据情况。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项目申请、设立过程是否符合相关要求，用以反映和考核项目立项的规范情况。</w:t>
            </w:r>
          </w:p>
        </w:tc>
        <w:tc>
          <w:tcPr>
            <w:tcW w:w="258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立项依据充分、规范，得2分</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nil"/>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立项依据较为充分、较为规范，得1.5-2分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nil"/>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立项依据基本充分、基本规范，得1-1.5分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nil"/>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立项依据不够充分、不够规范，得0-1分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（2分）</w:t>
            </w:r>
          </w:p>
        </w:tc>
        <w:tc>
          <w:tcPr>
            <w:tcW w:w="8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目标合理性、明确性 </w:t>
            </w:r>
          </w:p>
        </w:tc>
        <w:tc>
          <w:tcPr>
            <w:tcW w:w="2418"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项目所设定的绩效目标是否依据充分，是否符合客观实际，用以反映和考核项目绩效目标与项目实施的相符情况。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依据绩效目标设定的绩效指标是否清晰、细化、可衡量等，用以反映和考核项目绩效目标的明细化情况。</w:t>
            </w:r>
          </w:p>
        </w:tc>
        <w:tc>
          <w:tcPr>
            <w:tcW w:w="258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绩效目标的内容合理、明确，得2分</w:t>
            </w:r>
          </w:p>
        </w:tc>
        <w:tc>
          <w:tcPr>
            <w:tcW w:w="696" w:type="dxa"/>
            <w:vMerge w:val="restart"/>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绩效目标的内容较为合理、较为明确，得1.5-2分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绩效目标的内容基本合理、基本明确，得1-1.5分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绩效目标的内容不够合理、不够明确，得0-1分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资金投入</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（1分）</w:t>
            </w:r>
          </w:p>
        </w:tc>
        <w:tc>
          <w:tcPr>
            <w:tcW w:w="831"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预算编制科学性</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资金分配合理性</w:t>
            </w:r>
          </w:p>
        </w:tc>
        <w:tc>
          <w:tcPr>
            <w:tcW w:w="24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项目预算编制是否经过科学论证、有明确标准，资金额度与年度目标是否相适应，用以反映和考核项目预算编制的科学性、合理性情况。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项目预算资金分配是否有测算依据，与补助单位或地方实际是否相适应，用以反映和考核项目预算资金分配的科学性、合理性情况。</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预算编制科学性强，资金分配合理，得1分</w:t>
            </w:r>
          </w:p>
        </w:tc>
        <w:tc>
          <w:tcPr>
            <w:tcW w:w="696" w:type="dxa"/>
            <w:vMerge w:val="restart"/>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预算编制科学性较强，资金分配较为合理，0.5-1分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预算编制科学性一般，资金分配合理性一般，得0-0.5分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预算编制不科学，资金分配不合理，得0分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过程</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（5分）</w:t>
            </w:r>
          </w:p>
        </w:tc>
        <w:tc>
          <w:tcPr>
            <w:tcW w:w="816"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资金管理（2.5分）</w:t>
            </w:r>
          </w:p>
        </w:tc>
        <w:tc>
          <w:tcPr>
            <w:tcW w:w="831"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资金到位率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预算执行率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使用合规性</w:t>
            </w:r>
          </w:p>
        </w:tc>
        <w:tc>
          <w:tcPr>
            <w:tcW w:w="2418" w:type="dxa"/>
            <w:vMerge w:val="restart"/>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实际到位资金与预算资金的比率，用以反映和考核资金落实情况对项目实施的总体保障程度。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项目预算资金是否按照计划执行，用以反映或考核项目预算执行情况。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项目资金使用是否符合相关的财务管理制度规定，用以反映和考核项目资金的规范运行情况。</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资金及时到位，预算执行率高，使用符合规定，得2.5分</w:t>
            </w:r>
          </w:p>
        </w:tc>
        <w:tc>
          <w:tcPr>
            <w:tcW w:w="696" w:type="dxa"/>
            <w:vMerge w:val="restart"/>
            <w:tcBorders>
              <w:top w:val="nil"/>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nil"/>
              <w:bottom w:val="nil"/>
              <w:right w:val="nil"/>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资金基本及时到位，预算执行率较高，使用基本符合规定，得2-2.5分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nil"/>
              <w:bottom w:val="nil"/>
              <w:right w:val="nil"/>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资金及时到位欠佳，预算执行率一般，使用合规性一般，得1-2分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nil"/>
              <w:left w:val="nil"/>
              <w:bottom w:val="nil"/>
              <w:right w:val="nil"/>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资金不能及时到位，预算执行率低，使用不合规，得0-1分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组织实施（2.5分）</w:t>
            </w:r>
          </w:p>
        </w:tc>
        <w:tc>
          <w:tcPr>
            <w:tcW w:w="8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管理制度健全性</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制度执行有效性</w:t>
            </w:r>
          </w:p>
        </w:tc>
        <w:tc>
          <w:tcPr>
            <w:tcW w:w="24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制度健全性、执行有效性</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制度健全、执行有效性强，得2.5分</w:t>
            </w:r>
          </w:p>
        </w:tc>
        <w:tc>
          <w:tcPr>
            <w:tcW w:w="696" w:type="dxa"/>
            <w:vMerge w:val="restart"/>
            <w:tcBorders>
              <w:top w:val="nil"/>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制度较为健全、执行有效性较强，得2-2.5分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制度健全性一般、执行有效性一般，得1-2分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制度不够健全、执行有效性低，得0-1分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（60分）</w:t>
            </w:r>
          </w:p>
        </w:tc>
        <w:tc>
          <w:tcPr>
            <w:tcW w:w="816"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产出数量</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(15分）</w:t>
            </w:r>
          </w:p>
        </w:tc>
        <w:tc>
          <w:tcPr>
            <w:tcW w:w="8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实际完成率</w:t>
            </w:r>
          </w:p>
        </w:tc>
        <w:tc>
          <w:tcPr>
            <w:tcW w:w="2418"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资金拨付率≥90%</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完成情况良好，得13-15分</w:t>
            </w:r>
          </w:p>
        </w:tc>
        <w:tc>
          <w:tcPr>
            <w:tcW w:w="696" w:type="dxa"/>
            <w:vMerge w:val="restart"/>
            <w:tcBorders>
              <w:top w:val="nil"/>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完成情况较好，得11-13分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完成情况一般，得9-11分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nil"/>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完成情况较差，得0-9分</w:t>
            </w:r>
          </w:p>
        </w:tc>
        <w:tc>
          <w:tcPr>
            <w:tcW w:w="696"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产出质量  </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(15分）</w:t>
            </w:r>
          </w:p>
        </w:tc>
        <w:tc>
          <w:tcPr>
            <w:tcW w:w="8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质量达标率</w:t>
            </w:r>
          </w:p>
        </w:tc>
        <w:tc>
          <w:tcPr>
            <w:tcW w:w="24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可行性分析次数≥5次</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完成情况良好，得13-15分</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完成情况较好，得11-13分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完成情况一般，得9-11分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完成情况较差，得0-9分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r>
              <w:rPr>
                <w:rFonts w:hint="eastAsia" w:ascii="宋体" w:hAnsi="宋体" w:cs="宋体"/>
                <w:i w:val="0"/>
                <w:color w:val="000000"/>
                <w:sz w:val="24"/>
                <w:szCs w:val="24"/>
                <w:u w:val="none"/>
                <w:lang w:eastAsia="zh-CN"/>
              </w:rPr>
              <w:t>产出时效（</w:t>
            </w:r>
            <w:r>
              <w:rPr>
                <w:rFonts w:hint="eastAsia" w:ascii="宋体" w:hAnsi="宋体" w:cs="宋体"/>
                <w:i w:val="0"/>
                <w:color w:val="000000"/>
                <w:sz w:val="24"/>
                <w:szCs w:val="24"/>
                <w:u w:val="none"/>
                <w:lang w:val="en-US" w:eastAsia="zh-CN"/>
              </w:rPr>
              <w:t>15分</w:t>
            </w:r>
            <w:r>
              <w:rPr>
                <w:rFonts w:hint="eastAsia" w:ascii="宋体" w:hAnsi="宋体" w:cs="宋体"/>
                <w:i w:val="0"/>
                <w:color w:val="000000"/>
                <w:sz w:val="24"/>
                <w:szCs w:val="24"/>
                <w:u w:val="none"/>
                <w:lang w:eastAsia="zh-CN"/>
              </w:rPr>
              <w:t>）</w:t>
            </w:r>
          </w:p>
        </w:tc>
        <w:tc>
          <w:tcPr>
            <w:tcW w:w="831"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完成及时性</w:t>
            </w:r>
          </w:p>
        </w:tc>
        <w:tc>
          <w:tcPr>
            <w:tcW w:w="2418" w:type="dxa"/>
            <w:vMerge w:val="restart"/>
            <w:tcBorders>
              <w:top w:val="single" w:color="000000" w:sz="4" w:space="0"/>
              <w:left w:val="single" w:color="000000" w:sz="4" w:space="0"/>
              <w:right w:val="single" w:color="000000" w:sz="4" w:space="0"/>
            </w:tcBorders>
            <w:noWrap w:val="0"/>
            <w:vAlign w:val="center"/>
          </w:tcPr>
          <w:p>
            <w:pPr>
              <w:jc w:val="lef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项目</w:t>
            </w:r>
            <w:r>
              <w:rPr>
                <w:rFonts w:hint="eastAsia" w:ascii="宋体" w:hAnsi="宋体" w:eastAsia="宋体" w:cs="宋体"/>
                <w:i w:val="0"/>
                <w:color w:val="000000"/>
                <w:sz w:val="24"/>
                <w:szCs w:val="24"/>
                <w:u w:val="none"/>
                <w:lang w:eastAsia="zh-CN"/>
              </w:rPr>
              <w:t>开展时间</w:t>
            </w:r>
            <w:r>
              <w:rPr>
                <w:rFonts w:hint="eastAsia" w:ascii="宋体" w:hAnsi="宋体" w:eastAsia="宋体" w:cs="宋体"/>
                <w:i w:val="0"/>
                <w:color w:val="000000"/>
                <w:sz w:val="24"/>
                <w:szCs w:val="24"/>
                <w:u w:val="none"/>
                <w:lang w:val="en-US" w:eastAsia="zh-CN"/>
              </w:rPr>
              <w:t>11月前</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完成情况良好，得13-15分</w:t>
            </w:r>
          </w:p>
        </w:tc>
        <w:tc>
          <w:tcPr>
            <w:tcW w:w="696" w:type="dxa"/>
            <w:vMerge w:val="restart"/>
            <w:tcBorders>
              <w:top w:val="single" w:color="000000" w:sz="4" w:space="0"/>
              <w:left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left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完成情况较好，得11-13分</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left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完成情况一般，得9-11分</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完成情况较差，得0-9分</w:t>
            </w:r>
          </w:p>
        </w:tc>
        <w:tc>
          <w:tcPr>
            <w:tcW w:w="696" w:type="dxa"/>
            <w:vMerge w:val="continue"/>
            <w:tcBorders>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restart"/>
            <w:tcBorders>
              <w:top w:val="single" w:color="000000" w:sz="4" w:space="0"/>
              <w:left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产出成本（</w:t>
            </w:r>
            <w:r>
              <w:rPr>
                <w:rFonts w:hint="eastAsia" w:ascii="宋体" w:hAnsi="宋体" w:eastAsia="宋体" w:cs="宋体"/>
                <w:i w:val="0"/>
                <w:color w:val="000000"/>
                <w:sz w:val="24"/>
                <w:szCs w:val="24"/>
                <w:u w:val="none"/>
                <w:lang w:val="en-US" w:eastAsia="zh-CN"/>
              </w:rPr>
              <w:t>15分</w:t>
            </w:r>
            <w:r>
              <w:rPr>
                <w:rFonts w:hint="eastAsia" w:ascii="宋体" w:hAnsi="宋体" w:eastAsia="宋体" w:cs="宋体"/>
                <w:i w:val="0"/>
                <w:color w:val="000000"/>
                <w:sz w:val="24"/>
                <w:szCs w:val="24"/>
                <w:u w:val="none"/>
                <w:lang w:eastAsia="zh-CN"/>
              </w:rPr>
              <w:t>）</w:t>
            </w:r>
          </w:p>
        </w:tc>
        <w:tc>
          <w:tcPr>
            <w:tcW w:w="831"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成本节约率</w:t>
            </w:r>
          </w:p>
        </w:tc>
        <w:tc>
          <w:tcPr>
            <w:tcW w:w="2418" w:type="dxa"/>
            <w:vMerge w:val="restart"/>
            <w:tcBorders>
              <w:top w:val="single" w:color="000000" w:sz="4" w:space="0"/>
              <w:left w:val="single" w:color="000000" w:sz="4" w:space="0"/>
              <w:right w:val="single" w:color="000000" w:sz="4" w:space="0"/>
            </w:tcBorders>
            <w:noWrap w:val="0"/>
            <w:vAlign w:val="center"/>
          </w:tcPr>
          <w:p>
            <w:pPr>
              <w:jc w:val="lef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eastAsia="zh-CN"/>
              </w:rPr>
              <w:t>手机信令数据购买费≤</w:t>
            </w:r>
            <w:r>
              <w:rPr>
                <w:rFonts w:hint="eastAsia" w:ascii="宋体" w:hAnsi="宋体" w:eastAsia="宋体" w:cs="宋体"/>
                <w:i w:val="0"/>
                <w:color w:val="000000"/>
                <w:sz w:val="24"/>
                <w:szCs w:val="24"/>
                <w:u w:val="none"/>
                <w:lang w:val="en-US" w:eastAsia="zh-CN"/>
              </w:rPr>
              <w:t>5万元；专家咨询费、劳务费≤5万元</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完成情况良好，得13-15分</w:t>
            </w:r>
          </w:p>
        </w:tc>
        <w:tc>
          <w:tcPr>
            <w:tcW w:w="696" w:type="dxa"/>
            <w:vMerge w:val="restart"/>
            <w:tcBorders>
              <w:top w:val="single" w:color="000000" w:sz="4" w:space="0"/>
              <w:left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left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left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完成情况较好，得11-13分</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left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left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完成情况一般，得9-11分</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831"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完成情况较差，得0-9分</w:t>
            </w:r>
          </w:p>
        </w:tc>
        <w:tc>
          <w:tcPr>
            <w:tcW w:w="696" w:type="dxa"/>
            <w:vMerge w:val="continue"/>
            <w:tcBorders>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restart"/>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（30分）</w:t>
            </w:r>
          </w:p>
        </w:tc>
        <w:tc>
          <w:tcPr>
            <w:tcW w:w="81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w:t>
            </w:r>
            <w:r>
              <w:rPr>
                <w:rFonts w:hint="eastAsia" w:ascii="宋体" w:hAnsi="宋体" w:cs="宋体"/>
                <w:i w:val="0"/>
                <w:color w:val="000000"/>
                <w:kern w:val="0"/>
                <w:sz w:val="24"/>
                <w:szCs w:val="24"/>
                <w:u w:val="none"/>
                <w:lang w:val="en-US" w:eastAsia="zh-CN" w:bidi="ar"/>
              </w:rPr>
              <w:t>20</w:t>
            </w:r>
            <w:r>
              <w:rPr>
                <w:rFonts w:hint="eastAsia" w:ascii="宋体" w:hAnsi="宋体" w:eastAsia="宋体" w:cs="宋体"/>
                <w:i w:val="0"/>
                <w:color w:val="000000"/>
                <w:kern w:val="0"/>
                <w:sz w:val="24"/>
                <w:szCs w:val="24"/>
                <w:u w:val="none"/>
                <w:lang w:val="en-US" w:eastAsia="zh-CN" w:bidi="ar"/>
              </w:rPr>
              <w:t>分）</w:t>
            </w:r>
          </w:p>
        </w:tc>
        <w:tc>
          <w:tcPr>
            <w:tcW w:w="8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w:t>
            </w:r>
          </w:p>
        </w:tc>
        <w:tc>
          <w:tcPr>
            <w:tcW w:w="24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sz w:val="24"/>
                <w:szCs w:val="24"/>
                <w:u w:val="none"/>
              </w:rPr>
              <w:t>调整线路后线网全年客流量同比增长</w:t>
            </w:r>
            <w:r>
              <w:rPr>
                <w:rFonts w:hint="eastAsia" w:ascii="宋体" w:hAnsi="宋体" w:eastAsia="宋体" w:cs="宋体"/>
                <w:i w:val="0"/>
                <w:color w:val="000000"/>
                <w:kern w:val="0"/>
                <w:sz w:val="24"/>
                <w:szCs w:val="24"/>
                <w:u w:val="none"/>
                <w:lang w:val="en-US" w:eastAsia="zh-CN" w:bidi="ar"/>
              </w:rPr>
              <w:t>≥1%</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完成情况良好，得</w:t>
            </w:r>
            <w:r>
              <w:rPr>
                <w:rFonts w:hint="eastAsia" w:ascii="宋体" w:hAnsi="宋体" w:cs="宋体"/>
                <w:i w:val="0"/>
                <w:color w:val="000000"/>
                <w:kern w:val="0"/>
                <w:sz w:val="24"/>
                <w:szCs w:val="24"/>
                <w:u w:val="none"/>
                <w:lang w:val="en-US" w:eastAsia="zh-CN" w:bidi="ar"/>
              </w:rPr>
              <w:t>17-20</w:t>
            </w:r>
            <w:r>
              <w:rPr>
                <w:rFonts w:hint="eastAsia" w:ascii="宋体" w:hAnsi="宋体" w:eastAsia="宋体" w:cs="宋体"/>
                <w:i w:val="0"/>
                <w:color w:val="000000"/>
                <w:kern w:val="0"/>
                <w:sz w:val="24"/>
                <w:szCs w:val="24"/>
                <w:u w:val="none"/>
                <w:lang w:val="en-US" w:eastAsia="zh-CN" w:bidi="ar"/>
              </w:rPr>
              <w:t>分</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完成情况较好，得</w:t>
            </w:r>
            <w:r>
              <w:rPr>
                <w:rFonts w:hint="eastAsia" w:ascii="宋体" w:hAnsi="宋体" w:cs="宋体"/>
                <w:i w:val="0"/>
                <w:color w:val="000000"/>
                <w:kern w:val="0"/>
                <w:sz w:val="24"/>
                <w:szCs w:val="24"/>
                <w:u w:val="none"/>
                <w:lang w:val="en-US" w:eastAsia="zh-CN" w:bidi="ar"/>
              </w:rPr>
              <w:t>14-17</w:t>
            </w:r>
            <w:r>
              <w:rPr>
                <w:rFonts w:hint="eastAsia" w:ascii="宋体" w:hAnsi="宋体" w:eastAsia="宋体" w:cs="宋体"/>
                <w:i w:val="0"/>
                <w:color w:val="000000"/>
                <w:kern w:val="0"/>
                <w:sz w:val="24"/>
                <w:szCs w:val="24"/>
                <w:u w:val="none"/>
                <w:lang w:val="en-US" w:eastAsia="zh-CN" w:bidi="ar"/>
              </w:rPr>
              <w:t>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完成情况一般，得</w:t>
            </w:r>
            <w:r>
              <w:rPr>
                <w:rFonts w:hint="eastAsia" w:ascii="宋体" w:hAnsi="宋体" w:cs="宋体"/>
                <w:i w:val="0"/>
                <w:color w:val="000000"/>
                <w:kern w:val="0"/>
                <w:sz w:val="24"/>
                <w:szCs w:val="24"/>
                <w:u w:val="none"/>
                <w:lang w:val="en-US" w:eastAsia="zh-CN" w:bidi="ar"/>
              </w:rPr>
              <w:t>11-14</w:t>
            </w:r>
            <w:r>
              <w:rPr>
                <w:rFonts w:hint="eastAsia" w:ascii="宋体" w:hAnsi="宋体" w:eastAsia="宋体" w:cs="宋体"/>
                <w:i w:val="0"/>
                <w:color w:val="000000"/>
                <w:kern w:val="0"/>
                <w:sz w:val="24"/>
                <w:szCs w:val="24"/>
                <w:u w:val="none"/>
                <w:lang w:val="en-US" w:eastAsia="zh-CN" w:bidi="ar"/>
              </w:rPr>
              <w:t>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完成情况较差，得0-</w:t>
            </w:r>
            <w:r>
              <w:rPr>
                <w:rFonts w:hint="eastAsia" w:ascii="宋体" w:hAnsi="宋体" w:cs="宋体"/>
                <w:i w:val="0"/>
                <w:color w:val="000000"/>
                <w:kern w:val="0"/>
                <w:sz w:val="24"/>
                <w:szCs w:val="24"/>
                <w:u w:val="none"/>
                <w:lang w:val="en-US" w:eastAsia="zh-CN" w:bidi="ar"/>
              </w:rPr>
              <w:t>11</w:t>
            </w:r>
            <w:r>
              <w:rPr>
                <w:rFonts w:hint="eastAsia" w:ascii="宋体" w:hAnsi="宋体" w:eastAsia="宋体" w:cs="宋体"/>
                <w:i w:val="0"/>
                <w:color w:val="000000"/>
                <w:kern w:val="0"/>
                <w:sz w:val="24"/>
                <w:szCs w:val="24"/>
                <w:u w:val="none"/>
                <w:lang w:val="en-US" w:eastAsia="zh-CN" w:bidi="ar"/>
              </w:rPr>
              <w:t>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w:t>
            </w:r>
            <w:r>
              <w:rPr>
                <w:rFonts w:hint="eastAsia" w:ascii="宋体" w:hAnsi="宋体" w:cs="宋体"/>
                <w:i w:val="0"/>
                <w:color w:val="000000"/>
                <w:kern w:val="0"/>
                <w:sz w:val="24"/>
                <w:szCs w:val="24"/>
                <w:u w:val="none"/>
                <w:lang w:val="en-US" w:eastAsia="zh-CN" w:bidi="ar"/>
              </w:rPr>
              <w:t>10</w:t>
            </w:r>
            <w:r>
              <w:rPr>
                <w:rFonts w:hint="eastAsia" w:ascii="宋体" w:hAnsi="宋体" w:eastAsia="宋体" w:cs="宋体"/>
                <w:i w:val="0"/>
                <w:color w:val="000000"/>
                <w:kern w:val="0"/>
                <w:sz w:val="24"/>
                <w:szCs w:val="24"/>
                <w:u w:val="none"/>
                <w:lang w:val="en-US" w:eastAsia="zh-CN" w:bidi="ar"/>
              </w:rPr>
              <w:t>分）</w:t>
            </w:r>
          </w:p>
        </w:tc>
        <w:tc>
          <w:tcPr>
            <w:tcW w:w="83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24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境内乘客满意度≥80%</w:t>
            </w: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社会公众满意度在90%以上，得</w:t>
            </w:r>
            <w:r>
              <w:rPr>
                <w:rFonts w:hint="eastAsia" w:ascii="宋体" w:hAnsi="宋体" w:cs="宋体"/>
                <w:i w:val="0"/>
                <w:color w:val="000000"/>
                <w:kern w:val="0"/>
                <w:sz w:val="24"/>
                <w:szCs w:val="24"/>
                <w:u w:val="none"/>
                <w:lang w:val="en-US" w:eastAsia="zh-CN" w:bidi="ar"/>
              </w:rPr>
              <w:t>9</w:t>
            </w:r>
            <w:r>
              <w:rPr>
                <w:rFonts w:hint="eastAsia" w:ascii="宋体" w:hAnsi="宋体" w:eastAsia="宋体" w:cs="宋体"/>
                <w:i w:val="0"/>
                <w:color w:val="000000"/>
                <w:kern w:val="0"/>
                <w:sz w:val="24"/>
                <w:szCs w:val="24"/>
                <w:u w:val="none"/>
                <w:lang w:val="en-US" w:eastAsia="zh-CN" w:bidi="ar"/>
              </w:rPr>
              <w:t>-</w:t>
            </w:r>
            <w:r>
              <w:rPr>
                <w:rFonts w:hint="eastAsia" w:ascii="宋体" w:hAnsi="宋体" w:cs="宋体"/>
                <w:i w:val="0"/>
                <w:color w:val="000000"/>
                <w:kern w:val="0"/>
                <w:sz w:val="24"/>
                <w:szCs w:val="24"/>
                <w:u w:val="none"/>
                <w:lang w:val="en-US" w:eastAsia="zh-CN" w:bidi="ar"/>
              </w:rPr>
              <w:t>1</w:t>
            </w:r>
            <w:r>
              <w:rPr>
                <w:rFonts w:hint="eastAsia" w:ascii="宋体" w:hAnsi="宋体" w:eastAsia="宋体" w:cs="宋体"/>
                <w:i w:val="0"/>
                <w:color w:val="000000"/>
                <w:kern w:val="0"/>
                <w:sz w:val="24"/>
                <w:szCs w:val="24"/>
                <w:u w:val="none"/>
                <w:lang w:val="en-US" w:eastAsia="zh-CN" w:bidi="ar"/>
              </w:rPr>
              <w:t>0分</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社会公众满意度在75%~90%，得</w:t>
            </w:r>
            <w:r>
              <w:rPr>
                <w:rFonts w:hint="eastAsia" w:ascii="宋体" w:hAnsi="宋体" w:cs="宋体"/>
                <w:i w:val="0"/>
                <w:color w:val="000000"/>
                <w:kern w:val="0"/>
                <w:sz w:val="24"/>
                <w:szCs w:val="24"/>
                <w:u w:val="none"/>
                <w:lang w:val="en-US" w:eastAsia="zh-CN" w:bidi="ar"/>
              </w:rPr>
              <w:t>7.5-9</w:t>
            </w:r>
            <w:r>
              <w:rPr>
                <w:rFonts w:hint="eastAsia" w:ascii="宋体" w:hAnsi="宋体" w:eastAsia="宋体" w:cs="宋体"/>
                <w:i w:val="0"/>
                <w:color w:val="000000"/>
                <w:kern w:val="0"/>
                <w:sz w:val="24"/>
                <w:szCs w:val="24"/>
                <w:u w:val="none"/>
                <w:lang w:val="en-US" w:eastAsia="zh-CN" w:bidi="ar"/>
              </w:rPr>
              <w:t>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社会公众满意度在60%~75%，得</w:t>
            </w:r>
            <w:r>
              <w:rPr>
                <w:rFonts w:hint="eastAsia" w:ascii="宋体" w:hAnsi="宋体" w:cs="宋体"/>
                <w:i w:val="0"/>
                <w:color w:val="000000"/>
                <w:kern w:val="0"/>
                <w:sz w:val="24"/>
                <w:szCs w:val="24"/>
                <w:u w:val="none"/>
                <w:lang w:val="en-US" w:eastAsia="zh-CN" w:bidi="ar"/>
              </w:rPr>
              <w:t>6-7.5</w:t>
            </w:r>
            <w:r>
              <w:rPr>
                <w:rFonts w:hint="eastAsia" w:ascii="宋体" w:hAnsi="宋体" w:eastAsia="宋体" w:cs="宋体"/>
                <w:i w:val="0"/>
                <w:color w:val="000000"/>
                <w:kern w:val="0"/>
                <w:sz w:val="24"/>
                <w:szCs w:val="24"/>
                <w:u w:val="none"/>
                <w:lang w:val="en-US" w:eastAsia="zh-CN" w:bidi="ar"/>
              </w:rPr>
              <w:t>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76" w:type="dxa"/>
            <w:vMerge w:val="continue"/>
            <w:tcBorders>
              <w:top w:val="nil"/>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1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color w:val="000000"/>
                <w:sz w:val="24"/>
                <w:szCs w:val="24"/>
                <w:u w:val="none"/>
              </w:rPr>
            </w:pPr>
          </w:p>
        </w:tc>
        <w:tc>
          <w:tcPr>
            <w:tcW w:w="83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4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4"/>
                <w:szCs w:val="24"/>
                <w:u w:val="none"/>
              </w:rPr>
            </w:pPr>
          </w:p>
        </w:tc>
        <w:tc>
          <w:tcPr>
            <w:tcW w:w="258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社会公众满意度在60%以下，得0-</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分</w:t>
            </w: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82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总分</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auto"/>
                <w:sz w:val="24"/>
                <w:szCs w:val="24"/>
                <w:u w:val="none"/>
                <w:lang w:val="en-US" w:eastAsia="zh-CN"/>
              </w:rPr>
              <w:t>100</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仿宋_GB2312" w:hAnsi="仿宋_GB2312" w:eastAsia="仿宋_GB2312" w:cs="仿宋_GB2312"/>
          <w:b w:val="0"/>
          <w:bCs/>
          <w:color w:val="000000"/>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黑体" w:hAnsi="黑体" w:eastAsia="黑体" w:cs="黑体"/>
          <w:b w:val="0"/>
          <w:bCs/>
          <w:color w:val="000000"/>
          <w:kern w:val="0"/>
          <w:sz w:val="32"/>
          <w:szCs w:val="32"/>
          <w:highlight w:val="none"/>
        </w:rPr>
      </w:pPr>
      <w:r>
        <w:rPr>
          <w:rFonts w:hint="eastAsia" w:ascii="黑体" w:hAnsi="黑体" w:eastAsia="黑体" w:cs="黑体"/>
          <w:b w:val="0"/>
          <w:bCs/>
          <w:color w:val="000000"/>
          <w:kern w:val="0"/>
          <w:sz w:val="32"/>
          <w:szCs w:val="32"/>
          <w:highlight w:val="none"/>
        </w:rPr>
        <w:t>四、绩效评价指标分析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（一）项目决策情况。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2024年11月，经党组会议讨论通过，该项目提出了2024年运营计划优化方案，符合当前工作需求，能够有效指导大兴区公共交通持续健康发展。项目经专家同意通过结题评审。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default" w:ascii="仿宋_GB2312" w:hAnsi="仿宋_GB2312" w:eastAsia="仿宋_GB2312" w:cs="仿宋_GB2312"/>
          <w:color w:val="000000"/>
          <w:kern w:val="0"/>
          <w:sz w:val="32"/>
          <w:szCs w:val="32"/>
          <w:highlight w:val="none"/>
          <w:lang w:val="en-US" w:eastAsia="zh-CN"/>
        </w:rPr>
      </w:pPr>
      <w:r>
        <w:rPr>
          <w:rFonts w:hint="default" w:ascii="仿宋_GB2312" w:hAnsi="仿宋_GB2312" w:eastAsia="仿宋_GB2312" w:cs="仿宋_GB2312"/>
          <w:color w:val="000000"/>
          <w:kern w:val="0"/>
          <w:sz w:val="32"/>
          <w:szCs w:val="32"/>
          <w:highlight w:val="none"/>
          <w:lang w:val="en-US" w:eastAsia="zh-CN"/>
        </w:rPr>
        <w:t>同意向</w:t>
      </w:r>
      <w:r>
        <w:rPr>
          <w:rFonts w:hint="eastAsia" w:ascii="仿宋_GB2312" w:hAnsi="仿宋_GB2312" w:eastAsia="仿宋_GB2312" w:cs="仿宋_GB2312"/>
          <w:color w:val="000000"/>
          <w:kern w:val="0"/>
          <w:sz w:val="32"/>
          <w:szCs w:val="32"/>
          <w:highlight w:val="none"/>
          <w:lang w:val="en-US" w:eastAsia="zh-CN"/>
        </w:rPr>
        <w:t>第三方</w:t>
      </w:r>
      <w:r>
        <w:rPr>
          <w:rFonts w:hint="default" w:ascii="仿宋_GB2312" w:hAnsi="仿宋_GB2312" w:eastAsia="仿宋_GB2312" w:cs="仿宋_GB2312"/>
          <w:color w:val="000000"/>
          <w:kern w:val="0"/>
          <w:sz w:val="32"/>
          <w:szCs w:val="32"/>
          <w:highlight w:val="none"/>
          <w:lang w:val="en-US" w:eastAsia="zh-CN"/>
        </w:rPr>
        <w:t>北京工业大学支付9.9万元服务资金。</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right="0" w:rightChars="0" w:firstLine="320" w:firstLineChars="100"/>
        <w:jc w:val="both"/>
        <w:textAlignment w:val="auto"/>
        <w:outlineLvl w:val="0"/>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eastAsia="zh-CN"/>
        </w:rPr>
        <w:t>（二）</w:t>
      </w:r>
      <w:r>
        <w:rPr>
          <w:rFonts w:hint="eastAsia" w:ascii="仿宋_GB2312" w:hAnsi="仿宋_GB2312" w:eastAsia="仿宋_GB2312" w:cs="仿宋_GB2312"/>
          <w:color w:val="000000"/>
          <w:kern w:val="0"/>
          <w:sz w:val="32"/>
          <w:szCs w:val="32"/>
          <w:highlight w:val="none"/>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 xml:space="preserve"> 2024年初，我局通过三方比价，确定第三方咨询机构为北京工业大学。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北京工业大学为开展大兴区境内公交线路及站点专项服务项目，成立区境内公交线路评价及2024年运营计划优化工作团队。</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2024年4月，制作工作大纲和调研大纲，开展线路实地跟车调查，进行第一阶段线路客流测算与班次优化。</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2024年5月，进行第二阶段30条线路的客流测算与班次优化，开展企业座谈会，针对线路进行细致交流。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2024年6月，项目团队进一步与新国线、兴顺达两家企业，沟通各线路调整情况，进一步收集公交企业运营需求，论证运营班次合理性，并开展调整的合理性论证。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2024年8月初，与区交通局、兴顺达、新国线开展公交线路及站点专项服务结果汇报交流，征求区交通局、客管科、企业等部门意见，完善成果。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2024年10月，开展项目成果征求意见会，就大兴区境内公交线路及站点专项服务项目成果征求企业等部门意见。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2024年11月，就大兴区境内公交线路及站点专项服务项目成果征求我局意见，最终项目成果经项目专家评审通过。</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eastAsia="zh-CN"/>
        </w:rPr>
        <w:t>资金拨付率为</w:t>
      </w:r>
      <w:r>
        <w:rPr>
          <w:rFonts w:hint="eastAsia" w:ascii="仿宋_GB2312" w:hAnsi="仿宋_GB2312" w:eastAsia="仿宋_GB2312" w:cs="仿宋_GB2312"/>
          <w:color w:val="000000"/>
          <w:kern w:val="0"/>
          <w:sz w:val="32"/>
          <w:szCs w:val="32"/>
          <w:highlight w:val="none"/>
          <w:lang w:val="en-US" w:eastAsia="zh-CN"/>
        </w:rPr>
        <w:t>100%，召开多方座谈会研究次数5次以上，项目结题时间在2024年11月。</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手机信令数据购买费及专家咨询费、劳务费均在5万元以下。</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0"/>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outlineLvl w:val="0"/>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2024年下半年已根据报告调整部分线路，2024年全年客流量较去年增长约7%。乘客满意度依托境内公交补贴满意度调查，每季度至少邀请乘客填写100份调查问卷，乘客满意度≥80%。</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黑体" w:hAnsi="黑体" w:eastAsia="黑体" w:cs="黑体"/>
          <w:b w:val="0"/>
          <w:bCs/>
          <w:color w:val="000000"/>
          <w:kern w:val="0"/>
          <w:sz w:val="32"/>
          <w:szCs w:val="32"/>
          <w:highlight w:val="none"/>
        </w:rPr>
      </w:pPr>
      <w:r>
        <w:rPr>
          <w:rFonts w:hint="eastAsia" w:ascii="黑体" w:hAnsi="黑体" w:eastAsia="黑体" w:cs="黑体"/>
          <w:b w:val="0"/>
          <w:bCs/>
          <w:color w:val="000000"/>
          <w:kern w:val="0"/>
          <w:sz w:val="32"/>
          <w:szCs w:val="32"/>
          <w:highlight w:val="none"/>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rPr>
          <w:rFonts w:hint="eastAsia" w:ascii="仿宋_GB2312" w:hAnsi="仿宋_GB2312" w:eastAsia="仿宋_GB2312" w:cs="仿宋_GB2312"/>
          <w:b w:val="0"/>
          <w:bCs/>
          <w:color w:val="000000"/>
          <w:kern w:val="0"/>
          <w:sz w:val="32"/>
          <w:szCs w:val="32"/>
          <w:highlight w:val="none"/>
          <w:lang w:val="en-US" w:eastAsia="zh-CN"/>
        </w:rPr>
      </w:pPr>
      <w:r>
        <w:rPr>
          <w:rFonts w:hint="eastAsia" w:ascii="仿宋_GB2312" w:hAnsi="仿宋_GB2312" w:eastAsia="仿宋_GB2312" w:cs="仿宋_GB2312"/>
          <w:b w:val="0"/>
          <w:bCs/>
          <w:color w:val="000000"/>
          <w:kern w:val="0"/>
          <w:sz w:val="32"/>
          <w:szCs w:val="32"/>
          <w:highlight w:val="none"/>
          <w:lang w:val="en-US" w:eastAsia="zh-CN"/>
        </w:rPr>
        <w:t>为了验证该项目的合理性，在部分线路调整方案确定后，同步调整部分线路及运营计划，进行一段时间的试运营，若无大量乘客投诉调整线路，即视为调整线路可行。缺少对调整线路前后客流量变化的测算以及对相应线路的满意度测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rPr>
          <w:rFonts w:hint="eastAsia" w:ascii="仿宋_GB2312" w:hAnsi="仿宋_GB2312" w:eastAsia="仿宋_GB2312" w:cs="仿宋_GB2312"/>
          <w:b w:val="0"/>
          <w:bCs/>
          <w:color w:val="000000"/>
          <w:kern w:val="0"/>
          <w:sz w:val="32"/>
          <w:szCs w:val="32"/>
          <w:highlight w:val="none"/>
          <w:lang w:val="en-US" w:eastAsia="zh-CN"/>
        </w:rPr>
      </w:pPr>
      <w:r>
        <w:rPr>
          <w:rFonts w:hint="eastAsia" w:ascii="仿宋_GB2312" w:hAnsi="仿宋_GB2312" w:eastAsia="仿宋_GB2312" w:cs="仿宋_GB2312"/>
          <w:b w:val="0"/>
          <w:bCs/>
          <w:color w:val="000000"/>
          <w:kern w:val="0"/>
          <w:sz w:val="32"/>
          <w:szCs w:val="32"/>
          <w:highlight w:val="none"/>
          <w:lang w:val="en-US" w:eastAsia="zh-CN"/>
        </w:rPr>
        <w:t>主要原因为调整线路多，调整时间分散，工作量大，专业性强，对人员要求高。</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黑体" w:hAnsi="黑体" w:eastAsia="黑体" w:cs="黑体"/>
          <w:b w:val="0"/>
          <w:bCs/>
          <w:color w:val="000000"/>
          <w:kern w:val="0"/>
          <w:sz w:val="32"/>
          <w:szCs w:val="32"/>
          <w:highlight w:val="none"/>
        </w:rPr>
      </w:pPr>
      <w:r>
        <w:rPr>
          <w:rFonts w:hint="eastAsia" w:ascii="黑体" w:hAnsi="黑体" w:eastAsia="黑体" w:cs="黑体"/>
          <w:b w:val="0"/>
          <w:bCs/>
          <w:color w:val="000000"/>
          <w:kern w:val="0"/>
          <w:sz w:val="32"/>
          <w:szCs w:val="32"/>
          <w:highlight w:val="none"/>
        </w:rPr>
        <w:t>有关建议</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outlineLvl w:val="0"/>
        <w:rPr>
          <w:rFonts w:hint="default" w:ascii="黑体" w:hAnsi="黑体" w:eastAsia="黑体" w:cs="黑体"/>
          <w:b w:val="0"/>
          <w:bCs/>
          <w:color w:val="FF0000"/>
          <w:kern w:val="0"/>
          <w:sz w:val="32"/>
          <w:szCs w:val="32"/>
          <w:highlight w:val="none"/>
          <w:lang w:val="en-US" w:eastAsia="zh-CN"/>
        </w:rPr>
      </w:pPr>
      <w:r>
        <w:rPr>
          <w:rFonts w:hint="eastAsia" w:ascii="黑体" w:hAnsi="黑体" w:eastAsia="黑体" w:cs="黑体"/>
          <w:b w:val="0"/>
          <w:bCs/>
          <w:color w:val="FF0000"/>
          <w:kern w:val="0"/>
          <w:sz w:val="32"/>
          <w:szCs w:val="32"/>
          <w:highlight w:val="none"/>
          <w:lang w:val="en-US" w:eastAsia="zh-CN"/>
        </w:rPr>
        <w:t xml:space="preserve">    </w:t>
      </w:r>
      <w:r>
        <w:rPr>
          <w:rFonts w:hint="eastAsia" w:ascii="仿宋_GB2312" w:hAnsi="仿宋_GB2312" w:eastAsia="仿宋_GB2312" w:cs="仿宋_GB2312"/>
          <w:b w:val="0"/>
          <w:bCs/>
          <w:color w:val="auto"/>
          <w:kern w:val="0"/>
          <w:sz w:val="32"/>
          <w:szCs w:val="32"/>
          <w:highlight w:val="none"/>
          <w:lang w:val="en-US" w:eastAsia="zh-CN"/>
        </w:rPr>
        <w:t>待全部线路调整完后，针对整体调整情况再进行满意度测评。</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黑体" w:hAnsi="黑体" w:eastAsia="黑体" w:cs="黑体"/>
          <w:b w:val="0"/>
          <w:bCs/>
          <w:color w:val="000000"/>
          <w:kern w:val="0"/>
          <w:sz w:val="32"/>
          <w:szCs w:val="32"/>
          <w:highlight w:val="none"/>
        </w:rPr>
      </w:pPr>
      <w:r>
        <w:rPr>
          <w:rFonts w:hint="eastAsia" w:ascii="黑体" w:hAnsi="黑体" w:eastAsia="黑体" w:cs="黑体"/>
          <w:b w:val="0"/>
          <w:bCs/>
          <w:color w:val="000000"/>
          <w:kern w:val="0"/>
          <w:sz w:val="32"/>
          <w:szCs w:val="32"/>
          <w:highlight w:val="none"/>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right="0" w:rightChars="0" w:firstLine="640" w:firstLineChars="200"/>
        <w:jc w:val="both"/>
        <w:textAlignment w:val="auto"/>
        <w:rPr>
          <w:rFonts w:hint="eastAsia" w:ascii="黑体" w:hAnsi="黑体" w:eastAsia="黑体"/>
          <w:sz w:val="30"/>
          <w:szCs w:val="30"/>
          <w:highlight w:val="none"/>
          <w:lang w:val="en-US" w:eastAsia="zh-CN"/>
        </w:rPr>
      </w:pPr>
      <w:r>
        <w:rPr>
          <w:rFonts w:hint="eastAsia" w:ascii="仿宋_GB2312" w:hAnsi="仿宋_GB2312" w:eastAsia="仿宋_GB2312" w:cs="仿宋_GB2312"/>
          <w:b w:val="0"/>
          <w:bCs/>
          <w:color w:val="000000"/>
          <w:kern w:val="0"/>
          <w:sz w:val="32"/>
          <w:szCs w:val="32"/>
          <w:highlight w:val="none"/>
          <w:lang w:val="en-US" w:eastAsia="zh-CN"/>
        </w:rPr>
        <w:t>现以根据报告调整部分线路，2025年将分批次完成全部调整计划，我单位持续关注调整后线路运营情况及社会公众的反响。</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16</w:t>
    </w:r>
    <w:r>
      <w:rPr>
        <w:rFonts w:ascii="宋体" w:hAnsi="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E98A7B"/>
    <w:multiLevelType w:val="singleLevel"/>
    <w:tmpl w:val="B7E98A7B"/>
    <w:lvl w:ilvl="0" w:tentative="0">
      <w:start w:val="6"/>
      <w:numFmt w:val="chineseCounting"/>
      <w:suff w:val="nothing"/>
      <w:lvlText w:val="%1、"/>
      <w:lvlJc w:val="left"/>
      <w:rPr>
        <w:rFonts w:hint="eastAsia"/>
      </w:rPr>
    </w:lvl>
  </w:abstractNum>
  <w:abstractNum w:abstractNumId="1">
    <w:nsid w:val="C35F761B"/>
    <w:multiLevelType w:val="singleLevel"/>
    <w:tmpl w:val="C35F761B"/>
    <w:lvl w:ilvl="0" w:tentative="0">
      <w:start w:val="5"/>
      <w:numFmt w:val="chineseCounting"/>
      <w:suff w:val="nothing"/>
      <w:lvlText w:val="%1、"/>
      <w:lvlJc w:val="left"/>
      <w:rPr>
        <w:rFonts w:hint="eastAsia"/>
      </w:rPr>
    </w:lvl>
  </w:abstractNum>
  <w:abstractNum w:abstractNumId="2">
    <w:nsid w:val="EFFBFC45"/>
    <w:multiLevelType w:val="singleLevel"/>
    <w:tmpl w:val="EFFBFC4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hN2IyOGM3ZmY4NzU0NjgxZGZiYzc2MzlmZDViODAifQ=="/>
  </w:docVars>
  <w:rsids>
    <w:rsidRoot w:val="00000000"/>
    <w:rsid w:val="033C4C72"/>
    <w:rsid w:val="03DA42D3"/>
    <w:rsid w:val="08D950F1"/>
    <w:rsid w:val="0A512204"/>
    <w:rsid w:val="12CE7C70"/>
    <w:rsid w:val="133A3219"/>
    <w:rsid w:val="16D31532"/>
    <w:rsid w:val="17FFF9DD"/>
    <w:rsid w:val="1E5F416F"/>
    <w:rsid w:val="1EFECFF7"/>
    <w:rsid w:val="27795C59"/>
    <w:rsid w:val="28B5798E"/>
    <w:rsid w:val="2D743669"/>
    <w:rsid w:val="317E3A6E"/>
    <w:rsid w:val="33FF3A6A"/>
    <w:rsid w:val="36E23C1F"/>
    <w:rsid w:val="38A61B36"/>
    <w:rsid w:val="3C112178"/>
    <w:rsid w:val="3CA21CCC"/>
    <w:rsid w:val="3CF728FA"/>
    <w:rsid w:val="3DFD8FE6"/>
    <w:rsid w:val="3E964A75"/>
    <w:rsid w:val="438A7C97"/>
    <w:rsid w:val="447D117C"/>
    <w:rsid w:val="4A845DEB"/>
    <w:rsid w:val="4D205AB2"/>
    <w:rsid w:val="4F4B60ED"/>
    <w:rsid w:val="514065A0"/>
    <w:rsid w:val="57A55D95"/>
    <w:rsid w:val="5DFFE83E"/>
    <w:rsid w:val="5E6FF209"/>
    <w:rsid w:val="5E7AD508"/>
    <w:rsid w:val="5E9304DA"/>
    <w:rsid w:val="5EFB1AC5"/>
    <w:rsid w:val="5FFE486C"/>
    <w:rsid w:val="63FCF0E4"/>
    <w:rsid w:val="69A262CD"/>
    <w:rsid w:val="6AEBB5AA"/>
    <w:rsid w:val="6CA72A73"/>
    <w:rsid w:val="6E747590"/>
    <w:rsid w:val="6EDE036F"/>
    <w:rsid w:val="6EFEDCBF"/>
    <w:rsid w:val="72535B88"/>
    <w:rsid w:val="77E787C1"/>
    <w:rsid w:val="797154BA"/>
    <w:rsid w:val="7A71ECE8"/>
    <w:rsid w:val="7A7BE003"/>
    <w:rsid w:val="7AF7EA92"/>
    <w:rsid w:val="7DF77D0A"/>
    <w:rsid w:val="7DFE00D1"/>
    <w:rsid w:val="7EFEDB1C"/>
    <w:rsid w:val="7F7F7C9E"/>
    <w:rsid w:val="7FB25EE2"/>
    <w:rsid w:val="7FBE2D34"/>
    <w:rsid w:val="7FF7E053"/>
    <w:rsid w:val="94F7D73A"/>
    <w:rsid w:val="BBD6156E"/>
    <w:rsid w:val="BEEFF5E1"/>
    <w:rsid w:val="D5C9FC78"/>
    <w:rsid w:val="DD67DC46"/>
    <w:rsid w:val="DDFE4430"/>
    <w:rsid w:val="DFF9550F"/>
    <w:rsid w:val="E3BFDADE"/>
    <w:rsid w:val="EEFF74C7"/>
    <w:rsid w:val="EFE1888C"/>
    <w:rsid w:val="F5EB2433"/>
    <w:rsid w:val="F77F3269"/>
    <w:rsid w:val="F77F74EF"/>
    <w:rsid w:val="FBFF7EAD"/>
    <w:rsid w:val="FCD7C83E"/>
    <w:rsid w:val="FD792138"/>
    <w:rsid w:val="FDBC21B2"/>
    <w:rsid w:val="FEF51836"/>
    <w:rsid w:val="FF3B48FA"/>
    <w:rsid w:val="FF71AF81"/>
    <w:rsid w:val="FFAF57FE"/>
    <w:rsid w:val="FFF4A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3370</Words>
  <Characters>3640</Characters>
  <Lines>0</Lines>
  <Paragraphs>0</Paragraphs>
  <TotalTime>11</TotalTime>
  <ScaleCrop>false</ScaleCrop>
  <LinksUpToDate>false</LinksUpToDate>
  <CharactersWithSpaces>3655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2014-11-02T20:08:00Z</dcterms:created>
  <dc:creator>pc</dc:creator>
  <cp:lastModifiedBy>admin</cp:lastModifiedBy>
  <cp:lastPrinted>2023-02-11T11:44:00Z</cp:lastPrinted>
  <dcterms:modified xsi:type="dcterms:W3CDTF">2025-06-24T08:32:13Z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125F5ECDC96F43A7B03E376D9DEEE923_13</vt:lpwstr>
  </property>
  <property fmtid="{D5CDD505-2E9C-101B-9397-08002B2CF9AE}" pid="4" name="KSOTemplateDocerSaveRecord">
    <vt:lpwstr>eyJoZGlkIjoiNzdiNjQwYmU2ZTNmMDZkOGE1NzMwMDhlMGU1YTM1ODQiLCJ1c2VySWQiOiIyNTg2MjAwMjQifQ==</vt:lpwstr>
  </property>
</Properties>
</file>