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sz w:val="30"/>
          <w:szCs w:val="30"/>
          <w:highlight w:val="none"/>
          <w:lang w:val="en-US" w:eastAsia="zh-CN"/>
        </w:rPr>
      </w:pPr>
      <w:r>
        <w:rPr>
          <w:rFonts w:hint="eastAsia" w:ascii="黑体" w:hAnsi="黑体" w:eastAsia="黑体"/>
          <w:sz w:val="30"/>
          <w:szCs w:val="30"/>
          <w:highlight w:val="none"/>
          <w:lang w:val="en-US" w:eastAsia="zh-CN"/>
        </w:rPr>
        <w:t>附件3-2</w:t>
      </w:r>
    </w:p>
    <w:tbl>
      <w:tblPr>
        <w:tblStyle w:val="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0"/>
        <w:gridCol w:w="1100"/>
        <w:gridCol w:w="1375"/>
        <w:gridCol w:w="3050"/>
        <w:gridCol w:w="3507"/>
        <w:gridCol w:w="1012"/>
        <w:gridCol w:w="1060"/>
        <w:gridCol w:w="658"/>
        <w:gridCol w:w="687"/>
        <w:gridCol w:w="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174" w:type="dxa"/>
            <w:gridSpan w:val="10"/>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br w:type="page"/>
            </w:r>
            <w:r>
              <w:rPr>
                <w:rFonts w:hint="eastAsia" w:ascii="宋体" w:hAnsi="宋体" w:eastAsia="宋体" w:cs="宋体"/>
                <w:b/>
                <w:bCs/>
                <w:i w:val="0"/>
                <w:iCs w:val="0"/>
                <w:color w:val="000000"/>
                <w:kern w:val="0"/>
                <w:sz w:val="24"/>
                <w:szCs w:val="24"/>
                <w:highlight w:val="none"/>
                <w:u w:val="none"/>
                <w:lang w:val="en-US" w:eastAsia="zh-CN" w:bidi="ar"/>
              </w:rPr>
              <w:t>2024年度部门整体绩效评价表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174"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一、当年预算执行情况（20分）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w:t>
            </w:r>
          </w:p>
        </w:tc>
        <w:tc>
          <w:tcPr>
            <w:tcW w:w="1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三级指标</w:t>
            </w:r>
          </w:p>
        </w:tc>
        <w:tc>
          <w:tcPr>
            <w:tcW w:w="30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指标解释</w:t>
            </w:r>
          </w:p>
        </w:tc>
        <w:tc>
          <w:tcPr>
            <w:tcW w:w="35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评分标准</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预算数（万元）</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执行数（万元）</w:t>
            </w: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分值</w:t>
            </w:r>
          </w:p>
        </w:tc>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6" w:hRule="atLeast"/>
        </w:trPr>
        <w:tc>
          <w:tcPr>
            <w:tcW w:w="11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当年预算执行情况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（20分）</w:t>
            </w:r>
          </w:p>
        </w:tc>
        <w:tc>
          <w:tcPr>
            <w:tcW w:w="11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当年预算执行情况（20）</w:t>
            </w:r>
          </w:p>
        </w:tc>
        <w:tc>
          <w:tcPr>
            <w:tcW w:w="1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资金总体</w:t>
            </w:r>
          </w:p>
        </w:tc>
        <w:tc>
          <w:tcPr>
            <w:tcW w:w="3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部门全年执行数与全年预算数的比率。资金总体=基本支出+项目支出+其他</w:t>
            </w:r>
          </w:p>
        </w:tc>
        <w:tc>
          <w:tcPr>
            <w:tcW w:w="35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①得分一档最高不能超过该指标分值上限（20分）。</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②该指标若为正向指标，得分计算方法为：执行数/预算数*20；</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③该指标得分计算资金总体即可，分类支出填写预算数及执行数，无需计算分项执行率；</w:t>
            </w:r>
          </w:p>
          <w:p>
            <w:pPr>
              <w:keepNext w:val="0"/>
              <w:keepLines w:val="0"/>
              <w:widowControl/>
              <w:suppressLineNumbers w:val="0"/>
              <w:jc w:val="left"/>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④若由于年初预算数编制不准确导致执行率过高，在200%-300%（含200%）区间，则按照该指标分值的10%扣分，计算得分率在300%-500%（含300%）区间，则按照该指标分值的20%扣分，计算得分率高于500%（含500%），则按照该指标分值的30%扣分。</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34837.00</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rPr>
              <w:t>33530.8</w:t>
            </w:r>
            <w:r>
              <w:rPr>
                <w:rFonts w:hint="eastAsia" w:ascii="宋体" w:hAnsi="宋体" w:eastAsia="宋体" w:cs="宋体"/>
                <w:i w:val="0"/>
                <w:iCs w:val="0"/>
                <w:color w:val="000000"/>
                <w:sz w:val="21"/>
                <w:szCs w:val="21"/>
                <w:highlight w:val="none"/>
                <w:u w:val="none"/>
                <w:lang w:val="en-US" w:eastAsia="zh-CN"/>
              </w:rPr>
              <w:t>8</w:t>
            </w:r>
          </w:p>
        </w:tc>
        <w:tc>
          <w:tcPr>
            <w:tcW w:w="6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6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96.25%</w:t>
            </w:r>
          </w:p>
        </w:tc>
        <w:tc>
          <w:tcPr>
            <w:tcW w:w="6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19.25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2" w:hRule="atLeast"/>
        </w:trPr>
        <w:tc>
          <w:tcPr>
            <w:tcW w:w="1100"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37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基本支出</w:t>
            </w:r>
          </w:p>
        </w:tc>
        <w:tc>
          <w:tcPr>
            <w:tcW w:w="305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350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012"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3894.76</w:t>
            </w:r>
          </w:p>
        </w:tc>
        <w:tc>
          <w:tcPr>
            <w:tcW w:w="106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3778.39</w:t>
            </w:r>
          </w:p>
        </w:tc>
        <w:tc>
          <w:tcPr>
            <w:tcW w:w="658"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68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25" w:type="dxa"/>
            <w:vMerge w:val="continue"/>
            <w:tcBorders>
              <w:top w:val="single" w:color="auto"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6" w:hRule="atLeast"/>
        </w:trPr>
        <w:tc>
          <w:tcPr>
            <w:tcW w:w="1100"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项目支出</w:t>
            </w:r>
          </w:p>
        </w:tc>
        <w:tc>
          <w:tcPr>
            <w:tcW w:w="3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3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30942.24</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29752.49</w:t>
            </w:r>
          </w:p>
        </w:tc>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62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6" w:hRule="atLeast"/>
        </w:trPr>
        <w:tc>
          <w:tcPr>
            <w:tcW w:w="1100"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其他</w:t>
            </w:r>
          </w:p>
        </w:tc>
        <w:tc>
          <w:tcPr>
            <w:tcW w:w="3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3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0</w:t>
            </w:r>
          </w:p>
        </w:tc>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62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00"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104"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二、整体绩效目标实现情况（60分）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任务名称</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指标名称</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指标内容和指标值</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年度完成情况</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分值</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bookmarkStart w:id="0" w:name="_GoBack"/>
            <w:bookmarkEnd w:id="0"/>
            <w:r>
              <w:rPr>
                <w:rFonts w:hint="eastAsia" w:ascii="宋体" w:hAnsi="宋体" w:eastAsia="宋体" w:cs="宋体"/>
                <w:i w:val="0"/>
                <w:iCs w:val="0"/>
                <w:color w:val="000000"/>
                <w:kern w:val="0"/>
                <w:sz w:val="21"/>
                <w:szCs w:val="21"/>
                <w:highlight w:val="none"/>
                <w:u w:val="none"/>
                <w:lang w:val="en-US" w:eastAsia="zh-CN" w:bidi="ar"/>
              </w:rPr>
              <w:t>整体绩效目标实现情况（60分）</w:t>
            </w: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eastAsia="zh-CN"/>
              </w:rPr>
            </w:pPr>
            <w:r>
              <w:rPr>
                <w:rFonts w:hint="eastAsia" w:ascii="宋体" w:hAnsi="宋体" w:eastAsia="宋体" w:cs="宋体"/>
                <w:i w:val="0"/>
                <w:iCs w:val="0"/>
                <w:color w:val="000000"/>
                <w:sz w:val="21"/>
                <w:szCs w:val="21"/>
                <w:highlight w:val="none"/>
                <w:u w:val="none"/>
                <w:lang w:eastAsia="zh-CN"/>
              </w:rPr>
              <w:t>任务一</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397"/>
              </w:tabs>
              <w:jc w:val="left"/>
              <w:rPr>
                <w:rFonts w:hint="eastAsia" w:ascii="宋体" w:hAnsi="宋体" w:eastAsia="宋体" w:cs="宋体"/>
                <w:i w:val="0"/>
                <w:iCs w:val="0"/>
                <w:color w:val="000000"/>
                <w:sz w:val="21"/>
                <w:szCs w:val="21"/>
                <w:highlight w:val="none"/>
                <w:u w:val="none"/>
                <w:lang w:eastAsia="zh-CN"/>
              </w:rPr>
            </w:pPr>
            <w:r>
              <w:rPr>
                <w:rFonts w:hint="eastAsia" w:ascii="Times New Roman" w:hAnsi="Times New Roman" w:eastAsia="宋体"/>
                <w:sz w:val="21"/>
                <w:szCs w:val="21"/>
                <w:lang w:eastAsia="zh-CN"/>
              </w:rPr>
              <w:t>交通队伍建设</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
              <w:ind w:firstLine="400" w:firstLineChars="200"/>
              <w:jc w:val="both"/>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严格落实交通运输及综合执法队伍工作任务，发挥党员先锋模范作用。</w:t>
            </w:r>
          </w:p>
          <w:p>
            <w:pPr>
              <w:pStyle w:val="6"/>
              <w:ind w:firstLine="400" w:firstLineChars="200"/>
              <w:jc w:val="both"/>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落实国务院印发《提升行政执法质量三年行动计划（2023—2025年）》要求，健全行政执法科技保障，配备移动执法装备，推行行政执法移动应用程序（APP）掌上执法，落实行政执法全程记录制度，提高行政执法质效。</w:t>
            </w:r>
          </w:p>
          <w:p>
            <w:pPr>
              <w:pStyle w:val="6"/>
              <w:ind w:firstLine="400" w:firstLineChars="200"/>
              <w:jc w:val="both"/>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组建一支强有力的交通应急保障队伍，制订更新交通运输行业应急保障预案，做好应急运输保障相关工作。</w:t>
            </w:r>
          </w:p>
          <w:p>
            <w:pPr>
              <w:rPr>
                <w:rFonts w:hint="eastAsia" w:ascii="宋体" w:hAnsi="宋体" w:eastAsia="宋体" w:cs="宋体"/>
                <w:i w:val="0"/>
                <w:iCs w:val="0"/>
                <w:color w:val="000000"/>
                <w:sz w:val="21"/>
                <w:szCs w:val="21"/>
                <w:highlight w:val="none"/>
                <w:u w:val="none"/>
              </w:rPr>
            </w:pP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firstLineChars="200"/>
              <w:rPr>
                <w:rFonts w:hint="eastAsia" w:ascii="宋体" w:hAnsi="宋体" w:eastAsia="宋体" w:cs="宋体"/>
                <w:i w:val="0"/>
                <w:iCs w:val="0"/>
                <w:color w:val="000000"/>
                <w:sz w:val="21"/>
                <w:szCs w:val="21"/>
                <w:highlight w:val="none"/>
                <w:u w:val="none"/>
              </w:rPr>
            </w:pPr>
            <w:r>
              <w:rPr>
                <w:rFonts w:hint="eastAsia" w:ascii="宋体" w:hAnsi="宋体" w:eastAsia="宋体" w:cs="宋体"/>
                <w:kern w:val="0"/>
                <w:sz w:val="20"/>
                <w:szCs w:val="20"/>
                <w:lang w:val="en-US" w:eastAsia="zh-CN" w:bidi="ar-SA"/>
              </w:rPr>
              <w:t>2024年严格落实交通运输及综合执法队伍工作任务，全员配备执法装备，执法人员使用满意度95%以上。推行行政执法移动应用程序掌上执法，落实行政执法全程记录制度，大力提高行政执法质效。根据本单位职责和需要制定应急保障方案，做好应急运输保障相关工作。</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eastAsia="zh-CN"/>
              </w:rPr>
            </w:pPr>
            <w:r>
              <w:rPr>
                <w:rFonts w:hint="eastAsia" w:ascii="宋体" w:hAnsi="宋体" w:eastAsia="宋体" w:cs="宋体"/>
                <w:i w:val="0"/>
                <w:iCs w:val="0"/>
                <w:color w:val="000000"/>
                <w:sz w:val="21"/>
                <w:szCs w:val="21"/>
                <w:highlight w:val="none"/>
                <w:u w:val="none"/>
                <w:lang w:eastAsia="zh-CN"/>
              </w:rPr>
              <w:t>任务二</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Times New Roman" w:hAnsi="Times New Roman" w:eastAsia="宋体"/>
                <w:sz w:val="21"/>
                <w:szCs w:val="21"/>
                <w:lang w:eastAsia="zh-CN"/>
              </w:rPr>
              <w:t>交通运输规划及基础设施建设</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kern w:val="0"/>
                <w:sz w:val="20"/>
                <w:szCs w:val="20"/>
                <w:lang w:val="en-US" w:eastAsia="zh-CN" w:bidi="ar-SA"/>
              </w:rPr>
              <w:t>修缮或翻建100个农村候车亭，对全区1343个农村候车亭进行维护，完成G105京澳路临时公安检查站建设工作，完成G105综检站市政规划综合实施方案的编制工作。</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firstLineChars="200"/>
              <w:rPr>
                <w:rFonts w:hint="eastAsia" w:ascii="宋体" w:hAnsi="宋体" w:eastAsia="宋体" w:cs="宋体"/>
                <w:i w:val="0"/>
                <w:iCs w:val="0"/>
                <w:color w:val="000000"/>
                <w:sz w:val="21"/>
                <w:szCs w:val="21"/>
                <w:highlight w:val="none"/>
                <w:u w:val="none"/>
              </w:rPr>
            </w:pPr>
            <w:r>
              <w:rPr>
                <w:rFonts w:hint="eastAsia" w:ascii="宋体" w:hAnsi="宋体" w:eastAsia="宋体" w:cs="宋体"/>
                <w:kern w:val="0"/>
                <w:sz w:val="20"/>
                <w:szCs w:val="20"/>
                <w:lang w:val="en-US" w:eastAsia="zh-CN" w:bidi="ar-SA"/>
              </w:rPr>
              <w:t>2024年完成100个农村候车亭的修缮或翻建，改善候车亭及站台周边环境；完成全区1343个农村候车亭维修维护保障工作；已完成G105京澳路临时公安检查站建设工作，完成G105综检站市政规划综合实施方案的编制工作。</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eastAsia="zh-CN"/>
              </w:rPr>
            </w:pPr>
            <w:r>
              <w:rPr>
                <w:rFonts w:hint="eastAsia" w:ascii="宋体" w:hAnsi="宋体" w:eastAsia="宋体" w:cs="宋体"/>
                <w:i w:val="0"/>
                <w:iCs w:val="0"/>
                <w:color w:val="000000"/>
                <w:sz w:val="21"/>
                <w:szCs w:val="21"/>
                <w:highlight w:val="none"/>
                <w:u w:val="none"/>
                <w:lang w:eastAsia="zh-CN"/>
              </w:rPr>
              <w:t>任务三</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Times New Roman" w:hAnsi="Times New Roman" w:eastAsia="宋体"/>
                <w:sz w:val="21"/>
                <w:szCs w:val="21"/>
                <w:lang w:eastAsia="zh-CN"/>
              </w:rPr>
              <w:t>行业管理</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
              <w:ind w:firstLine="400" w:firstLineChars="200"/>
              <w:jc w:val="both"/>
              <w:rPr>
                <w:rFonts w:hint="eastAsia" w:ascii="宋体" w:hAnsi="宋体" w:eastAsia="宋体" w:cs="宋体"/>
                <w:i w:val="0"/>
                <w:iCs w:val="0"/>
                <w:color w:val="000000"/>
                <w:sz w:val="21"/>
                <w:szCs w:val="21"/>
                <w:highlight w:val="none"/>
                <w:u w:val="none"/>
              </w:rPr>
            </w:pPr>
            <w:r>
              <w:rPr>
                <w:rFonts w:hint="eastAsia" w:ascii="宋体" w:hAnsi="宋体" w:eastAsia="宋体" w:cs="宋体"/>
                <w:kern w:val="0"/>
                <w:sz w:val="20"/>
                <w:szCs w:val="20"/>
                <w:lang w:val="en-US" w:eastAsia="zh-CN" w:bidi="ar-SA"/>
              </w:rPr>
              <w:t>强化行业管理，优化调整5条公交线路，客运行业双随机及日常检查300户次以上，乘客对公交满意度测评达90%以上。规范道路货物运输行业，对区危化品运输企业监管150户次以上；双随机和日常入户检查达200户次以上。完成2023年度机动车维修行业企业质量信誉考核工作；依照《北京市机动车维修综合监管手册（第一版）》加强对辖区机动车维修企业的监管检查，确保机动车维修行业规范经营，结合“6+4”一体化综合监管和跨部门联合执法检查，全年计划入户检查350户次，非现场检查200户次。</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
              <w:ind w:firstLine="400" w:firstLineChars="200"/>
              <w:jc w:val="both"/>
              <w:rPr>
                <w:rFonts w:hint="default" w:ascii="宋体" w:hAnsi="宋体" w:eastAsia="宋体" w:cs="宋体"/>
                <w:color w:val="auto"/>
                <w:kern w:val="0"/>
                <w:sz w:val="20"/>
                <w:szCs w:val="20"/>
                <w:lang w:val="en-US" w:eastAsia="zh-CN" w:bidi="ar-SA"/>
              </w:rPr>
            </w:pPr>
            <w:r>
              <w:rPr>
                <w:rFonts w:hint="eastAsia" w:ascii="宋体" w:hAnsi="宋体" w:eastAsia="宋体" w:cs="宋体"/>
                <w:color w:val="auto"/>
                <w:kern w:val="0"/>
                <w:sz w:val="20"/>
                <w:szCs w:val="20"/>
                <w:lang w:val="en-US" w:eastAsia="zh-CN" w:bidi="ar-SA"/>
              </w:rPr>
              <w:t>2024</w:t>
            </w:r>
            <w:r>
              <w:rPr>
                <w:rFonts w:hint="default" w:ascii="宋体" w:hAnsi="宋体" w:eastAsia="宋体" w:cs="宋体"/>
                <w:color w:val="auto"/>
                <w:kern w:val="0"/>
                <w:sz w:val="20"/>
                <w:szCs w:val="20"/>
                <w:lang w:val="en-US" w:eastAsia="zh-CN" w:bidi="ar-SA"/>
              </w:rPr>
              <w:t>年完成了</w:t>
            </w:r>
            <w:r>
              <w:rPr>
                <w:rFonts w:hint="eastAsia" w:ascii="宋体" w:hAnsi="宋体" w:eastAsia="宋体" w:cs="宋体"/>
                <w:color w:val="auto"/>
                <w:kern w:val="0"/>
                <w:sz w:val="20"/>
                <w:szCs w:val="20"/>
                <w:lang w:val="en-US" w:eastAsia="zh-CN" w:bidi="ar-SA"/>
              </w:rPr>
              <w:t>6</w:t>
            </w:r>
            <w:r>
              <w:rPr>
                <w:rFonts w:hint="default" w:ascii="宋体" w:hAnsi="宋体" w:eastAsia="宋体" w:cs="宋体"/>
                <w:color w:val="auto"/>
                <w:kern w:val="0"/>
                <w:sz w:val="20"/>
                <w:szCs w:val="20"/>
                <w:lang w:val="en-US" w:eastAsia="zh-CN" w:bidi="ar-SA"/>
              </w:rPr>
              <w:t>条公交线路的优化调整</w:t>
            </w:r>
            <w:r>
              <w:rPr>
                <w:rFonts w:hint="eastAsia" w:ascii="宋体" w:hAnsi="宋体" w:eastAsia="宋体" w:cs="宋体"/>
                <w:color w:val="auto"/>
                <w:kern w:val="0"/>
                <w:sz w:val="20"/>
                <w:szCs w:val="20"/>
                <w:lang w:val="en-US" w:eastAsia="zh-CN" w:bidi="ar-SA"/>
              </w:rPr>
              <w:t>，客运行业双随机检查及日常检查379户次，乘客对公交满意度达到93.77%，增强了客运行业管理。</w:t>
            </w:r>
          </w:p>
          <w:p>
            <w:pPr>
              <w:pStyle w:val="6"/>
              <w:ind w:firstLine="400" w:firstLineChars="200"/>
              <w:jc w:val="both"/>
              <w:rPr>
                <w:rFonts w:hint="eastAsia" w:ascii="宋体" w:hAnsi="宋体" w:eastAsia="宋体" w:cs="宋体"/>
                <w:color w:val="auto"/>
                <w:kern w:val="0"/>
                <w:sz w:val="20"/>
                <w:szCs w:val="20"/>
                <w:lang w:val="en-US" w:eastAsia="zh-CN" w:bidi="ar-SA"/>
              </w:rPr>
            </w:pPr>
            <w:r>
              <w:rPr>
                <w:rFonts w:hint="eastAsia" w:ascii="宋体" w:hAnsi="宋体" w:eastAsia="宋体" w:cs="宋体"/>
                <w:color w:val="auto"/>
                <w:kern w:val="0"/>
                <w:sz w:val="20"/>
                <w:szCs w:val="20"/>
                <w:lang w:val="en-US" w:eastAsia="zh-CN" w:bidi="ar-SA"/>
              </w:rPr>
              <w:t>货运行业全年双随机和日常入户检查达462次，其中危险品运输单位162次，普通货物运输300次。</w:t>
            </w:r>
          </w:p>
          <w:p>
            <w:pPr>
              <w:pStyle w:val="6"/>
              <w:ind w:firstLine="400" w:firstLineChars="200"/>
              <w:jc w:val="both"/>
              <w:rPr>
                <w:rFonts w:hint="eastAsia" w:ascii="宋体" w:hAnsi="宋体" w:eastAsia="宋体" w:cs="宋体"/>
                <w:i w:val="0"/>
                <w:iCs w:val="0"/>
                <w:color w:val="000000"/>
                <w:sz w:val="21"/>
                <w:szCs w:val="21"/>
                <w:highlight w:val="none"/>
                <w:u w:val="none"/>
              </w:rPr>
            </w:pPr>
            <w:r>
              <w:rPr>
                <w:rFonts w:hint="eastAsia" w:ascii="宋体" w:hAnsi="宋体" w:eastAsia="宋体" w:cs="宋体"/>
                <w:color w:val="auto"/>
                <w:kern w:val="0"/>
                <w:sz w:val="20"/>
                <w:szCs w:val="20"/>
                <w:lang w:val="en-US" w:eastAsia="zh-CN" w:bidi="ar-SA"/>
              </w:rPr>
              <w:t>修管行业全年共检查企业531户次，下达责令限期整改通知书38份，对18家企业进行行政处罚。完成了2023年度机动车维修企业质量信誉考核工作，共有521家维修企业参加质量信誉考核，其中评价为3A的企业265家；2A的企业124家；1</w:t>
            </w:r>
            <w:r>
              <w:rPr>
                <w:rFonts w:hint="eastAsia" w:ascii="宋体" w:hAnsi="宋体" w:eastAsia="宋体" w:cs="宋体"/>
                <w:kern w:val="0"/>
                <w:sz w:val="20"/>
                <w:szCs w:val="20"/>
                <w:lang w:val="en-US" w:eastAsia="zh-CN" w:bidi="ar-SA"/>
              </w:rPr>
              <w:t>A的企业75家；B的企业57家。</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eastAsia="zh-CN"/>
              </w:rPr>
            </w:pPr>
            <w:r>
              <w:rPr>
                <w:rFonts w:hint="eastAsia" w:ascii="宋体" w:hAnsi="宋体" w:eastAsia="宋体" w:cs="宋体"/>
                <w:i w:val="0"/>
                <w:iCs w:val="0"/>
                <w:color w:val="000000"/>
                <w:sz w:val="21"/>
                <w:szCs w:val="21"/>
                <w:highlight w:val="none"/>
                <w:u w:val="none"/>
                <w:lang w:eastAsia="zh-CN"/>
              </w:rPr>
              <w:t>任务四</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Times New Roman" w:hAnsi="Times New Roman" w:eastAsia="宋体"/>
                <w:sz w:val="21"/>
                <w:szCs w:val="21"/>
                <w:lang w:eastAsia="zh-CN"/>
              </w:rPr>
              <w:t>交通执法</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6"/>
              <w:ind w:firstLine="400" w:firstLineChars="200"/>
              <w:jc w:val="both"/>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扎实推进交通执法工作。开展联合治超执法行动大于48次；严厉打击道路运输擅自改装违法行为；检查站卸载率达到95%以上；非现场治超执法点位超限率1%以下。路检路查达2000次以上。完善法制审核机制，规范行政执法程序，统一裁量基准。</w:t>
            </w:r>
          </w:p>
          <w:p>
            <w:pPr>
              <w:rPr>
                <w:rFonts w:hint="eastAsia" w:ascii="宋体" w:hAnsi="宋体" w:eastAsia="宋体" w:cs="宋体"/>
                <w:i w:val="0"/>
                <w:iCs w:val="0"/>
                <w:color w:val="000000"/>
                <w:sz w:val="21"/>
                <w:szCs w:val="21"/>
                <w:highlight w:val="none"/>
                <w:u w:val="none"/>
              </w:rPr>
            </w:pPr>
            <w:r>
              <w:rPr>
                <w:rFonts w:hint="eastAsia" w:ascii="宋体" w:hAnsi="宋体" w:eastAsia="宋体" w:cs="宋体"/>
                <w:kern w:val="0"/>
                <w:sz w:val="20"/>
                <w:szCs w:val="20"/>
                <w:lang w:val="en-US" w:eastAsia="zh-CN" w:bidi="ar-SA"/>
              </w:rPr>
              <w:t>完善法制审核机制，规范行政执法程序，统一裁量基准。加快执法处罚系统建设，规范案卷制作，减少案卷错误率，提高成卷质量。</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2024年牵头组织相关职能部门联合治超170余次，普通公路7个非现场点位超限率为0.46%，比去年下降了0.1%，大兴区域内高速公路53个人入口非现场点位超限率仅为0.07%。大兴区域内4家源头区也搅拌站联网率达100%，处罚超限超载货运车辆1624起，其中处罚“百吨王”327起，完成全年任务162%。榆垡和凤河营治超站处罚率和卸载率达100%，全市10个远郊区县排名第一。重大行政执法决定已全部纳入法制审核，利用执法处罚系统进一步规范了执法案卷制作程序，减少案卷错误率，提高了成卷质量。</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eastAsia="zh-CN"/>
              </w:rPr>
            </w:pPr>
            <w:r>
              <w:rPr>
                <w:rFonts w:hint="eastAsia" w:ascii="宋体" w:hAnsi="宋体" w:eastAsia="宋体" w:cs="宋体"/>
                <w:i w:val="0"/>
                <w:iCs w:val="0"/>
                <w:color w:val="000000"/>
                <w:sz w:val="21"/>
                <w:szCs w:val="21"/>
                <w:highlight w:val="none"/>
                <w:u w:val="none"/>
                <w:lang w:eastAsia="zh-CN"/>
              </w:rPr>
              <w:t>任务五</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Times New Roman" w:hAnsi="Times New Roman" w:eastAsia="宋体"/>
                <w:color w:val="auto"/>
                <w:sz w:val="21"/>
                <w:szCs w:val="21"/>
                <w:lang w:eastAsia="zh-CN"/>
              </w:rPr>
              <w:t>行业审批</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firstLineChars="200"/>
              <w:rPr>
                <w:rFonts w:hint="eastAsia" w:ascii="宋体" w:hAnsi="宋体" w:eastAsia="宋体" w:cs="宋体"/>
                <w:i w:val="0"/>
                <w:iCs w:val="0"/>
                <w:color w:val="000000"/>
                <w:sz w:val="21"/>
                <w:szCs w:val="21"/>
                <w:highlight w:val="none"/>
                <w:u w:val="none"/>
              </w:rPr>
            </w:pPr>
            <w:r>
              <w:rPr>
                <w:rFonts w:hint="eastAsia" w:ascii="宋体" w:hAnsi="宋体" w:eastAsia="宋体" w:cs="宋体"/>
                <w:kern w:val="0"/>
                <w:sz w:val="20"/>
                <w:szCs w:val="20"/>
                <w:lang w:val="en-US" w:eastAsia="zh-CN" w:bidi="ar-SA"/>
              </w:rPr>
              <w:t>持续深化放管服改革，优化行业审批流程。坚持道路货物运输经营许可行政审批办结时限0.3个工作日，优化营商环境，提升服务质量，争取全年投诉率低于1%，提高企业和群众的满意度和获得感。</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全年已经优化行业审批流程，压减办理时限。将道路货物运输经营许可行政审批办结时限缩短至0.3个工作日。</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eastAsia="zh-CN"/>
              </w:rPr>
            </w:pPr>
            <w:r>
              <w:rPr>
                <w:rFonts w:hint="eastAsia" w:ascii="宋体" w:hAnsi="宋体" w:eastAsia="宋体" w:cs="宋体"/>
                <w:i w:val="0"/>
                <w:iCs w:val="0"/>
                <w:color w:val="000000"/>
                <w:sz w:val="21"/>
                <w:szCs w:val="21"/>
                <w:highlight w:val="none"/>
                <w:u w:val="none"/>
                <w:lang w:eastAsia="zh-CN"/>
              </w:rPr>
              <w:t>任务六</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Times New Roman" w:hAnsi="Times New Roman" w:eastAsia="宋体"/>
                <w:sz w:val="21"/>
                <w:szCs w:val="21"/>
                <w:lang w:eastAsia="zh-CN"/>
              </w:rPr>
              <w:t>接诉即办</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firstLineChars="200"/>
              <w:rPr>
                <w:rFonts w:hint="eastAsia" w:ascii="宋体" w:hAnsi="宋体" w:eastAsia="宋体" w:cs="宋体"/>
                <w:i w:val="0"/>
                <w:iCs w:val="0"/>
                <w:color w:val="000000"/>
                <w:sz w:val="21"/>
                <w:szCs w:val="21"/>
                <w:highlight w:val="none"/>
                <w:u w:val="none"/>
              </w:rPr>
            </w:pPr>
            <w:r>
              <w:rPr>
                <w:rFonts w:hint="eastAsia" w:ascii="宋体" w:hAnsi="宋体" w:eastAsia="宋体" w:cs="宋体"/>
                <w:kern w:val="0"/>
                <w:sz w:val="20"/>
                <w:szCs w:val="20"/>
                <w:lang w:val="en-US" w:eastAsia="zh-CN" w:bidi="ar-SA"/>
              </w:rPr>
              <w:t>严格落实7*24小时全天候收集诉求，保障电话、网络畅通，第一时间受理相关案件，做到收-派-处-访-督-评的闭环工作机制。坚持“接诉即办”日调度工作，对每日重难点工单进行分析，逐件研讨解决方案，针对属实案件数据进行分析及督办。严格落实“上门见面”机制，切实做到有诉必果。全年案件做到响应率、解决率、满意率平均三率不低于90%。完善交通运行监测调度中心建设工作，完成一平台、四系统、九模块数据搭建工作，形成数字化交通体系。做好一期平台运维工作。</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firstLineChars="200"/>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本年度共受理群众诉求事项9223件，“接诉即办”工作平均响应率100%，平均解决率99.10%，平均满意率99.47%，总分99.80，</w:t>
            </w:r>
            <w:r>
              <w:rPr>
                <w:rFonts w:hint="eastAsia" w:ascii="宋体" w:hAnsi="宋体" w:eastAsia="宋体" w:cs="宋体"/>
                <w:kern w:val="0"/>
                <w:sz w:val="20"/>
                <w:szCs w:val="20"/>
                <w:lang w:val="en-US" w:eastAsia="zh-CN" w:bidi="ar-SA"/>
              </w:rPr>
              <w:t>切实做到收-派-处-访-督-评的闭环工作机制，</w:t>
            </w:r>
            <w:r>
              <w:rPr>
                <w:rFonts w:hint="eastAsia" w:ascii="宋体" w:hAnsi="宋体" w:eastAsia="宋体" w:cs="宋体"/>
                <w:i w:val="0"/>
                <w:iCs w:val="0"/>
                <w:color w:val="000000"/>
                <w:kern w:val="0"/>
                <w:sz w:val="21"/>
                <w:szCs w:val="21"/>
                <w:highlight w:val="none"/>
                <w:u w:val="none"/>
                <w:lang w:val="en-US" w:eastAsia="zh-CN" w:bidi="ar"/>
              </w:rPr>
              <w:t>在全区案件量前20委办局中位列第一。</w:t>
            </w:r>
            <w:r>
              <w:rPr>
                <w:rFonts w:hint="eastAsia" w:ascii="宋体" w:hAnsi="宋体" w:eastAsia="宋体" w:cs="宋体"/>
                <w:kern w:val="0"/>
                <w:sz w:val="20"/>
                <w:szCs w:val="20"/>
                <w:lang w:val="en-US" w:eastAsia="zh-CN" w:bidi="ar-SA"/>
              </w:rPr>
              <w:t>完善交通运行监测调度中心建设工作，做好一期平台运维工作，完成一平台、四系统、九模块数据搭建工作，逐步形成数字化交通体系。</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9032"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273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60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三、预算管理情况（20分）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三级指标</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指标解释</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评分标准</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2023年数据</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2024年数据</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分值</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1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预算管理情况（20分）</w:t>
            </w:r>
          </w:p>
        </w:tc>
        <w:tc>
          <w:tcPr>
            <w:tcW w:w="1100"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财务管理（6）</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财务管理制度健全性</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财务管理制度健全性：部门（单位）为加强财务管理、规范财务行为而制定的管理制度。</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①预算资金管理办法、绩效跟踪管理办法、资产管理办法等各项制度是否健全；</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②部门内部财务管理制度是否完善、合规；</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③会计核算制度是否完整、合规。</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每有一项不合格扣1分，扣完为止。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资金使用合规性和安全性</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资金使用合规性和安全性：部门（单位）使用预算资金是否符合相关的预算财务管理制度的规定，是否符合相关规定的开支范围，用以反映考核部门（单位）预算资金的规范运行和安全运行情况。</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①是否符合国家财经法规和财务管理制度规定以及有关专项资金管理办法的规定；</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②资金的拨付是否有完整的审批程序和手续；</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③项目的重大开支是否经过评估论证；</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④是否符合部门预算批复的用途；</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⑤是否存在截留、挤占、挪用情况；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⑥资金使用是否符合政府采购的程序和流程；</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⑦资金使用是否符合公务卡结算相关制度和规定。</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每有一项不合格扣0.5分，扣完为止。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会计基础信息完善性</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会计基础信息完善性：部门（单位）会计基础信息情况。</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①基础数据信息和会计信息资料是否真实；</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②基础数据信息和会计信息资料是否完整；</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③基础数据信息和会计信息资料是否准确。</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每有一项不合格扣1分，扣完为止。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资产管理（5）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资产管理规范性</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资产管理规范性：部门（单位）的资产是否保持安全完整，资产配置是否合理，资产使用和资产处理是否规范，用以反映和考核部门（单位）资产管理的整体水平。</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①对外投资行为是否经审批，是否存在投资亏损；</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②是否有因管理不当发生严重资产损失和丢失情况；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③是否存在超标准配置资产；</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④资产使用是否规范，是否存在未经批准擅自出租、出借资产行为；</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⑤资产处置是否规范，是否存在不按要求进行报批或资产不公开处置行为；</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⑥其他资产管理制度办法执行情况。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每有一项不合格扣1分，扣完为止。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绩效管理（5）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绩效管理情况</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绩效管理情况：考核部门（单位）在绩效管理信息的汇总和应用情况。</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①部门（单位）是否及时对绩效信息进行汇总分析整理；</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②部门（单位）是否对绩效目标偏离情况及时进行矫正。</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每有一项不合格扣2.5分。</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部门预决算差异率（4）</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部门预决算差异率</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通过年度部门决算与年初部门预算对比，对部门的年度支出情况进行考核，衡量部门预算的约束力。</w:t>
            </w:r>
          </w:p>
        </w:tc>
        <w:tc>
          <w:tcPr>
            <w:tcW w:w="3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部门预决算差异率（绝对值）低于上年的不扣分；高于上年部门预决算差异率，每高出1个百分点扣0.4分，扣完为止。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-5.1%</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-3.75%</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90%</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1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104" w:type="dxa"/>
            <w:gridSpan w:val="6"/>
            <w:tcBorders>
              <w:top w:val="single" w:color="000000" w:sz="4" w:space="0"/>
              <w:left w:val="single" w:color="auto"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20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22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100</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98.85</w:t>
            </w:r>
          </w:p>
        </w:tc>
      </w:tr>
    </w:tbl>
    <w:p>
      <w:pPr>
        <w:rPr>
          <w:rFonts w:hint="eastAsia"/>
          <w:b/>
          <w:bCs/>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填报说明：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default"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1.此表分为三个部分，各部分总体分值已经确定，第一部分总分20分，第二部分总分60分，第三部分总分20分，无需更改。根据各部分得分情况加总得到最终自评得分。资金支出金额应当为部门本级和所属单位2023年度全部支出金额（与决算保持一致）。</w:t>
      </w:r>
      <w:r>
        <w:rPr>
          <w:rFonts w:hint="eastAsia" w:ascii="仿宋_GB2312" w:hAnsi="仿宋_GB2312" w:eastAsia="仿宋_GB2312" w:cs="仿宋_GB2312"/>
          <w:b/>
          <w:bCs/>
          <w:i w:val="0"/>
          <w:iCs w:val="0"/>
          <w:color w:val="000000"/>
          <w:kern w:val="0"/>
          <w:sz w:val="24"/>
          <w:szCs w:val="24"/>
          <w:highlight w:val="none"/>
          <w:u w:val="none"/>
          <w:lang w:val="en-US" w:eastAsia="zh-CN" w:bidi="ar"/>
        </w:rPr>
        <w:t>预算数=年初预算+年中追加-12月1日前追减数。差异率=（预算数-决算数）/预算数*100%，打分时用2023年差异率（绝对值）-2022年差异率（绝对值），相减结果为1%（含）-2%，扣0.4分，2%（含）-3%，扣0.8分，以此类推，每高出1个百分点扣0.4分，扣完为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2.第一部分“当年预算执行情况”与第三部分“预算管理情况”各级指标、指标解释、评分标准、单项指标分值均已确定，填报部门（单位）根据本部门对应年度执行情况进行自我评价打分，评分方式详见指标对应评分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宋体" w:hAnsi="宋体" w:eastAsia="宋体" w:cs="宋体"/>
          <w:i w:val="0"/>
          <w:iCs w:val="0"/>
          <w:color w:val="000000"/>
          <w:kern w:val="0"/>
          <w:sz w:val="22"/>
          <w:szCs w:val="22"/>
          <w:highlight w:val="none"/>
          <w:u w:val="none"/>
          <w:lang w:val="en-US" w:eastAsia="zh-CN" w:bidi="ar"/>
        </w:rPr>
        <w:sectPr>
          <w:footerReference r:id="rId3" w:type="default"/>
          <w:pgSz w:w="16838" w:h="11906" w:orient="landscape"/>
          <w:pgMar w:top="720" w:right="720" w:bottom="720" w:left="720" w:header="851" w:footer="992" w:gutter="0"/>
          <w:cols w:space="425" w:num="1"/>
          <w:docGrid w:type="lines" w:linePitch="312" w:charSpace="0"/>
        </w:sectPr>
      </w:pPr>
      <w:r>
        <w:rPr>
          <w:rFonts w:hint="eastAsia" w:ascii="仿宋_GB2312" w:hAnsi="仿宋_GB2312" w:eastAsia="仿宋_GB2312" w:cs="仿宋_GB2312"/>
          <w:i w:val="0"/>
          <w:iCs w:val="0"/>
          <w:color w:val="000000"/>
          <w:kern w:val="0"/>
          <w:sz w:val="24"/>
          <w:szCs w:val="24"/>
          <w:highlight w:val="none"/>
          <w:u w:val="none"/>
          <w:lang w:val="en-US" w:eastAsia="zh-CN" w:bidi="ar"/>
        </w:rPr>
        <w:t>第二部分“整体绩效目标实现情况”填报分为四步。</w:t>
      </w:r>
      <w:r>
        <w:rPr>
          <w:rFonts w:hint="eastAsia" w:ascii="仿宋_GB2312" w:hAnsi="仿宋_GB2312" w:eastAsia="仿宋_GB2312" w:cs="仿宋_GB2312"/>
          <w:b/>
          <w:bCs/>
          <w:i w:val="0"/>
          <w:iCs w:val="0"/>
          <w:color w:val="000000"/>
          <w:kern w:val="0"/>
          <w:sz w:val="24"/>
          <w:szCs w:val="24"/>
          <w:highlight w:val="none"/>
          <w:u w:val="none"/>
          <w:lang w:val="en-US" w:eastAsia="zh-CN" w:bidi="ar"/>
        </w:rPr>
        <w:t>第一步：</w:t>
      </w:r>
      <w:r>
        <w:rPr>
          <w:rFonts w:hint="eastAsia" w:ascii="仿宋_GB2312" w:hAnsi="仿宋_GB2312" w:eastAsia="仿宋_GB2312" w:cs="仿宋_GB2312"/>
          <w:i w:val="0"/>
          <w:iCs w:val="0"/>
          <w:color w:val="000000"/>
          <w:kern w:val="0"/>
          <w:sz w:val="24"/>
          <w:szCs w:val="24"/>
          <w:highlight w:val="none"/>
          <w:u w:val="none"/>
          <w:lang w:val="en-US" w:eastAsia="zh-CN" w:bidi="ar"/>
        </w:rPr>
        <w:t>“任务名称”“指标名称”“指标内容和指标值”为当年度整体绩效目标申报表中对应内容，即年初申报的目标内容及指标值，将年初申报内容复制到表格中。</w:t>
      </w:r>
      <w:r>
        <w:rPr>
          <w:rFonts w:hint="eastAsia" w:ascii="仿宋_GB2312" w:hAnsi="仿宋_GB2312" w:eastAsia="仿宋_GB2312" w:cs="仿宋_GB2312"/>
          <w:b/>
          <w:bCs/>
          <w:i w:val="0"/>
          <w:iCs w:val="0"/>
          <w:color w:val="000000"/>
          <w:kern w:val="0"/>
          <w:sz w:val="24"/>
          <w:szCs w:val="24"/>
          <w:highlight w:val="none"/>
          <w:u w:val="none"/>
          <w:lang w:val="en-US" w:eastAsia="zh-CN" w:bidi="ar"/>
        </w:rPr>
        <w:t>第二步：</w:t>
      </w:r>
      <w:r>
        <w:rPr>
          <w:rFonts w:hint="eastAsia" w:ascii="仿宋_GB2312" w:hAnsi="仿宋_GB2312" w:eastAsia="仿宋_GB2312" w:cs="仿宋_GB2312"/>
          <w:i w:val="0"/>
          <w:iCs w:val="0"/>
          <w:color w:val="000000"/>
          <w:kern w:val="0"/>
          <w:sz w:val="24"/>
          <w:szCs w:val="24"/>
          <w:highlight w:val="none"/>
          <w:u w:val="none"/>
          <w:lang w:val="en-US" w:eastAsia="zh-CN" w:bidi="ar"/>
        </w:rPr>
        <w:t>“年度完成情况”填写当年度该项指标实际完成情况，完成情况应与指标内容和指标值对应。</w:t>
      </w:r>
      <w:r>
        <w:rPr>
          <w:rFonts w:hint="eastAsia" w:ascii="仿宋_GB2312" w:hAnsi="仿宋_GB2312" w:eastAsia="仿宋_GB2312" w:cs="仿宋_GB2312"/>
          <w:b/>
          <w:bCs/>
          <w:i w:val="0"/>
          <w:iCs w:val="0"/>
          <w:color w:val="000000"/>
          <w:kern w:val="0"/>
          <w:sz w:val="24"/>
          <w:szCs w:val="24"/>
          <w:highlight w:val="none"/>
          <w:u w:val="none"/>
          <w:lang w:val="en-US" w:eastAsia="zh-CN" w:bidi="ar"/>
        </w:rPr>
        <w:t>第三步：</w:t>
      </w:r>
      <w:r>
        <w:rPr>
          <w:rFonts w:hint="eastAsia" w:ascii="仿宋_GB2312" w:hAnsi="仿宋_GB2312" w:eastAsia="仿宋_GB2312" w:cs="仿宋_GB2312"/>
          <w:i w:val="0"/>
          <w:iCs w:val="0"/>
          <w:color w:val="000000"/>
          <w:kern w:val="0"/>
          <w:sz w:val="24"/>
          <w:szCs w:val="24"/>
          <w:highlight w:val="none"/>
          <w:u w:val="none"/>
          <w:lang w:val="en-US" w:eastAsia="zh-CN" w:bidi="ar"/>
        </w:rPr>
        <w:t>为每项指标赋予权重分值，该部分总体分值为60分，各项指标权重分值加和应等于60分。分值分配应体现突出重点、兼顾平均原则，各项指标分值可存在差异但不应差异过大。</w:t>
      </w:r>
      <w:r>
        <w:rPr>
          <w:rFonts w:hint="eastAsia" w:ascii="仿宋_GB2312" w:hAnsi="仿宋_GB2312" w:eastAsia="仿宋_GB2312" w:cs="仿宋_GB2312"/>
          <w:b/>
          <w:bCs/>
          <w:i w:val="0"/>
          <w:iCs w:val="0"/>
          <w:color w:val="000000"/>
          <w:kern w:val="0"/>
          <w:sz w:val="24"/>
          <w:szCs w:val="24"/>
          <w:highlight w:val="none"/>
          <w:u w:val="none"/>
          <w:lang w:val="en-US" w:eastAsia="zh-CN" w:bidi="ar"/>
        </w:rPr>
        <w:t>第四步：</w:t>
      </w:r>
      <w:r>
        <w:rPr>
          <w:rFonts w:hint="eastAsia" w:ascii="仿宋_GB2312" w:hAnsi="仿宋_GB2312" w:eastAsia="仿宋_GB2312" w:cs="仿宋_GB2312"/>
          <w:i w:val="0"/>
          <w:iCs w:val="0"/>
          <w:color w:val="000000"/>
          <w:kern w:val="0"/>
          <w:sz w:val="24"/>
          <w:szCs w:val="24"/>
          <w:highlight w:val="none"/>
          <w:u w:val="none"/>
          <w:lang w:val="en-US" w:eastAsia="zh-CN" w:bidi="ar"/>
        </w:rPr>
        <w:t>根据年度完成情况与年初设置目标进行对比，计算得分率，每项指标分值*得分率即为该项指标最终得分。计算规则如下</w:t>
      </w:r>
      <w:r>
        <w:rPr>
          <w:rFonts w:hint="eastAsia" w:ascii="仿宋_GB2312" w:hAnsi="仿宋_GB2312" w:eastAsia="仿宋_GB2312" w:cs="仿宋_GB2312"/>
          <w:b/>
          <w:bCs/>
          <w:i w:val="0"/>
          <w:iCs w:val="0"/>
          <w:color w:val="000000"/>
          <w:kern w:val="0"/>
          <w:sz w:val="24"/>
          <w:szCs w:val="24"/>
          <w:highlight w:val="none"/>
          <w:u w:val="none"/>
          <w:lang w:val="en-US" w:eastAsia="zh-CN" w:bidi="ar"/>
        </w:rPr>
        <w:t>①</w:t>
      </w:r>
      <w:r>
        <w:rPr>
          <w:rFonts w:hint="eastAsia" w:ascii="仿宋_GB2312" w:hAnsi="仿宋_GB2312" w:eastAsia="仿宋_GB2312" w:cs="仿宋_GB2312"/>
          <w:sz w:val="24"/>
          <w:szCs w:val="24"/>
          <w:highlight w:val="none"/>
          <w:lang w:val="en-US" w:eastAsia="zh-CN"/>
        </w:rPr>
        <w:t>若</w:t>
      </w:r>
      <w:r>
        <w:rPr>
          <w:rFonts w:hint="eastAsia" w:ascii="仿宋_GB2312" w:hAnsi="仿宋_GB2312" w:eastAsia="仿宋_GB2312" w:cs="仿宋_GB2312"/>
          <w:i w:val="0"/>
          <w:iCs w:val="0"/>
          <w:color w:val="000000"/>
          <w:kern w:val="0"/>
          <w:sz w:val="24"/>
          <w:szCs w:val="24"/>
          <w:highlight w:val="none"/>
          <w:u w:val="none"/>
          <w:lang w:val="en-US" w:eastAsia="zh-CN" w:bidi="ar"/>
        </w:rPr>
        <w:t>指标为定量正向指标，则得分率计算方法应用全年实际值（B）/年度指标值（A），若指标为定量反向指标，则得分率计算方法应用年度指标值（A）/全年实际值（B）。</w:t>
      </w:r>
      <w:r>
        <w:rPr>
          <w:rFonts w:hint="eastAsia" w:ascii="仿宋_GB2312" w:hAnsi="仿宋_GB2312" w:eastAsia="仿宋_GB2312" w:cs="仿宋_GB2312"/>
          <w:b/>
          <w:bCs/>
          <w:i w:val="0"/>
          <w:iCs w:val="0"/>
          <w:color w:val="000000"/>
          <w:kern w:val="0"/>
          <w:sz w:val="24"/>
          <w:szCs w:val="24"/>
          <w:highlight w:val="none"/>
          <w:u w:val="none"/>
          <w:lang w:val="en-US" w:eastAsia="zh-CN" w:bidi="ar"/>
        </w:rPr>
        <w:t>②</w:t>
      </w:r>
      <w:r>
        <w:rPr>
          <w:rFonts w:hint="eastAsia" w:ascii="仿宋_GB2312" w:hAnsi="仿宋_GB2312" w:eastAsia="仿宋_GB2312" w:cs="仿宋_GB2312"/>
          <w:i w:val="0"/>
          <w:iCs w:val="0"/>
          <w:color w:val="000000"/>
          <w:kern w:val="0"/>
          <w:sz w:val="24"/>
          <w:szCs w:val="24"/>
          <w:highlight w:val="none"/>
          <w:u w:val="none"/>
          <w:lang w:val="en-US" w:eastAsia="zh-CN" w:bidi="ar"/>
        </w:rPr>
        <w:t>若年初指标值设定偏低导致得分率在200%-300%（含200%）区间，则按照该指标分值的10%扣分，计算得分率在300%-500%（含300%）区间，则按照该指标分值的20%扣分，计算得分率高于500%（含500%），则按照该指标分值的30%扣分。</w:t>
      </w:r>
      <w:r>
        <w:rPr>
          <w:rFonts w:hint="eastAsia" w:ascii="仿宋_GB2312" w:hAnsi="仿宋_GB2312" w:eastAsia="仿宋_GB2312" w:cs="仿宋_GB2312"/>
          <w:b/>
          <w:bCs/>
          <w:i w:val="0"/>
          <w:iCs w:val="0"/>
          <w:color w:val="000000"/>
          <w:kern w:val="0"/>
          <w:sz w:val="24"/>
          <w:szCs w:val="24"/>
          <w:highlight w:val="none"/>
          <w:u w:val="none"/>
          <w:lang w:val="en-US" w:eastAsia="zh-CN" w:bidi="ar"/>
        </w:rPr>
        <w:t>③</w:t>
      </w:r>
      <w:r>
        <w:rPr>
          <w:rFonts w:hint="eastAsia" w:ascii="仿宋_GB2312" w:hAnsi="仿宋_GB2312" w:eastAsia="仿宋_GB2312" w:cs="仿宋_GB2312"/>
          <w:i w:val="0"/>
          <w:iCs w:val="0"/>
          <w:color w:val="000000"/>
          <w:kern w:val="0"/>
          <w:sz w:val="24"/>
          <w:szCs w:val="24"/>
          <w:highlight w:val="none"/>
          <w:u w:val="none"/>
          <w:lang w:val="en-US" w:eastAsia="zh-CN" w:bidi="ar"/>
        </w:rPr>
        <w:t>若为定性指标，则根据完成情况分为“优、良、中、差”四等，“优”获得该项分值90%-100%，“良”获得该项分值80%-90%，“中”获得该项分值60%-80%，“差”获得该项分值0%-60%。</w:t>
      </w:r>
    </w:p>
    <w:p>
      <w:pPr>
        <w:jc w:val="both"/>
        <w:rPr>
          <w:rFonts w:hint="eastAsia" w:ascii="黑体" w:hAnsi="黑体" w:eastAsia="黑体"/>
          <w:sz w:val="30"/>
          <w:szCs w:val="3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16</w:t>
    </w:r>
    <w:r>
      <w:rPr>
        <w:rFonts w:ascii="宋体" w:hAnsi="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1NjdlOTU2ZGI0NzFmZWVhMzhiZjVjMTA1NDlhNmUifQ=="/>
  </w:docVars>
  <w:rsids>
    <w:rsidRoot w:val="00000000"/>
    <w:rsid w:val="03DA42D3"/>
    <w:rsid w:val="046F0577"/>
    <w:rsid w:val="08D950F1"/>
    <w:rsid w:val="0A512204"/>
    <w:rsid w:val="12CE7C70"/>
    <w:rsid w:val="16D31532"/>
    <w:rsid w:val="17FFF9DD"/>
    <w:rsid w:val="1E5F416F"/>
    <w:rsid w:val="27795C59"/>
    <w:rsid w:val="28B5798E"/>
    <w:rsid w:val="2D743669"/>
    <w:rsid w:val="317E3A6E"/>
    <w:rsid w:val="36E23C1F"/>
    <w:rsid w:val="38A61B36"/>
    <w:rsid w:val="3C112178"/>
    <w:rsid w:val="3CA21CCC"/>
    <w:rsid w:val="3FD956E5"/>
    <w:rsid w:val="438A7C97"/>
    <w:rsid w:val="447D117C"/>
    <w:rsid w:val="4A845DEB"/>
    <w:rsid w:val="4CAD7D10"/>
    <w:rsid w:val="4F4B60ED"/>
    <w:rsid w:val="514065A0"/>
    <w:rsid w:val="57A55D95"/>
    <w:rsid w:val="69A262CD"/>
    <w:rsid w:val="6AEBB5AA"/>
    <w:rsid w:val="6C12061C"/>
    <w:rsid w:val="6E747590"/>
    <w:rsid w:val="72535B88"/>
    <w:rsid w:val="769448BA"/>
    <w:rsid w:val="797154BA"/>
    <w:rsid w:val="7A7BE003"/>
    <w:rsid w:val="7FB25EE2"/>
    <w:rsid w:val="7FF7E053"/>
    <w:rsid w:val="94F7D73A"/>
    <w:rsid w:val="BBD6156E"/>
    <w:rsid w:val="F77F3269"/>
    <w:rsid w:val="F77F74EF"/>
    <w:rsid w:val="FF71AF81"/>
    <w:rsid w:val="FFF4A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表格"/>
    <w:basedOn w:val="1"/>
    <w:qFormat/>
    <w:uiPriority w:val="0"/>
    <w:pPr>
      <w:spacing w:line="240" w:lineRule="auto"/>
      <w:ind w:firstLine="0" w:firstLineChars="0"/>
      <w:jc w:val="center"/>
    </w:pPr>
    <w:rPr>
      <w:rFonts w:ascii="Verdana" w:hAnsi="Verdana" w:eastAsia="仿宋_GB2312"/>
      <w:sz w:val="24"/>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4279</Words>
  <Characters>4723</Characters>
  <Lines>0</Lines>
  <Paragraphs>0</Paragraphs>
  <TotalTime>44</TotalTime>
  <ScaleCrop>false</ScaleCrop>
  <LinksUpToDate>false</LinksUpToDate>
  <CharactersWithSpaces>4723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pc</dc:creator>
  <cp:lastModifiedBy>财务</cp:lastModifiedBy>
  <cp:lastPrinted>2025-02-11T07:44:59Z</cp:lastPrinted>
  <dcterms:modified xsi:type="dcterms:W3CDTF">2025-02-11T07:45:09Z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2EF01AAF0421483A9C0AEE0F8F39A374_13</vt:lpwstr>
  </property>
</Properties>
</file>