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方正小标宋简体" w:eastAsia="方正小标宋简体"/>
          <w:sz w:val="36"/>
          <w:szCs w:val="36"/>
          <w:highlight w:val="none"/>
          <w:lang w:val="en-US"/>
        </w:rPr>
      </w:pPr>
      <w:r>
        <w:rPr>
          <w:rFonts w:hint="eastAsia" w:ascii="黑体" w:hAnsi="黑体" w:eastAsia="黑体"/>
          <w:sz w:val="30"/>
          <w:szCs w:val="30"/>
          <w:highlight w:val="none"/>
          <w:lang w:val="en-US" w:eastAsia="zh-CN"/>
        </w:rPr>
        <w:t>附件3-3</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eastAsia="方正小标宋简体"/>
          <w:sz w:val="36"/>
          <w:szCs w:val="36"/>
          <w:highlight w:val="none"/>
        </w:rPr>
      </w:pPr>
      <w:r>
        <w:rPr>
          <w:rFonts w:hint="eastAsia" w:ascii="方正小标宋简体" w:eastAsia="方正小标宋简体"/>
          <w:sz w:val="36"/>
          <w:szCs w:val="36"/>
          <w:highlight w:val="none"/>
        </w:rPr>
        <w:t>部门整体绩效</w:t>
      </w:r>
      <w:r>
        <w:rPr>
          <w:rFonts w:hint="eastAsia" w:ascii="方正小标宋简体" w:eastAsia="方正小标宋简体"/>
          <w:sz w:val="36"/>
          <w:szCs w:val="36"/>
          <w:highlight w:val="none"/>
          <w:lang w:eastAsia="zh-CN"/>
        </w:rPr>
        <w:t>评价</w:t>
      </w:r>
      <w:r>
        <w:rPr>
          <w:rFonts w:hint="eastAsia" w:ascii="方正小标宋简体" w:eastAsia="方正小标宋简体"/>
          <w:sz w:val="36"/>
          <w:szCs w:val="36"/>
          <w:highlight w:val="none"/>
        </w:rPr>
        <w:t>报告</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_GB2312"/>
          <w:szCs w:val="30"/>
          <w:highlight w:val="none"/>
        </w:rPr>
      </w:pP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一、部门概况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楷体_GB2312" w:eastAsia="楷体_GB2312"/>
          <w:sz w:val="32"/>
          <w:szCs w:val="32"/>
          <w:highlight w:val="none"/>
        </w:rPr>
      </w:pPr>
      <w:r>
        <w:rPr>
          <w:rFonts w:hint="eastAsia" w:ascii="楷体_GB2312" w:eastAsia="楷体_GB2312"/>
          <w:sz w:val="32"/>
          <w:szCs w:val="32"/>
          <w:highlight w:val="none"/>
        </w:rPr>
        <w:t>（一）机构设置及职责工作任务情况</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color w:val="FF0000"/>
        </w:rPr>
      </w:pPr>
      <w:r>
        <w:rPr>
          <w:rFonts w:hint="eastAsia" w:ascii="仿宋_GB2312" w:hAnsi="宋体" w:eastAsia="仿宋_GB2312" w:cs="宋体"/>
          <w:color w:val="auto"/>
          <w:kern w:val="0"/>
          <w:sz w:val="32"/>
          <w:szCs w:val="32"/>
          <w:lang w:val="en-US" w:eastAsia="zh-CN"/>
        </w:rPr>
        <w:t>本单位为行政事业单位，共有17个内设机构，分别为：办公室、财务科、综合协调科、投诉办、清城服务中心交通局窗口、安全应急事务中心、客管科、货管科、修管科、执法监督科、执法一队、执法二队、执法三队、执法四队、执法五队、执法六队、案件审理科。</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根据中共北京市委、北京市人民政府批准的《北京市大兴区人民政府机构改革方案》（京办字〔2009〕33号），设立北京市大兴区交通局（简称区交通局）。区交通局是负责本区交通运输管理工作的区政府工作部门，主要职责如下：</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1、贯彻落实国家、北京市关于交通的法律、法规、规章和政策，研究制订本区交通运输行业整体发展的中长期规划，并负责组织实施。</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2、指导本区交通运输行业的体制改革；研究制定交通运输行业的管理办法和措施，引导行业优化结构，协调推进交通运输产业发展。</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3、负责本区交通运输行业管理；负责交通运输行业行政许可及行政性收费工作；参与编制现代物流业发展规划，指导交通运输行业节能减排工作。</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4、依法对辖区内道路货物运输、危险品运输、省际客运、机动车维修进行稽查，负责接待因执法问题来访的群众；负责关于行政执法的复议和应诉。</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5、负责本区交通运输行业安全生产的监管责任，负责交通安全应急方面的组织协调及保障，协助有关部门调查处理交通运输行业重大安全事故，负责重大突发公共事件中的运输组织和交通保障。</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6、负责本区交通科技发展和信息化建设。</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7、负责本区交通行业的宣传教育工作，组织开展交通行业精神文明建设。</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8、负责本区交通运输的组织协调。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9、负责集中行使法律、法规、规章规定应由区级交通管理部门行使的行政处罚权以及与之相关的行政检查、行政强制权、乡村公路路政及相应工程质量监督管理方面的行政执法工作、区域道路、水路、客货运输管理，汽车维修、驾驶员培训、客运出租租赁、地方海事行政、渔船检验监督管理等方面的行政执法工作。</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10、承担区政府交办的其他事项。</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楷体_GB2312" w:eastAsia="楷体_GB2312"/>
          <w:sz w:val="32"/>
          <w:szCs w:val="32"/>
          <w:highlight w:val="none"/>
        </w:rPr>
      </w:pPr>
      <w:r>
        <w:rPr>
          <w:rFonts w:hint="eastAsia" w:ascii="楷体_GB2312" w:eastAsia="楷体_GB2312"/>
          <w:sz w:val="32"/>
          <w:szCs w:val="32"/>
          <w:highlight w:val="none"/>
        </w:rPr>
        <w:t>（二）部门整体绩效目标设立情况</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本单位根据区财政下达的《大兴区预算绩效管理办法》等文件要求，结合科室职责、年度重点任务和年度重点项目，分为交通队伍建设、交通运输规划及基础设施建设、行业管理、交通执法、行业审批、接诉即办6个板块设置绩效目标，目标内容合理，且与科室职责任务匹配度高。</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任务一：交通队伍建设。严格落实交通运输及综合执法队伍工作任务，发挥党员先锋模范作用。落实国务院印发《提升行政执法质量三年行动计划（2023—2025年）》要求，健全行政执法科技保障，配备移动执法装备，推行行政执法移动应用程序（APP）掌上执法，落实行政执法全程记录制度，提高行政执法质效。组建一支强有力的交通应急保障队伍，制订更新交通运输行业应急保障预案，做好应急运输保障相关工作。</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任务二：交通运输规划及基础设施建设。修缮或翻建100个农村候车亭，对全区1343个农村候车亭进行维护，完成G105京澳路临时公安检查站建设工作，完成G105综检站市政规划综合实施方案的编制工作。</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任务三：行业管理。强化行业管理，优化调整5条公交线路，客运行业双随机及日常检查300户次以上，乘客对公交满意度测评达90%以上。规范道路货物运输行业，对区危化品运输企业监管150户次以上；双随机和日常入户检查达200户次以上。完成2023年度机动车维修行业企业质量信誉考核工作；依照《北京市机动车维修综合监管手册（第一版）》加强对辖区机动车维修企业的监管检查，确保机动车维修行业规范经营，结合“6+4”一体化综合监管和跨部门联合执法检查，全年计划入户检查350户次，非现场检查200户次。</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任务四：交通执法。扎实推进交通执法工作。开展联合治超执法行动大于48次；严厉打击道路运输擅自改装违法行为；检查站卸载率达到95%以上；非现场治超执法点位超限率1%以下。路检路查达2000次以上。完善法制审核机制，规范行政执法程序，统一裁量基准。完善法制审核机制，规范行政执法程序，统一裁量基准。加快执法处罚系统建设，规范案卷制作，减少案卷错误率，提高成卷质量。</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任务五：行业审批。持续深化放管服改革，优化行业审批流程。坚持道路货物运输经营许可行政审批办结时限0.3个工作日，优化营商环境，提升服务质量，争取全年投诉率低于1%，提高企业和群众的满意度和获得感。</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任务六：接诉即办。严格落实7*24小时全天候收集诉求，保障电话、网络畅通，第一时间受理相关案件，做到收-派-处-访-督-评的闭环工作机制。坚持“接诉即办”日调度工作，对每日重难点工单进行分析，逐件研讨解决方案，针对属实案件数据进行分析及督办。严格落实“上门见面”机制，切实做到有诉必果。全年案件做到响应率、解决率、满意率平均三率不低于90%。完善交通运行监测调度中心建设工作，完成一平台、四系统、九模块数据搭建工作，形成数字化交通体系。做好一期平台运维工作。</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rPr>
        <w:t>年全年预算数</w:t>
      </w:r>
      <w:r>
        <w:rPr>
          <w:rFonts w:hint="eastAsia" w:ascii="仿宋_GB2312" w:hAnsi="宋体" w:eastAsia="仿宋_GB2312" w:cs="宋体"/>
          <w:color w:val="000000"/>
          <w:kern w:val="0"/>
          <w:sz w:val="32"/>
          <w:szCs w:val="32"/>
          <w:highlight w:val="none"/>
          <w:lang w:val="en-US" w:eastAsia="zh-CN"/>
        </w:rPr>
        <w:t>34837.00</w:t>
      </w:r>
      <w:r>
        <w:rPr>
          <w:rFonts w:hint="eastAsia" w:ascii="仿宋_GB2312" w:hAnsi="宋体" w:eastAsia="仿宋_GB2312" w:cs="宋体"/>
          <w:color w:val="000000"/>
          <w:kern w:val="0"/>
          <w:sz w:val="32"/>
          <w:szCs w:val="32"/>
          <w:highlight w:val="none"/>
        </w:rPr>
        <w:t>万元，其中，基本支出预算数</w:t>
      </w:r>
      <w:r>
        <w:rPr>
          <w:rFonts w:hint="eastAsia" w:ascii="仿宋_GB2312" w:hAnsi="宋体" w:eastAsia="仿宋_GB2312" w:cs="宋体"/>
          <w:color w:val="000000"/>
          <w:kern w:val="0"/>
          <w:sz w:val="32"/>
          <w:szCs w:val="32"/>
          <w:highlight w:val="none"/>
          <w:lang w:val="en-US" w:eastAsia="zh-CN"/>
        </w:rPr>
        <w:t>3894.76</w:t>
      </w:r>
      <w:r>
        <w:rPr>
          <w:rFonts w:hint="eastAsia" w:ascii="仿宋_GB2312" w:hAnsi="宋体" w:eastAsia="仿宋_GB2312" w:cs="宋体"/>
          <w:color w:val="000000"/>
          <w:kern w:val="0"/>
          <w:sz w:val="32"/>
          <w:szCs w:val="32"/>
          <w:highlight w:val="none"/>
        </w:rPr>
        <w:t>万元，项目支出预算数</w:t>
      </w:r>
      <w:r>
        <w:rPr>
          <w:rFonts w:hint="eastAsia" w:ascii="仿宋_GB2312" w:hAnsi="宋体" w:eastAsia="仿宋_GB2312" w:cs="宋体"/>
          <w:color w:val="000000"/>
          <w:kern w:val="0"/>
          <w:sz w:val="32"/>
          <w:szCs w:val="32"/>
          <w:highlight w:val="none"/>
          <w:lang w:val="en-US" w:eastAsia="zh-CN"/>
        </w:rPr>
        <w:t>30942.24</w:t>
      </w:r>
      <w:r>
        <w:rPr>
          <w:rFonts w:hint="eastAsia" w:ascii="仿宋_GB2312" w:hAnsi="宋体" w:eastAsia="仿宋_GB2312" w:cs="宋体"/>
          <w:color w:val="000000"/>
          <w:kern w:val="0"/>
          <w:sz w:val="32"/>
          <w:szCs w:val="32"/>
          <w:highlight w:val="none"/>
        </w:rPr>
        <w:t>万元，其他支出预算数</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color w:val="000000"/>
          <w:kern w:val="0"/>
          <w:sz w:val="32"/>
          <w:szCs w:val="32"/>
          <w:highlight w:val="none"/>
        </w:rPr>
        <w:t>万元。资金总体支出33530.8</w:t>
      </w:r>
      <w:r>
        <w:rPr>
          <w:rFonts w:hint="eastAsia" w:ascii="仿宋_GB2312" w:hAnsi="宋体" w:eastAsia="仿宋_GB2312" w:cs="宋体"/>
          <w:color w:val="000000"/>
          <w:kern w:val="0"/>
          <w:sz w:val="32"/>
          <w:szCs w:val="32"/>
          <w:highlight w:val="none"/>
          <w:lang w:val="en-US" w:eastAsia="zh-CN"/>
        </w:rPr>
        <w:t>8</w:t>
      </w:r>
      <w:r>
        <w:rPr>
          <w:rFonts w:hint="eastAsia"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lang w:val="en-US" w:eastAsia="zh-CN"/>
        </w:rPr>
        <w:t>3778.39</w:t>
      </w:r>
      <w:r>
        <w:rPr>
          <w:rFonts w:hint="eastAsia" w:ascii="仿宋_GB2312" w:hAnsi="宋体" w:eastAsia="仿宋_GB2312" w:cs="宋体"/>
          <w:color w:val="000000"/>
          <w:kern w:val="0"/>
          <w:sz w:val="32"/>
          <w:szCs w:val="32"/>
          <w:highlight w:val="none"/>
        </w:rPr>
        <w:t>万元，项目支出</w:t>
      </w:r>
      <w:r>
        <w:rPr>
          <w:rFonts w:hint="eastAsia" w:ascii="仿宋_GB2312" w:hAnsi="宋体" w:eastAsia="仿宋_GB2312" w:cs="宋体"/>
          <w:color w:val="000000"/>
          <w:kern w:val="0"/>
          <w:sz w:val="32"/>
          <w:szCs w:val="32"/>
          <w:highlight w:val="none"/>
          <w:lang w:val="en-US" w:eastAsia="zh-CN"/>
        </w:rPr>
        <w:t>29752.49</w:t>
      </w:r>
      <w:r>
        <w:rPr>
          <w:rFonts w:hint="eastAsia" w:ascii="仿宋_GB2312" w:hAnsi="宋体" w:eastAsia="仿宋_GB2312" w:cs="宋体"/>
          <w:color w:val="000000"/>
          <w:kern w:val="0"/>
          <w:sz w:val="32"/>
          <w:szCs w:val="32"/>
          <w:highlight w:val="none"/>
        </w:rPr>
        <w:t>万元，其他支出</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color w:val="000000"/>
          <w:kern w:val="0"/>
          <w:sz w:val="32"/>
          <w:szCs w:val="32"/>
          <w:highlight w:val="none"/>
        </w:rPr>
        <w:t>万元。预算执行率为</w:t>
      </w:r>
      <w:r>
        <w:rPr>
          <w:rFonts w:hint="eastAsia" w:ascii="仿宋_GB2312" w:hAnsi="宋体" w:eastAsia="仿宋_GB2312" w:cs="宋体"/>
          <w:color w:val="000000"/>
          <w:kern w:val="0"/>
          <w:sz w:val="32"/>
          <w:szCs w:val="32"/>
          <w:highlight w:val="none"/>
          <w:lang w:val="en-US" w:eastAsia="zh-CN"/>
        </w:rPr>
        <w:t>96.25%</w:t>
      </w:r>
      <w:r>
        <w:rPr>
          <w:rFonts w:hint="eastAsia" w:ascii="仿宋_GB2312" w:hAnsi="宋体" w:eastAsia="仿宋_GB2312" w:cs="宋体"/>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left="105" w:leftChars="50" w:firstLine="480" w:firstLineChars="15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eastAsia="zh-CN"/>
        </w:rPr>
        <w:t>任务一：</w:t>
      </w:r>
      <w:r>
        <w:rPr>
          <w:rFonts w:hint="eastAsia" w:ascii="仿宋_GB2312" w:hAnsi="宋体" w:eastAsia="仿宋_GB2312" w:cs="宋体"/>
          <w:color w:val="000000"/>
          <w:kern w:val="0"/>
          <w:sz w:val="32"/>
          <w:szCs w:val="32"/>
          <w:highlight w:val="none"/>
          <w:lang w:val="en-US" w:eastAsia="zh-CN"/>
        </w:rPr>
        <w:t>2024年严格落实交通运输及综合执法队伍工作任务，全员配备执法装备，执法人员使用满意度95%以上。推行行政执法移动应用程序掌上执法，落实行政执法全程记录制度，大力提高行政执法质效。根据本单位职责和需要制定应急保障方案，做好应急运输保障相关工作。</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任务二：2024年完成100个农村候车亭的修缮或翻建，改善候车亭及站台周边环境；完成全区1343个农村候车亭维修维护保障工作；已完成G105京澳路临时公安检查站建设工作，完成G105综检站市政规划综合实施方案的编制工作。</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任务三：2024</w:t>
      </w:r>
      <w:r>
        <w:rPr>
          <w:rFonts w:hint="default" w:ascii="仿宋_GB2312" w:hAnsi="宋体" w:eastAsia="仿宋_GB2312" w:cs="宋体"/>
          <w:color w:val="000000"/>
          <w:kern w:val="0"/>
          <w:sz w:val="32"/>
          <w:szCs w:val="32"/>
          <w:highlight w:val="none"/>
          <w:lang w:val="en-US" w:eastAsia="zh-CN"/>
        </w:rPr>
        <w:t>年完成了</w:t>
      </w:r>
      <w:r>
        <w:rPr>
          <w:rFonts w:hint="eastAsia" w:ascii="仿宋_GB2312" w:hAnsi="宋体" w:eastAsia="仿宋_GB2312" w:cs="宋体"/>
          <w:color w:val="000000"/>
          <w:kern w:val="0"/>
          <w:sz w:val="32"/>
          <w:szCs w:val="32"/>
          <w:highlight w:val="none"/>
          <w:lang w:val="en-US" w:eastAsia="zh-CN"/>
        </w:rPr>
        <w:t>6</w:t>
      </w:r>
      <w:r>
        <w:rPr>
          <w:rFonts w:hint="default" w:ascii="仿宋_GB2312" w:hAnsi="宋体" w:eastAsia="仿宋_GB2312" w:cs="宋体"/>
          <w:color w:val="000000"/>
          <w:kern w:val="0"/>
          <w:sz w:val="32"/>
          <w:szCs w:val="32"/>
          <w:highlight w:val="none"/>
          <w:lang w:val="en-US" w:eastAsia="zh-CN"/>
        </w:rPr>
        <w:t>条公交线路的优化调整</w:t>
      </w:r>
      <w:r>
        <w:rPr>
          <w:rFonts w:hint="eastAsia" w:ascii="仿宋_GB2312" w:hAnsi="宋体" w:eastAsia="仿宋_GB2312" w:cs="宋体"/>
          <w:color w:val="000000"/>
          <w:kern w:val="0"/>
          <w:sz w:val="32"/>
          <w:szCs w:val="32"/>
          <w:highlight w:val="none"/>
          <w:lang w:val="en-US" w:eastAsia="zh-CN"/>
        </w:rPr>
        <w:t>，客运行业双随机检查及日常检查379户次，乘客对公交满意度达到93.77%，增强了客运行业管理。货运行业全年双随机和日常入户检查达462次，其中危险品运输单位162次，普通货物运输300次。修管行业全年共检查企业531户次，下达责令限期整改通知书38份，对18家企业进行行政处罚。完成了2023年度机动车维修企业质量信誉考核工作，共有521家维修企业参加质量信誉考核，其中评价为3A的企业265家；2A的企业124家；1A的企业75家；B的企业57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任务四：2024年牵头组织相关职能部门联合治超170余次，普通公路7个非现场点位超限率为0.46%，比去年下降了0.1%，大兴区域内高速公路53个人入口非现场点位超限率仅为0.07%。大兴区域内4家源头区也搅拌站联网率达100%，处罚超限超载货运车辆1624起，其中处罚“百吨王”327起，完成全年任务162%。榆垡和凤河营治超站处罚率和卸载率达100%，全市10个远郊区县排名第一。重大行政执法决定已全部纳入法制审核，利用执法处罚系统进一步规范了执法案卷制作程序，减少案卷错误率，提高了成卷质量。</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任务五：全年已经优化行业审批流程，压减办理时限。将道路货物运输经营许可行政审批办结时限缩短至0.3个工作日。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任务六：本年度共受理群众诉求事项9223件，“接诉即办”工作平均响应率100%，平均解决率99.10%，平均满意率99.47%，总分99.80，切实做到收-派-处-访-督-评的闭环工作机制，在全区案件量前20委办局中位列第一。完善交通运行监测调度中心建设工作，做好一期平台运维工作，完成一平台、四系统、九模块数据搭建工作，逐步形成数字化交通体系。</w:t>
      </w:r>
    </w:p>
    <w:p>
      <w:pPr>
        <w:keepNext w:val="0"/>
        <w:keepLines w:val="0"/>
        <w:pageBreakBefore w:val="0"/>
        <w:widowControl w:val="0"/>
        <w:kinsoku/>
        <w:wordWrap/>
        <w:overflowPunct/>
        <w:topLinePunct w:val="0"/>
        <w:autoSpaceDE/>
        <w:autoSpaceDN/>
        <w:bidi w:val="0"/>
        <w:adjustRightInd/>
        <w:snapToGrid/>
        <w:spacing w:line="480" w:lineRule="exact"/>
        <w:ind w:left="105" w:leftChars="50" w:firstLine="480" w:firstLineChars="150"/>
        <w:textAlignment w:val="auto"/>
        <w:rPr>
          <w:rFonts w:ascii="楷体_GB2312" w:eastAsia="楷体_GB2312"/>
          <w:sz w:val="32"/>
          <w:szCs w:val="32"/>
          <w:highlight w:val="none"/>
        </w:rPr>
      </w:pPr>
      <w:r>
        <w:rPr>
          <w:rFonts w:hint="eastAsia" w:ascii="楷体_GB2312" w:eastAsia="楷体_GB2312"/>
          <w:sz w:val="32"/>
          <w:szCs w:val="32"/>
          <w:highlight w:val="none"/>
        </w:rPr>
        <w:t>（二）</w:t>
      </w:r>
      <w:r>
        <w:rPr>
          <w:rFonts w:hint="eastAsia" w:ascii="楷体_GB2312" w:eastAsia="楷体_GB2312"/>
          <w:sz w:val="32"/>
          <w:szCs w:val="32"/>
          <w:highlight w:val="none"/>
          <w:lang w:eastAsia="zh-CN"/>
        </w:rPr>
        <w:t>任务</w:t>
      </w:r>
      <w:r>
        <w:rPr>
          <w:rFonts w:ascii="楷体_GB2312" w:eastAsia="楷体_GB2312"/>
          <w:sz w:val="32"/>
          <w:szCs w:val="32"/>
          <w:highlight w:val="none"/>
        </w:rPr>
        <w:t>实现情况分析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lang w:val="en-US" w:eastAsia="zh-CN"/>
        </w:rPr>
      </w:pPr>
      <w:r>
        <w:rPr>
          <w:rFonts w:hint="eastAsia" w:ascii="仿宋_GB2312" w:hAnsi="宋体" w:eastAsia="仿宋_GB2312" w:cs="宋体"/>
          <w:color w:val="000000"/>
          <w:kern w:val="0"/>
          <w:sz w:val="32"/>
          <w:szCs w:val="32"/>
          <w:highlight w:val="none"/>
          <w:lang w:val="en-US" w:eastAsia="zh-CN"/>
        </w:rPr>
        <w:t>整体绩效目标实现情况优秀，每个任务的绩效目标基本实现。</w:t>
      </w:r>
    </w:p>
    <w:p>
      <w:pPr>
        <w:keepNext w:val="0"/>
        <w:keepLines w:val="0"/>
        <w:pageBreakBefore w:val="0"/>
        <w:widowControl w:val="0"/>
        <w:kinsoku/>
        <w:wordWrap/>
        <w:overflowPunct/>
        <w:topLinePunct w:val="0"/>
        <w:autoSpaceDE/>
        <w:autoSpaceDN/>
        <w:bidi w:val="0"/>
        <w:adjustRightInd/>
        <w:snapToGrid/>
        <w:spacing w:line="480" w:lineRule="exact"/>
        <w:ind w:left="105" w:leftChars="50" w:firstLine="480" w:firstLineChars="150"/>
        <w:textAlignment w:val="auto"/>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pPr>
        <w:keepNext w:val="0"/>
        <w:keepLines w:val="0"/>
        <w:pageBreakBefore w:val="0"/>
        <w:widowControl w:val="0"/>
        <w:kinsoku/>
        <w:wordWrap/>
        <w:overflowPunct/>
        <w:topLinePunct w:val="0"/>
        <w:autoSpaceDE/>
        <w:autoSpaceDN/>
        <w:bidi w:val="0"/>
        <w:adjustRightInd/>
        <w:snapToGrid/>
        <w:spacing w:line="480" w:lineRule="exact"/>
        <w:ind w:left="105" w:leftChars="50" w:firstLine="480" w:firstLineChars="150"/>
        <w:textAlignment w:val="auto"/>
        <w:rPr>
          <w:rFonts w:ascii="楷体_GB2312" w:eastAsia="楷体_GB2312"/>
          <w:sz w:val="32"/>
          <w:szCs w:val="32"/>
          <w:highlight w:val="none"/>
        </w:rPr>
      </w:pPr>
      <w:r>
        <w:rPr>
          <w:rFonts w:hint="eastAsia" w:ascii="楷体_GB2312" w:eastAsia="楷体_GB2312"/>
          <w:sz w:val="32"/>
          <w:szCs w:val="32"/>
          <w:highlight w:val="none"/>
        </w:rPr>
        <w:t>（一）财务管理</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pageBreakBefore w:val="0"/>
        <w:widowControl w:val="0"/>
        <w:kinsoku/>
        <w:wordWrap/>
        <w:overflowPunct/>
        <w:topLinePunct w:val="0"/>
        <w:autoSpaceDE/>
        <w:autoSpaceDN/>
        <w:bidi w:val="0"/>
        <w:adjustRightInd/>
        <w:snapToGrid/>
        <w:spacing w:after="0" w:line="600" w:lineRule="exact"/>
        <w:ind w:firstLine="640" w:firstLineChars="200"/>
        <w:jc w:val="left"/>
        <w:textAlignment w:val="auto"/>
        <w:rPr>
          <w:rFonts w:ascii="仿宋_GB2312" w:hAnsi="宋体" w:eastAsia="仿宋_GB2312" w:cs="宋体"/>
          <w:color w:val="000000"/>
          <w:kern w:val="0"/>
          <w:sz w:val="32"/>
          <w:szCs w:val="32"/>
        </w:rPr>
      </w:pPr>
      <w:r>
        <w:rPr>
          <w:rFonts w:hint="eastAsia" w:ascii="仿宋_GB2312" w:hAnsi="仿宋_GB2312" w:eastAsia="仿宋_GB2312" w:cs="仿宋_GB2312"/>
          <w:bCs/>
          <w:sz w:val="32"/>
          <w:szCs w:val="32"/>
        </w:rPr>
        <w:t>为了强化财务管理、会计监督、预算编制与执行，明确财务资金使用流程，推进财务工作科学化、制度化、规范化，更好促进交通运输事业的发展，根据《中华人民共和国会计法》、财政部《行政事业单位内部控制规范（试行）》、《行政单位财务规则》《北京市大兴区财政局关于进一步规范机关事业单位大额资金等重点预算管理工作中的指导意见（试行）》等制度和规定，结合我局实际</w:t>
      </w:r>
      <w:r>
        <w:rPr>
          <w:rFonts w:hint="eastAsia" w:ascii="仿宋_GB2312" w:hAnsi="宋体" w:eastAsia="仿宋_GB2312" w:cs="宋体"/>
          <w:color w:val="000000"/>
          <w:kern w:val="0"/>
          <w:sz w:val="32"/>
          <w:szCs w:val="32"/>
        </w:rPr>
        <w:t>制定</w:t>
      </w:r>
      <w:r>
        <w:rPr>
          <w:rFonts w:hint="eastAsia" w:ascii="仿宋_GB2312" w:hAnsi="宋体" w:eastAsia="仿宋_GB2312" w:cs="宋体"/>
          <w:color w:val="000000"/>
          <w:kern w:val="0"/>
          <w:sz w:val="32"/>
          <w:szCs w:val="32"/>
          <w:lang w:eastAsia="zh-CN"/>
        </w:rPr>
        <w:t>了财务管理制度。</w:t>
      </w:r>
      <w:r>
        <w:rPr>
          <w:rFonts w:hint="eastAsia" w:ascii="仿宋_GB2312" w:hAnsi="仿宋_GB2312" w:eastAsia="仿宋_GB2312" w:cs="仿宋_GB2312"/>
          <w:color w:val="000000"/>
          <w:sz w:val="32"/>
          <w:szCs w:val="32"/>
        </w:rPr>
        <w:t>预算管理的目标是科学、合理编制预算，严格预算执行，完整、准确、及时编制预算，真实反映单位财务状况。单位的收支活动全部纳入预算管理。预算编制遵循“量入为出、收支平衡”的总原则，实行统一规划、分级管理的预算管理体制。年度决算按照区财政局年度财务决算的部署和要求及时完成财务决算的编报工作。财务决算按照与预算衔接、收支全部纳入的原则进行，做到准确、真实、完整、及时，收支平衡。加强绩效管理，逐步建立“预算编制有目标、预算执行有监控、预算完成有评价、评价结果有反馈、反馈结果有应用”的全过程绩效管理机制。将绩效评价结果作为以后年度编制预算和资金支出的重要依据</w:t>
      </w:r>
      <w:r>
        <w:rPr>
          <w:rFonts w:hint="eastAsia" w:ascii="仿宋_GB2312" w:hAnsi="仿宋_GB2312" w:eastAsia="仿宋_GB2312" w:cs="仿宋_GB2312"/>
          <w:color w:val="000000"/>
          <w:sz w:val="32"/>
          <w:szCs w:val="32"/>
          <w:lang w:eastAsia="zh-CN"/>
        </w:rPr>
        <w:t>。</w:t>
      </w:r>
      <w:r>
        <w:rPr>
          <w:rFonts w:hint="eastAsia" w:ascii="仿宋_GB2312" w:hAnsi="宋体" w:eastAsia="仿宋_GB2312" w:cs="宋体"/>
          <w:color w:val="000000"/>
          <w:kern w:val="0"/>
          <w:sz w:val="32"/>
          <w:szCs w:val="32"/>
          <w:lang w:eastAsia="zh-CN"/>
        </w:rPr>
        <w:t>以本单位的</w:t>
      </w:r>
      <w:r>
        <w:rPr>
          <w:rFonts w:hint="eastAsia" w:ascii="仿宋_GB2312" w:hAnsi="宋体" w:eastAsia="仿宋_GB2312" w:cs="宋体"/>
          <w:color w:val="000000"/>
          <w:kern w:val="0"/>
          <w:sz w:val="32"/>
          <w:szCs w:val="32"/>
        </w:rPr>
        <w:t>财务</w:t>
      </w:r>
      <w:r>
        <w:rPr>
          <w:rFonts w:ascii="仿宋_GB2312" w:hAnsi="宋体" w:eastAsia="仿宋_GB2312" w:cs="宋体"/>
          <w:color w:val="000000"/>
          <w:kern w:val="0"/>
          <w:sz w:val="32"/>
          <w:szCs w:val="32"/>
        </w:rPr>
        <w:t>管理制度</w:t>
      </w:r>
      <w:r>
        <w:rPr>
          <w:rFonts w:hint="eastAsia" w:ascii="仿宋_GB2312" w:hAnsi="宋体" w:eastAsia="仿宋_GB2312" w:cs="宋体"/>
          <w:color w:val="000000"/>
          <w:kern w:val="0"/>
          <w:sz w:val="32"/>
          <w:szCs w:val="32"/>
          <w:lang w:eastAsia="zh-CN"/>
        </w:rPr>
        <w:t>为基础，</w:t>
      </w:r>
      <w:r>
        <w:rPr>
          <w:rFonts w:hint="eastAsia" w:ascii="仿宋_GB2312" w:hAnsi="宋体" w:eastAsia="仿宋_GB2312" w:cs="宋体"/>
          <w:color w:val="000000"/>
          <w:kern w:val="0"/>
          <w:sz w:val="32"/>
          <w:szCs w:val="32"/>
        </w:rPr>
        <w:t>提高</w:t>
      </w:r>
      <w:r>
        <w:rPr>
          <w:rFonts w:hint="eastAsia" w:ascii="仿宋_GB2312" w:hAnsi="宋体" w:eastAsia="仿宋_GB2312" w:cs="宋体"/>
          <w:color w:val="000000"/>
          <w:kern w:val="0"/>
          <w:sz w:val="32"/>
          <w:szCs w:val="32"/>
          <w:lang w:eastAsia="zh-CN"/>
        </w:rPr>
        <w:t>了</w:t>
      </w:r>
      <w:r>
        <w:rPr>
          <w:rFonts w:hint="eastAsia" w:ascii="仿宋_GB2312" w:hAnsi="宋体" w:eastAsia="仿宋_GB2312" w:cs="宋体"/>
          <w:color w:val="000000"/>
          <w:kern w:val="0"/>
          <w:sz w:val="32"/>
          <w:szCs w:val="32"/>
        </w:rPr>
        <w:t>资金使用的社会效益和经济效益</w:t>
      </w:r>
      <w:r>
        <w:rPr>
          <w:rFonts w:hint="eastAsia" w:ascii="仿宋_GB2312" w:hAnsi="宋体" w:eastAsia="仿宋_GB2312" w:cs="宋体"/>
          <w:color w:val="000000"/>
          <w:kern w:val="0"/>
          <w:sz w:val="32"/>
          <w:szCs w:val="32"/>
          <w:lang w:eastAsia="zh-CN"/>
        </w:rPr>
        <w:t>，确保了绩效工作顺利开展</w:t>
      </w:r>
      <w:r>
        <w:rPr>
          <w:rFonts w:hint="eastAsia" w:ascii="仿宋_GB2312" w:hAnsi="宋体" w:eastAsia="仿宋_GB2312" w:cs="宋体"/>
          <w:color w:val="000000"/>
          <w:kern w:val="0"/>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600" w:lineRule="exact"/>
        <w:ind w:left="105" w:leftChars="50" w:right="0" w:rightChars="0" w:firstLine="480" w:firstLineChars="150"/>
        <w:textAlignment w:val="auto"/>
        <w:rPr>
          <w:rFonts w:hint="eastAsia" w:ascii="仿宋_GB2312" w:hAnsi="仿宋_GB2312" w:eastAsia="仿宋_GB2312" w:cs="仿宋_GB2312"/>
          <w:b w:val="0"/>
          <w:bCs w:val="0"/>
          <w:kern w:val="2"/>
          <w:sz w:val="32"/>
          <w:szCs w:val="44"/>
          <w:lang w:val="en-US" w:eastAsia="zh-CN" w:bidi="ar-SA"/>
        </w:rPr>
      </w:pPr>
      <w:r>
        <w:rPr>
          <w:rFonts w:hint="eastAsia" w:ascii="仿宋_GB2312" w:hAnsi="宋体" w:eastAsia="仿宋_GB2312" w:cs="宋体"/>
          <w:color w:val="000000"/>
          <w:kern w:val="0"/>
          <w:sz w:val="32"/>
          <w:szCs w:val="32"/>
        </w:rPr>
        <w:t>资金使用合规性</w:t>
      </w:r>
      <w:r>
        <w:rPr>
          <w:rFonts w:ascii="仿宋_GB2312" w:hAnsi="宋体" w:eastAsia="仿宋_GB2312" w:cs="宋体"/>
          <w:color w:val="000000"/>
          <w:kern w:val="0"/>
          <w:sz w:val="32"/>
          <w:szCs w:val="32"/>
        </w:rPr>
        <w:t>和安全性</w:t>
      </w:r>
    </w:p>
    <w:p>
      <w:pPr>
        <w:pageBreakBefore w:val="0"/>
        <w:kinsoku/>
        <w:wordWrap/>
        <w:overflowPunct/>
        <w:topLinePunct w:val="0"/>
        <w:autoSpaceDE/>
        <w:autoSpaceDN/>
        <w:bidi w:val="0"/>
        <w:adjustRightInd/>
        <w:snapToGrid/>
        <w:spacing w:after="0" w:line="600" w:lineRule="exact"/>
        <w:ind w:firstLine="640" w:firstLineChars="200"/>
        <w:jc w:val="left"/>
        <w:textAlignment w:val="auto"/>
        <w:rPr>
          <w:rFonts w:hint="eastAsia" w:ascii="仿宋_GB2312" w:hAnsi="仿宋_GB2312" w:eastAsia="仿宋_GB2312" w:cs="仿宋_GB2312"/>
          <w:b w:val="0"/>
          <w:sz w:val="32"/>
          <w:szCs w:val="44"/>
          <w:lang w:val="en-US" w:eastAsia="zh-CN"/>
        </w:rPr>
      </w:pPr>
      <w:r>
        <w:rPr>
          <w:rFonts w:hint="eastAsia" w:ascii="仿宋_GB2312" w:hAnsi="仿宋_GB2312" w:eastAsia="仿宋_GB2312" w:cs="仿宋_GB2312"/>
          <w:sz w:val="32"/>
          <w:szCs w:val="32"/>
          <w:lang w:eastAsia="zh-CN"/>
        </w:rPr>
        <w:t>资金使用</w:t>
      </w:r>
      <w:r>
        <w:rPr>
          <w:rFonts w:hint="eastAsia" w:ascii="仿宋_GB2312" w:hAnsi="仿宋_GB2312" w:eastAsia="仿宋_GB2312" w:cs="仿宋_GB2312"/>
          <w:sz w:val="32"/>
          <w:szCs w:val="32"/>
        </w:rPr>
        <w:t>严格按照“三重一大”领导班子集体领导下的分级授权管理</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按照批准后的预算方案严格执行，确保支出不超预算额度。无预算或预算不足的，应先履行预算追加或调整程序取得预算后，方可履行资金支付审批程序。严禁无预算支出。</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rPr>
        <w:t>支出遵循节约原则，提高资金使用效益，规范预算执行，保障本单位正常运转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强化财务支出分析与控制，降低财务支出风险，</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资金使用相关</w:t>
      </w:r>
      <w:r>
        <w:rPr>
          <w:rFonts w:hint="eastAsia" w:ascii="仿宋_GB2312" w:hAnsi="仿宋_GB2312" w:eastAsia="仿宋_GB2312" w:cs="仿宋_GB2312"/>
          <w:sz w:val="32"/>
          <w:szCs w:val="32"/>
        </w:rPr>
        <w:t>监督检查</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b w:val="0"/>
          <w:sz w:val="32"/>
          <w:szCs w:val="44"/>
          <w:lang w:val="en-US" w:eastAsia="zh-CN"/>
        </w:rPr>
      </w:pPr>
      <w:r>
        <w:rPr>
          <w:rFonts w:hint="eastAsia" w:ascii="仿宋_GB2312" w:hAnsi="仿宋_GB2312" w:eastAsia="仿宋_GB2312" w:cs="仿宋_GB2312"/>
          <w:b w:val="0"/>
          <w:sz w:val="32"/>
          <w:szCs w:val="44"/>
          <w:lang w:val="en-US" w:eastAsia="zh-CN"/>
        </w:rPr>
        <w:t>3.会计基础信息完善性</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ascii="仿宋_GB2312" w:hAnsi="宋体" w:eastAsia="仿宋_GB2312" w:cs="宋体"/>
          <w:color w:val="000000"/>
          <w:kern w:val="0"/>
          <w:sz w:val="32"/>
          <w:szCs w:val="32"/>
          <w:highlight w:val="none"/>
        </w:rPr>
      </w:pPr>
      <w:r>
        <w:rPr>
          <w:rFonts w:hint="eastAsia" w:ascii="仿宋_GB2312" w:hAnsi="仿宋_GB2312" w:eastAsia="仿宋_GB2312" w:cs="仿宋_GB2312"/>
          <w:b w:val="0"/>
          <w:sz w:val="32"/>
          <w:szCs w:val="44"/>
        </w:rPr>
        <w:t>根据《中华人民共和国会计法》、财政部《会计基础规范》等国家统一的会计和财务制度，按照内部控制工作要求，加强内部财务管理，</w:t>
      </w:r>
      <w:r>
        <w:rPr>
          <w:rFonts w:hint="eastAsia" w:ascii="仿宋" w:hAnsi="仿宋" w:eastAsia="仿宋_GB2312"/>
          <w:b w:val="0"/>
          <w:sz w:val="32"/>
          <w:szCs w:val="44"/>
        </w:rPr>
        <w:t>加强财务监督，提高资金使用效益，</w:t>
      </w:r>
      <w:r>
        <w:rPr>
          <w:rFonts w:hint="eastAsia" w:ascii="仿宋_GB2312" w:hAnsi="仿宋_GB2312" w:eastAsia="仿宋_GB2312" w:cs="仿宋_GB2312"/>
          <w:b w:val="0"/>
          <w:sz w:val="32"/>
          <w:szCs w:val="44"/>
        </w:rPr>
        <w:t>促进交通运输事业的发展，</w:t>
      </w:r>
      <w:r>
        <w:rPr>
          <w:rFonts w:hint="eastAsia" w:ascii="仿宋_GB2312" w:hAnsi="仿宋_GB2312" w:eastAsia="仿宋_GB2312" w:cs="仿宋_GB2312"/>
          <w:b w:val="0"/>
          <w:sz w:val="32"/>
          <w:szCs w:val="44"/>
          <w:lang w:eastAsia="zh-CN"/>
        </w:rPr>
        <w:t>结合本单位实际制定了会计制度并</w:t>
      </w:r>
      <w:r>
        <w:rPr>
          <w:rFonts w:hint="eastAsia" w:ascii="仿宋_GB2312" w:hAnsi="仿宋_GB2312" w:eastAsia="仿宋_GB2312" w:cs="仿宋_GB2312"/>
          <w:b w:val="0"/>
          <w:sz w:val="32"/>
          <w:szCs w:val="44"/>
          <w:lang w:val="en-US" w:eastAsia="zh-CN"/>
        </w:rPr>
        <w:t>严格执行政府会计制度准则，确保基础数据和会计信息资料真实、完整、准确。加强对会计人员的职业道德教育和业务培训，提升业务素质。本单位的日常核算资料，是编报财政财务收支情况和各级领导机关指导预算执行的重要依据，并为编制后续年度预算提供了参考和依据。</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105" w:leftChars="50" w:firstLine="480" w:firstLineChars="150"/>
        <w:textAlignment w:val="auto"/>
        <w:rPr>
          <w:rFonts w:hint="eastAsia" w:ascii="楷体_GB2312" w:eastAsia="楷体_GB2312"/>
          <w:sz w:val="32"/>
          <w:szCs w:val="32"/>
          <w:highlight w:val="none"/>
        </w:rPr>
      </w:pPr>
      <w:r>
        <w:rPr>
          <w:rFonts w:hint="eastAsia" w:ascii="楷体_GB2312" w:eastAsia="楷体_GB2312"/>
          <w:sz w:val="32"/>
          <w:szCs w:val="32"/>
          <w:highlight w:val="none"/>
        </w:rPr>
        <w:t>资产管理</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b w:val="0"/>
          <w:sz w:val="32"/>
          <w:szCs w:val="44"/>
          <w:lang w:val="en-US" w:eastAsia="zh-CN"/>
        </w:rPr>
      </w:pPr>
      <w:r>
        <w:rPr>
          <w:rFonts w:hint="eastAsia" w:ascii="仿宋_GB2312" w:hAnsi="仿宋_GB2312" w:eastAsia="仿宋_GB2312" w:cs="仿宋_GB2312"/>
          <w:b w:val="0"/>
          <w:sz w:val="32"/>
          <w:szCs w:val="44"/>
          <w:lang w:val="en-US" w:eastAsia="zh-CN"/>
        </w:rPr>
        <w:t>为加强我局国有资产管理，根据《</w:t>
      </w:r>
      <w:r>
        <w:rPr>
          <w:rFonts w:hint="eastAsia" w:ascii="仿宋_GB2312" w:hAnsi="仿宋_GB2312" w:eastAsia="仿宋_GB2312" w:cs="仿宋_GB2312"/>
          <w:b w:val="0"/>
          <w:sz w:val="32"/>
          <w:szCs w:val="44"/>
          <w:lang w:val="en-US" w:eastAsia="zh-CN"/>
        </w:rPr>
        <w:fldChar w:fldCharType="begin"/>
      </w:r>
      <w:r>
        <w:rPr>
          <w:rFonts w:hint="eastAsia" w:ascii="仿宋_GB2312" w:hAnsi="仿宋_GB2312" w:eastAsia="仿宋_GB2312" w:cs="仿宋_GB2312"/>
          <w:b w:val="0"/>
          <w:sz w:val="32"/>
          <w:szCs w:val="44"/>
          <w:lang w:val="en-US" w:eastAsia="zh-CN"/>
        </w:rPr>
        <w:instrText xml:space="preserve"> HYPERLINK "http://code.fabao365.com/search/wd=%E8%A1%8C%E6%94%BF%E5%8D%95%E4%BD%8D%E5%9B%BD%E6%9C%89%E8%B5%84%E4%BA%A7%E7%AE%A1%E7%90%86%E6%9A%82%E8%A1%8C%E5%8A%9E%E6%B3%95" \t "_blank" \o "搜索：行政单位国有资产管理暂行办法" </w:instrText>
      </w:r>
      <w:r>
        <w:rPr>
          <w:rFonts w:hint="eastAsia" w:ascii="仿宋_GB2312" w:hAnsi="仿宋_GB2312" w:eastAsia="仿宋_GB2312" w:cs="仿宋_GB2312"/>
          <w:b w:val="0"/>
          <w:sz w:val="32"/>
          <w:szCs w:val="44"/>
          <w:lang w:val="en-US" w:eastAsia="zh-CN"/>
        </w:rPr>
        <w:fldChar w:fldCharType="separate"/>
      </w:r>
      <w:r>
        <w:rPr>
          <w:rFonts w:hint="eastAsia" w:ascii="仿宋_GB2312" w:hAnsi="仿宋_GB2312" w:eastAsia="仿宋_GB2312" w:cs="仿宋_GB2312"/>
          <w:b w:val="0"/>
          <w:sz w:val="32"/>
          <w:szCs w:val="44"/>
          <w:lang w:val="en-US" w:eastAsia="zh-CN"/>
        </w:rPr>
        <w:t>大兴区行政事业单位固定资产管理暂行办法</w:t>
      </w:r>
      <w:r>
        <w:rPr>
          <w:rFonts w:hint="eastAsia" w:ascii="仿宋_GB2312" w:hAnsi="仿宋_GB2312" w:eastAsia="仿宋_GB2312" w:cs="仿宋_GB2312"/>
          <w:b w:val="0"/>
          <w:sz w:val="32"/>
          <w:szCs w:val="44"/>
          <w:lang w:val="en-US" w:eastAsia="zh-CN"/>
        </w:rPr>
        <w:fldChar w:fldCharType="end"/>
      </w:r>
      <w:r>
        <w:rPr>
          <w:rFonts w:hint="eastAsia" w:ascii="仿宋_GB2312" w:hAnsi="仿宋_GB2312" w:eastAsia="仿宋_GB2312" w:cs="仿宋_GB2312"/>
          <w:b w:val="0"/>
          <w:sz w:val="32"/>
          <w:szCs w:val="44"/>
          <w:lang w:val="en-US" w:eastAsia="zh-CN"/>
        </w:rPr>
        <w:t>》等有关规定，并结合我局资产管理的具体情况，制定了资产管理制度。</w:t>
      </w:r>
    </w:p>
    <w:p>
      <w:pPr>
        <w:pageBreakBefore w:val="0"/>
        <w:kinsoku/>
        <w:wordWrap/>
        <w:overflowPunct/>
        <w:topLinePunct w:val="0"/>
        <w:autoSpaceDE/>
        <w:autoSpaceDN/>
        <w:bidi w:val="0"/>
        <w:adjustRightInd/>
        <w:snapToGrid/>
        <w:spacing w:after="0"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财务科负责资产的价值管理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办公室负责资产的入固、实物管理及汇总登记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科室负责资产的日常保管、维护。各科室固定资产由科室负责人负责，并按要求建立本科室资产及固定资产台账，并与办公室及时进行核对，保证账账、账实相符。单位全体工作人员应认真履行国有资产管理职责，依法维护国有资产的安全、完整，提高国有资产使用效益。不得违反固定资产管理规定，擅自占有、使用、处置国有资产等行为的，依据相关规定进行处理、处罚、处分。固定资产监督应坚持内部监督与财政监督、审计监督、社会监督相结合，进行全过程监督与检查，做到日常监督与专项检查相结合。</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105" w:leftChars="50" w:firstLine="480" w:firstLineChars="150"/>
        <w:textAlignment w:val="auto"/>
        <w:rPr>
          <w:rFonts w:ascii="楷体_GB2312" w:eastAsia="楷体_GB2312"/>
          <w:sz w:val="32"/>
          <w:szCs w:val="32"/>
          <w:highlight w:val="none"/>
        </w:rPr>
      </w:pPr>
      <w:r>
        <w:rPr>
          <w:rFonts w:hint="eastAsia" w:ascii="楷体_GB2312" w:eastAsia="楷体_GB2312"/>
          <w:sz w:val="32"/>
          <w:szCs w:val="32"/>
          <w:highlight w:val="none"/>
        </w:rPr>
        <w:t>绩效</w:t>
      </w:r>
      <w:r>
        <w:rPr>
          <w:rFonts w:ascii="楷体_GB2312" w:eastAsia="楷体_GB2312"/>
          <w:sz w:val="32"/>
          <w:szCs w:val="32"/>
          <w:highlight w:val="none"/>
        </w:rPr>
        <w:t>管理</w:t>
      </w:r>
    </w:p>
    <w:p>
      <w:pPr>
        <w:pageBreakBefore w:val="0"/>
        <w:widowControl w:val="0"/>
        <w:kinsoku/>
        <w:wordWrap/>
        <w:overflowPunct/>
        <w:topLinePunct w:val="0"/>
        <w:autoSpaceDE/>
        <w:autoSpaceDN/>
        <w:bidi w:val="0"/>
        <w:adjustRightInd/>
        <w:snapToGrid/>
        <w:spacing w:after="0" w:line="60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本单位</w:t>
      </w:r>
      <w:r>
        <w:rPr>
          <w:rFonts w:hint="eastAsia" w:ascii="仿宋_GB2312" w:hAnsi="仿宋_GB2312" w:eastAsia="仿宋_GB2312" w:cs="仿宋_GB2312"/>
          <w:color w:val="000000"/>
          <w:sz w:val="32"/>
          <w:szCs w:val="32"/>
        </w:rPr>
        <w:t>加强预算绩效管理，逐步建立“预算编制有目标、预算执行有监控、预算完成有评价、评价结果有反馈、反馈结果有应用”的全过程预算管理绩效机制。建立内部预算编制、预算执行、资产管理、基建管理等方面的沟通协调机制，对专业性较强的项目进行事前评审，确保预算编制科室及时取得与预算编制相关的信息，提高预算编制的科学性。在预算编制时，明确项目</w:t>
      </w:r>
      <w:bookmarkStart w:id="0" w:name="_GoBack"/>
      <w:bookmarkEnd w:id="0"/>
      <w:r>
        <w:rPr>
          <w:rFonts w:hint="eastAsia" w:ascii="仿宋_GB2312" w:hAnsi="仿宋_GB2312" w:eastAsia="仿宋_GB2312" w:cs="仿宋_GB2312"/>
          <w:color w:val="000000"/>
          <w:sz w:val="32"/>
          <w:szCs w:val="32"/>
        </w:rPr>
        <w:t>的绩效目标，并可量化、可考核。</w:t>
      </w:r>
      <w:r>
        <w:rPr>
          <w:rFonts w:hint="eastAsia" w:ascii="仿宋_GB2312" w:hAnsi="仿宋_GB2312" w:eastAsia="仿宋_GB2312" w:cs="仿宋_GB2312"/>
          <w:color w:val="000000"/>
          <w:sz w:val="32"/>
          <w:szCs w:val="32"/>
          <w:lang w:eastAsia="zh-CN"/>
        </w:rPr>
        <w:t>本单位</w:t>
      </w:r>
      <w:r>
        <w:rPr>
          <w:rFonts w:hint="eastAsia" w:ascii="仿宋_GB2312" w:hAnsi="仿宋_GB2312" w:eastAsia="仿宋_GB2312" w:cs="仿宋_GB2312"/>
          <w:color w:val="000000"/>
          <w:sz w:val="32"/>
          <w:szCs w:val="32"/>
        </w:rPr>
        <w:t>将绩效评价结果作为以后年度编制预算和资金支出的重要依据。</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105" w:leftChars="50" w:firstLine="480" w:firstLineChars="150"/>
        <w:textAlignment w:val="auto"/>
        <w:rPr>
          <w:rFonts w:ascii="楷体_GB2312" w:eastAsia="楷体_GB2312"/>
          <w:sz w:val="32"/>
          <w:szCs w:val="32"/>
          <w:highlight w:val="none"/>
        </w:rPr>
      </w:pPr>
      <w:r>
        <w:rPr>
          <w:rFonts w:hint="eastAsia" w:ascii="楷体_GB2312" w:eastAsia="楷体_GB2312"/>
          <w:sz w:val="32"/>
          <w:szCs w:val="32"/>
          <w:highlight w:val="none"/>
        </w:rPr>
        <w:t>部门</w:t>
      </w:r>
      <w:r>
        <w:rPr>
          <w:rFonts w:ascii="楷体_GB2312" w:eastAsia="楷体_GB2312"/>
          <w:sz w:val="32"/>
          <w:szCs w:val="32"/>
          <w:highlight w:val="none"/>
        </w:rPr>
        <w:t>预决算差异率</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pPr>
      <w:r>
        <w:rPr>
          <w:rFonts w:hint="eastAsia" w:ascii="仿宋_GB2312" w:hAnsi="仿宋_GB2312" w:eastAsia="仿宋_GB2312" w:cs="仿宋_GB2312"/>
          <w:b w:val="0"/>
          <w:color w:val="auto"/>
          <w:sz w:val="32"/>
          <w:szCs w:val="44"/>
          <w:lang w:val="en-US" w:eastAsia="zh-CN"/>
        </w:rPr>
        <w:t>2023年差异率为5.1%，2024年差异率为3.75%，低于上年差异率。</w:t>
      </w:r>
    </w:p>
    <w:p>
      <w:pPr>
        <w:keepNext w:val="0"/>
        <w:keepLines w:val="0"/>
        <w:pageBreakBefore w:val="0"/>
        <w:widowControl w:val="0"/>
        <w:kinsoku/>
        <w:wordWrap/>
        <w:overflowPunct/>
        <w:topLinePunct w:val="0"/>
        <w:autoSpaceDE/>
        <w:autoSpaceDN/>
        <w:bidi w:val="0"/>
        <w:adjustRightInd/>
        <w:snapToGrid/>
        <w:spacing w:line="480" w:lineRule="exact"/>
        <w:ind w:left="105" w:leftChars="50" w:firstLine="480" w:firstLineChars="150"/>
        <w:textAlignment w:val="auto"/>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pPr>
        <w:keepNext w:val="0"/>
        <w:keepLines w:val="0"/>
        <w:pageBreakBefore w:val="0"/>
        <w:widowControl w:val="0"/>
        <w:kinsoku/>
        <w:wordWrap/>
        <w:overflowPunct/>
        <w:topLinePunct w:val="0"/>
        <w:autoSpaceDE/>
        <w:autoSpaceDN/>
        <w:bidi w:val="0"/>
        <w:adjustRightInd/>
        <w:snapToGrid/>
        <w:spacing w:line="480" w:lineRule="exact"/>
        <w:ind w:left="105" w:leftChars="50" w:firstLine="480" w:firstLineChars="150"/>
        <w:textAlignment w:val="auto"/>
        <w:rPr>
          <w:rFonts w:hint="eastAsia" w:ascii="楷体_GB2312" w:eastAsia="楷体_GB2312"/>
          <w:sz w:val="32"/>
          <w:szCs w:val="32"/>
          <w:highlight w:val="none"/>
        </w:rPr>
      </w:pPr>
      <w:r>
        <w:rPr>
          <w:rFonts w:hint="eastAsia" w:ascii="楷体_GB2312" w:eastAsia="楷体_GB2312"/>
          <w:sz w:val="32"/>
          <w:szCs w:val="32"/>
          <w:highlight w:val="none"/>
        </w:rPr>
        <w:t>（一）评价</w:t>
      </w:r>
      <w:r>
        <w:rPr>
          <w:rFonts w:ascii="楷体_GB2312" w:eastAsia="楷体_GB2312"/>
          <w:sz w:val="32"/>
          <w:szCs w:val="32"/>
          <w:highlight w:val="none"/>
        </w:rPr>
        <w:t>得分</w:t>
      </w:r>
      <w:r>
        <w:rPr>
          <w:rFonts w:hint="eastAsia" w:ascii="楷体_GB2312" w:eastAsia="楷体_GB2312"/>
          <w:sz w:val="32"/>
          <w:szCs w:val="32"/>
          <w:highlight w:val="none"/>
        </w:rPr>
        <w:t>情况</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left="0" w:leftChars="0" w:right="0" w:rightChars="0" w:firstLine="640"/>
        <w:textAlignment w:val="auto"/>
        <w:rPr>
          <w:rFonts w:hint="eastAsia"/>
          <w:lang w:eastAsia="zh-CN"/>
        </w:rPr>
      </w:pPr>
      <w:r>
        <w:rPr>
          <w:rFonts w:hint="eastAsia" w:ascii="仿宋_GB2312" w:hAnsi="仿宋_GB2312" w:eastAsia="仿宋_GB2312" w:cs="仿宋_GB2312"/>
          <w:b w:val="0"/>
          <w:bCs w:val="0"/>
          <w:color w:val="auto"/>
          <w:kern w:val="2"/>
          <w:sz w:val="32"/>
          <w:szCs w:val="44"/>
          <w:lang w:val="en-US" w:eastAsia="zh-CN" w:bidi="ar-SA"/>
        </w:rPr>
        <w:t>本单位2024年绩效总体得分为98.85分，其中当年预算执行情况为19.25分，整体绩效目标实现情况60分，预算管理情况19.6分，评定结论为优秀。</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105" w:leftChars="50" w:firstLine="480" w:firstLineChars="150"/>
        <w:textAlignment w:val="auto"/>
        <w:rPr>
          <w:rFonts w:hint="eastAsia" w:ascii="楷体_GB2312" w:eastAsia="楷体_GB2312"/>
          <w:sz w:val="32"/>
          <w:szCs w:val="32"/>
          <w:highlight w:val="none"/>
        </w:rPr>
      </w:pPr>
      <w:r>
        <w:rPr>
          <w:rFonts w:hint="eastAsia" w:ascii="楷体_GB2312" w:eastAsia="楷体_GB2312"/>
          <w:sz w:val="32"/>
          <w:szCs w:val="32"/>
          <w:highlight w:val="none"/>
        </w:rPr>
        <w:t>存在的问题及原因分析</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left="0" w:leftChars="0" w:right="0" w:rightChars="0" w:firstLine="640"/>
        <w:textAlignment w:val="auto"/>
        <w:rPr>
          <w:rFonts w:hint="eastAsia" w:ascii="仿宋_GB2312" w:hAnsi="仿宋_GB2312" w:eastAsia="仿宋_GB2312" w:cs="仿宋_GB2312"/>
          <w:b w:val="0"/>
          <w:bCs w:val="0"/>
          <w:color w:val="auto"/>
          <w:kern w:val="2"/>
          <w:sz w:val="32"/>
          <w:szCs w:val="44"/>
          <w:lang w:val="en-US" w:eastAsia="zh-CN" w:bidi="ar-SA"/>
        </w:rPr>
      </w:pPr>
      <w:r>
        <w:rPr>
          <w:rFonts w:hint="eastAsia" w:ascii="仿宋_GB2312" w:hAnsi="仿宋_GB2312" w:eastAsia="仿宋_GB2312" w:cs="仿宋_GB2312"/>
          <w:b w:val="0"/>
          <w:bCs w:val="0"/>
          <w:color w:val="auto"/>
          <w:kern w:val="2"/>
          <w:sz w:val="32"/>
          <w:szCs w:val="44"/>
          <w:lang w:val="en-US" w:eastAsia="zh-CN" w:bidi="ar-SA"/>
        </w:rPr>
        <w:t>部分绩效目标编制缺乏项目关键时间节点，指标设置不明确、不全面。2024年个别项目资金执行率偏低，出现扣分情况。部门绩效管理措施不够完善，对各项目绩效培训不够充足。预算编制缺乏科学性，绩效意识不强，对绩效编制相关文件学习、理解不深入，导致指标准确性和明确性不高，达不到预期效果。</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措施建议</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Times New Roman" w:eastAsia="仿宋_GB2312"/>
          <w:sz w:val="32"/>
          <w:szCs w:val="32"/>
          <w:highlight w:val="none"/>
          <w:lang w:val="en-US" w:eastAsia="zh-CN"/>
        </w:rPr>
      </w:pPr>
      <w:r>
        <w:rPr>
          <w:rFonts w:hint="eastAsia" w:ascii="仿宋_GB2312" w:hAnsi="Times New Roman" w:eastAsia="仿宋_GB2312"/>
          <w:sz w:val="32"/>
          <w:szCs w:val="32"/>
          <w:highlight w:val="none"/>
          <w:lang w:val="en-US" w:eastAsia="zh-CN"/>
        </w:rPr>
        <w:t>1、进一步健全、完善财务管理制度及绩效管理办法，创新管理手段。</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eastAsia" w:ascii="仿宋_GB2312" w:hAnsi="Times New Roman" w:eastAsia="仿宋_GB2312"/>
          <w:sz w:val="32"/>
          <w:szCs w:val="32"/>
          <w:highlight w:val="none"/>
          <w:lang w:val="en-US" w:eastAsia="zh-CN"/>
        </w:rPr>
      </w:pPr>
      <w:r>
        <w:rPr>
          <w:rFonts w:hint="eastAsia" w:ascii="仿宋_GB2312" w:hAnsi="Times New Roman" w:eastAsia="仿宋_GB2312"/>
          <w:sz w:val="32"/>
          <w:szCs w:val="32"/>
          <w:highlight w:val="none"/>
          <w:lang w:val="en-US" w:eastAsia="zh-CN"/>
        </w:rPr>
        <w:t>2、做好项目实施的跟踪检查工作。定期、不定期地对项目实施情况跟踪检查，对能实现预期目标的予以充分肯定；对进展缓慢、预期实现较差的项目及时协助整改，确保项目实施工作正常运行，达到预期绩效目标。</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rightChars="0" w:firstLine="640" w:firstLineChars="200"/>
        <w:textAlignment w:val="auto"/>
        <w:rPr>
          <w:rFonts w:hint="default" w:ascii="仿宋_GB2312" w:hAnsi="Times New Roman" w:eastAsia="仿宋_GB2312"/>
          <w:sz w:val="32"/>
          <w:szCs w:val="32"/>
          <w:highlight w:val="none"/>
          <w:lang w:val="en-US" w:eastAsia="zh-CN"/>
        </w:rPr>
      </w:pPr>
      <w:r>
        <w:rPr>
          <w:rFonts w:hint="eastAsia" w:ascii="仿宋_GB2312" w:hAnsi="Times New Roman" w:eastAsia="仿宋_GB2312"/>
          <w:sz w:val="32"/>
          <w:szCs w:val="32"/>
          <w:highlight w:val="none"/>
          <w:lang w:val="en-US" w:eastAsia="zh-CN"/>
        </w:rPr>
        <w:t>3、提高绩效管理业务人员的管理水平、专业素养，</w:t>
      </w:r>
      <w:r>
        <w:rPr>
          <w:rFonts w:hint="eastAsia" w:ascii="仿宋_GB2312" w:hAnsi="仿宋_GB2312" w:eastAsia="仿宋_GB2312" w:cs="仿宋_GB2312"/>
          <w:b w:val="0"/>
          <w:bCs w:val="0"/>
          <w:color w:val="auto"/>
          <w:kern w:val="2"/>
          <w:sz w:val="32"/>
          <w:szCs w:val="44"/>
          <w:lang w:val="en-US" w:eastAsia="zh-CN" w:bidi="ar-SA"/>
        </w:rPr>
        <w:t>落实绩效工作责任制，</w:t>
      </w:r>
      <w:r>
        <w:rPr>
          <w:rFonts w:hint="eastAsia" w:ascii="仿宋_GB2312" w:hAnsi="Times New Roman" w:eastAsia="仿宋_GB2312"/>
          <w:sz w:val="32"/>
          <w:szCs w:val="32"/>
          <w:highlight w:val="none"/>
          <w:lang w:val="en-US" w:eastAsia="zh-CN"/>
        </w:rPr>
        <w:t>加强培训，</w:t>
      </w:r>
      <w:r>
        <w:rPr>
          <w:rFonts w:hint="eastAsia" w:ascii="仿宋_GB2312" w:hAnsi="仿宋_GB2312" w:eastAsia="仿宋_GB2312" w:cs="仿宋_GB2312"/>
          <w:b w:val="0"/>
          <w:bCs w:val="0"/>
          <w:color w:val="auto"/>
          <w:kern w:val="2"/>
          <w:sz w:val="32"/>
          <w:szCs w:val="44"/>
          <w:lang w:val="en-US" w:eastAsia="zh-CN" w:bidi="ar-SA"/>
        </w:rPr>
        <w:t>深入、具体、全面地理解绩效工作重要性，确保制定绩效目标的科学性、合理性，</w:t>
      </w:r>
      <w:r>
        <w:rPr>
          <w:rFonts w:hint="eastAsia" w:ascii="仿宋_GB2312" w:eastAsia="仿宋_GB2312"/>
          <w:sz w:val="32"/>
          <w:szCs w:val="32"/>
          <w:highlight w:val="none"/>
          <w:lang w:val="en-US" w:eastAsia="zh-CN"/>
        </w:rPr>
        <w:t>确保我局绩效相关工作圆满完成</w:t>
      </w:r>
      <w:r>
        <w:rPr>
          <w:rFonts w:hint="eastAsia" w:ascii="仿宋_GB2312" w:hAnsi="仿宋_GB2312" w:eastAsia="仿宋_GB2312" w:cs="仿宋_GB2312"/>
          <w:b w:val="0"/>
          <w:bCs w:val="0"/>
          <w:color w:val="auto"/>
          <w:kern w:val="2"/>
          <w:sz w:val="32"/>
          <w:szCs w:val="44"/>
          <w:lang w:val="en-US" w:eastAsia="zh-CN" w:bidi="ar-SA"/>
        </w:rPr>
        <w:t>。</w:t>
      </w:r>
    </w:p>
    <w:p>
      <w:pPr>
        <w:pStyle w:val="2"/>
        <w:numPr>
          <w:ilvl w:val="0"/>
          <w:numId w:val="0"/>
        </w:numPr>
        <w:jc w:val="both"/>
        <w:rPr>
          <w:rFonts w:hint="eastAsia"/>
        </w:rPr>
      </w:pPr>
    </w:p>
    <w:p>
      <w:pPr>
        <w:ind w:firstLine="600" w:firstLineChars="200"/>
        <w:rPr>
          <w:rFonts w:ascii="仿宋_GB2312" w:eastAsia="仿宋_GB2312"/>
          <w:sz w:val="30"/>
          <w:szCs w:val="30"/>
          <w:highlight w:val="none"/>
        </w:rPr>
      </w:pPr>
    </w:p>
    <w:p>
      <w:pPr>
        <w:rPr>
          <w:highlight w:val="none"/>
        </w:rPr>
      </w:pPr>
    </w:p>
    <w:p>
      <w:pPr>
        <w:jc w:val="both"/>
        <w:rPr>
          <w:rFonts w:hint="eastAsia" w:ascii="黑体" w:hAnsi="黑体" w:eastAsia="黑体"/>
          <w:sz w:val="30"/>
          <w:szCs w:val="30"/>
          <w:highlight w:val="none"/>
          <w:lang w:val="en-US" w:eastAsia="zh-CN"/>
        </w:rPr>
      </w:pPr>
    </w:p>
    <w:p>
      <w:pPr>
        <w:jc w:val="both"/>
        <w:rPr>
          <w:rFonts w:hint="eastAsia" w:ascii="黑体" w:hAnsi="黑体" w:eastAsia="黑体"/>
          <w:sz w:val="30"/>
          <w:szCs w:val="30"/>
          <w:highlight w:val="none"/>
          <w:lang w:val="en-US" w:eastAsia="zh-CN"/>
        </w:rPr>
      </w:pPr>
    </w:p>
    <w:p>
      <w:pPr>
        <w:jc w:val="both"/>
        <w:rPr>
          <w:rFonts w:hint="eastAsia" w:ascii="黑体" w:hAnsi="黑体" w:eastAsia="黑体"/>
          <w:sz w:val="30"/>
          <w:szCs w:val="30"/>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980614"/>
    <w:multiLevelType w:val="singleLevel"/>
    <w:tmpl w:val="E9980614"/>
    <w:lvl w:ilvl="0" w:tentative="0">
      <w:start w:val="2"/>
      <w:numFmt w:val="chineseCounting"/>
      <w:suff w:val="nothing"/>
      <w:lvlText w:val="（%1）"/>
      <w:lvlJc w:val="left"/>
      <w:rPr>
        <w:rFonts w:hint="eastAsia"/>
      </w:rPr>
    </w:lvl>
  </w:abstractNum>
  <w:abstractNum w:abstractNumId="1">
    <w:nsid w:val="2F04691F"/>
    <w:multiLevelType w:val="singleLevel"/>
    <w:tmpl w:val="2F04691F"/>
    <w:lvl w:ilvl="0" w:tentative="0">
      <w:start w:val="6"/>
      <w:numFmt w:val="chineseCounting"/>
      <w:suff w:val="nothing"/>
      <w:lvlText w:val="%1、"/>
      <w:lvlJc w:val="left"/>
      <w:rPr>
        <w:rFonts w:hint="eastAsia"/>
      </w:rPr>
    </w:lvl>
  </w:abstractNum>
  <w:abstractNum w:abstractNumId="2">
    <w:nsid w:val="63FDC1FB"/>
    <w:multiLevelType w:val="singleLevel"/>
    <w:tmpl w:val="63FDC1FB"/>
    <w:lvl w:ilvl="0" w:tentative="0">
      <w:start w:val="2"/>
      <w:numFmt w:val="decimal"/>
      <w:suff w:val="nothing"/>
      <w:lvlText w:val="%1."/>
      <w:lvlJc w:val="left"/>
    </w:lvl>
  </w:abstractNum>
  <w:abstractNum w:abstractNumId="3">
    <w:nsid w:val="6F02B879"/>
    <w:multiLevelType w:val="singleLevel"/>
    <w:tmpl w:val="6F02B879"/>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N2IyOGM3ZmY4NzU0NjgxZGZiYzc2MzlmZDViODAifQ=="/>
  </w:docVars>
  <w:rsids>
    <w:rsidRoot w:val="00000000"/>
    <w:rsid w:val="03DA42D3"/>
    <w:rsid w:val="046F0577"/>
    <w:rsid w:val="08D950F1"/>
    <w:rsid w:val="0A512204"/>
    <w:rsid w:val="12CE7C70"/>
    <w:rsid w:val="16D31532"/>
    <w:rsid w:val="17FFF9DD"/>
    <w:rsid w:val="18740D9E"/>
    <w:rsid w:val="1D7A750D"/>
    <w:rsid w:val="1E5F416F"/>
    <w:rsid w:val="272A03BC"/>
    <w:rsid w:val="27795C59"/>
    <w:rsid w:val="28B5798E"/>
    <w:rsid w:val="2D743669"/>
    <w:rsid w:val="317E3A6E"/>
    <w:rsid w:val="36E23C1F"/>
    <w:rsid w:val="38A61B36"/>
    <w:rsid w:val="3C112178"/>
    <w:rsid w:val="3CA21CCC"/>
    <w:rsid w:val="3FD956E5"/>
    <w:rsid w:val="438A7C97"/>
    <w:rsid w:val="447D117C"/>
    <w:rsid w:val="4A845DEB"/>
    <w:rsid w:val="4F4B60ED"/>
    <w:rsid w:val="514065A0"/>
    <w:rsid w:val="57A55D95"/>
    <w:rsid w:val="69A262CD"/>
    <w:rsid w:val="6AEBB5AA"/>
    <w:rsid w:val="6E747590"/>
    <w:rsid w:val="72535B88"/>
    <w:rsid w:val="797154BA"/>
    <w:rsid w:val="7A7BE003"/>
    <w:rsid w:val="7FB25EE2"/>
    <w:rsid w:val="7FF7E053"/>
    <w:rsid w:val="94F7D73A"/>
    <w:rsid w:val="BBD6156E"/>
    <w:rsid w:val="F77F3269"/>
    <w:rsid w:val="F77F74EF"/>
    <w:rsid w:val="FF71AF81"/>
    <w:rsid w:val="FFF4A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line="300" w:lineRule="atLeast"/>
      <w:jc w:val="center"/>
    </w:pPr>
    <w:rPr>
      <w:color w:val="000000"/>
      <w:sz w:val="44"/>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9">
    <w:name w:val="表格"/>
    <w:basedOn w:val="1"/>
    <w:qFormat/>
    <w:uiPriority w:val="0"/>
    <w:pPr>
      <w:spacing w:line="240" w:lineRule="auto"/>
      <w:ind w:firstLine="0" w:firstLineChars="0"/>
      <w:jc w:val="center"/>
    </w:pPr>
    <w:rPr>
      <w:rFonts w:ascii="Verdana" w:hAnsi="Verdana" w:eastAsia="仿宋_GB2312"/>
      <w:sz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4922</Words>
  <Characters>5170</Characters>
  <Lines>0</Lines>
  <Paragraphs>0</Paragraphs>
  <TotalTime>10</TotalTime>
  <ScaleCrop>false</ScaleCrop>
  <LinksUpToDate>false</LinksUpToDate>
  <CharactersWithSpaces>5171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pc</dc:creator>
  <cp:lastModifiedBy>admin</cp:lastModifiedBy>
  <cp:lastPrinted>2023-02-10T03:44:00Z</cp:lastPrinted>
  <dcterms:modified xsi:type="dcterms:W3CDTF">2025-02-12T02:24:15Z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5998522192B348289AA3CE6FAE23FD21_13</vt:lpwstr>
  </property>
</Properties>
</file>