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5"/>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tabs>
          <w:tab w:val="center" w:pos="6979"/>
        </w:tabs>
        <w:spacing w:line="580" w:lineRule="exact"/>
        <w:ind w:firstLine="565" w:firstLineChars="202"/>
        <w:rPr>
          <w:rFonts w:hint="eastAsia" w:ascii="仿宋_GB2312" w:eastAsia="仿宋_GB2312"/>
          <w:kern w:val="0"/>
          <w:sz w:val="28"/>
          <w:szCs w:val="28"/>
        </w:rPr>
      </w:pPr>
      <w:r>
        <w:rPr>
          <w:rFonts w:hint="eastAsia" w:ascii="仿宋_GB2312" w:eastAsia="仿宋_GB2312"/>
          <w:kern w:val="0"/>
          <w:sz w:val="28"/>
          <w:szCs w:val="28"/>
        </w:rPr>
        <w:t>1</w:t>
      </w:r>
      <w:r>
        <w:rPr>
          <w:rFonts w:hint="eastAsia" w:ascii="仿宋_GB2312" w:eastAsia="仿宋_GB2312"/>
          <w:kern w:val="0"/>
          <w:sz w:val="28"/>
          <w:szCs w:val="28"/>
          <w:lang w:eastAsia="zh-CN"/>
        </w:rPr>
        <w:t>.</w:t>
      </w:r>
      <w:r>
        <w:rPr>
          <w:rFonts w:hint="eastAsia" w:ascii="仿宋_GB2312" w:eastAsia="仿宋_GB2312"/>
          <w:kern w:val="0"/>
          <w:sz w:val="28"/>
          <w:szCs w:val="28"/>
        </w:rPr>
        <w:t>主要职能</w:t>
      </w:r>
      <w:r>
        <w:rPr>
          <w:rFonts w:hint="eastAsia" w:ascii="仿宋_GB2312" w:eastAsia="仿宋_GB2312"/>
          <w:kern w:val="0"/>
          <w:sz w:val="28"/>
          <w:szCs w:val="28"/>
          <w:lang w:eastAsia="zh-CN"/>
        </w:rPr>
        <w:t>。</w:t>
      </w:r>
      <w:r>
        <w:rPr>
          <w:rFonts w:hint="eastAsia" w:ascii="仿宋_GB2312" w:eastAsia="仿宋_GB2312"/>
          <w:kern w:val="0"/>
          <w:sz w:val="28"/>
          <w:szCs w:val="28"/>
        </w:rPr>
        <w:t>区商务局是负责本区内外贸易、对外经济合作的区政府工作部门。</w:t>
      </w:r>
    </w:p>
    <w:p>
      <w:pPr>
        <w:tabs>
          <w:tab w:val="center" w:pos="6979"/>
        </w:tabs>
        <w:spacing w:line="580" w:lineRule="exact"/>
        <w:ind w:firstLine="570"/>
        <w:rPr>
          <w:rFonts w:hint="eastAsia" w:ascii="仿宋_GB2312" w:eastAsia="仿宋_GB2312"/>
          <w:kern w:val="0"/>
          <w:sz w:val="28"/>
          <w:szCs w:val="28"/>
        </w:rPr>
      </w:pPr>
      <w:r>
        <w:rPr>
          <w:rFonts w:hint="eastAsia" w:ascii="仿宋_GB2312" w:eastAsia="仿宋_GB2312"/>
          <w:kern w:val="0"/>
          <w:sz w:val="28"/>
          <w:szCs w:val="28"/>
        </w:rPr>
        <w:t>2</w:t>
      </w:r>
      <w:r>
        <w:rPr>
          <w:rFonts w:hint="eastAsia" w:ascii="仿宋_GB2312" w:eastAsia="仿宋_GB2312"/>
          <w:kern w:val="0"/>
          <w:sz w:val="28"/>
          <w:szCs w:val="28"/>
          <w:lang w:eastAsia="zh-CN"/>
        </w:rPr>
        <w:t>.</w:t>
      </w:r>
      <w:r>
        <w:rPr>
          <w:rFonts w:hint="eastAsia" w:ascii="仿宋_GB2312" w:eastAsia="仿宋_GB2312"/>
          <w:kern w:val="0"/>
          <w:sz w:val="28"/>
          <w:szCs w:val="28"/>
        </w:rPr>
        <w:t>机构情况</w:t>
      </w:r>
      <w:r>
        <w:rPr>
          <w:rFonts w:hint="eastAsia" w:ascii="仿宋_GB2312" w:eastAsia="仿宋_GB2312"/>
          <w:kern w:val="0"/>
          <w:sz w:val="28"/>
          <w:szCs w:val="28"/>
          <w:lang w:eastAsia="zh-CN"/>
        </w:rPr>
        <w:t>。从预算单位构成看，本单位部门决算仅包括北京市大兴区商务局本级决算。</w:t>
      </w:r>
      <w:r>
        <w:rPr>
          <w:rFonts w:hint="eastAsia" w:ascii="仿宋_GB2312" w:eastAsia="仿宋_GB2312"/>
          <w:kern w:val="0"/>
          <w:sz w:val="28"/>
          <w:szCs w:val="28"/>
        </w:rPr>
        <w:t>区商务局机关下属3个公益一类事业单位，分别是：北京市大兴区便民商业体系规划发展管理中心、北京市大兴区商务流通行业</w:t>
      </w:r>
      <w:r>
        <w:rPr>
          <w:rFonts w:hint="eastAsia" w:ascii="仿宋_GB2312" w:eastAsia="仿宋_GB2312"/>
          <w:kern w:val="0"/>
          <w:sz w:val="28"/>
          <w:szCs w:val="28"/>
          <w:lang w:eastAsia="zh-CN"/>
        </w:rPr>
        <w:t>服务</w:t>
      </w:r>
      <w:r>
        <w:rPr>
          <w:rFonts w:hint="eastAsia" w:ascii="仿宋_GB2312" w:eastAsia="仿宋_GB2312"/>
          <w:kern w:val="0"/>
          <w:sz w:val="28"/>
          <w:szCs w:val="28"/>
        </w:rPr>
        <w:t>中心、北京市大兴区</w:t>
      </w:r>
      <w:r>
        <w:rPr>
          <w:rFonts w:hint="eastAsia" w:ascii="仿宋_GB2312" w:eastAsia="仿宋_GB2312"/>
          <w:kern w:val="0"/>
          <w:sz w:val="28"/>
          <w:szCs w:val="28"/>
          <w:lang w:eastAsia="zh-CN"/>
        </w:rPr>
        <w:t>“</w:t>
      </w:r>
      <w:r>
        <w:rPr>
          <w:rFonts w:hint="eastAsia" w:ascii="仿宋_GB2312" w:eastAsia="仿宋_GB2312"/>
          <w:kern w:val="0"/>
          <w:sz w:val="28"/>
          <w:szCs w:val="28"/>
        </w:rPr>
        <w:t>两区</w:t>
      </w:r>
      <w:r>
        <w:rPr>
          <w:rFonts w:hint="eastAsia" w:ascii="仿宋_GB2312" w:eastAsia="仿宋_GB2312"/>
          <w:kern w:val="0"/>
          <w:sz w:val="28"/>
          <w:szCs w:val="28"/>
          <w:lang w:eastAsia="zh-CN"/>
        </w:rPr>
        <w:t>”</w:t>
      </w:r>
      <w:r>
        <w:rPr>
          <w:rFonts w:hint="eastAsia" w:ascii="仿宋_GB2312" w:eastAsia="仿宋_GB2312"/>
          <w:kern w:val="0"/>
          <w:sz w:val="28"/>
          <w:szCs w:val="28"/>
        </w:rPr>
        <w:t>建设创新促进中心</w:t>
      </w:r>
      <w:r>
        <w:rPr>
          <w:rFonts w:hint="eastAsia" w:ascii="仿宋_GB2312" w:eastAsia="仿宋_GB2312"/>
          <w:kern w:val="0"/>
          <w:sz w:val="28"/>
          <w:szCs w:val="28"/>
          <w:lang w:eastAsia="zh-CN"/>
        </w:rPr>
        <w:t>，</w:t>
      </w:r>
      <w:r>
        <w:rPr>
          <w:rFonts w:hint="eastAsia" w:ascii="仿宋_GB2312" w:eastAsia="仿宋_GB2312"/>
          <w:sz w:val="28"/>
          <w:szCs w:val="28"/>
          <w:lang w:val="en-US" w:eastAsia="zh-CN"/>
        </w:rPr>
        <w:t>均不单独核算，预算包含在区商务局本级中。</w:t>
      </w:r>
    </w:p>
    <w:p>
      <w:pPr>
        <w:tabs>
          <w:tab w:val="center" w:pos="6979"/>
        </w:tabs>
        <w:spacing w:line="580" w:lineRule="exact"/>
        <w:ind w:firstLine="565" w:firstLineChars="202"/>
        <w:rPr>
          <w:rFonts w:hint="eastAsia" w:ascii="仿宋_GB2312" w:eastAsia="仿宋_GB2312"/>
          <w:sz w:val="28"/>
          <w:szCs w:val="28"/>
        </w:rPr>
      </w:pPr>
      <w:r>
        <w:rPr>
          <w:rFonts w:hint="eastAsia" w:ascii="仿宋_GB2312" w:eastAsia="仿宋_GB2312"/>
          <w:kern w:val="0"/>
          <w:sz w:val="28"/>
          <w:szCs w:val="28"/>
        </w:rPr>
        <w:t>3</w:t>
      </w:r>
      <w:r>
        <w:rPr>
          <w:rFonts w:hint="eastAsia" w:ascii="仿宋_GB2312" w:eastAsia="仿宋_GB2312"/>
          <w:kern w:val="0"/>
          <w:sz w:val="28"/>
          <w:szCs w:val="28"/>
          <w:lang w:eastAsia="zh-CN"/>
        </w:rPr>
        <w:t>.</w:t>
      </w:r>
      <w:r>
        <w:rPr>
          <w:rFonts w:hint="eastAsia" w:ascii="仿宋_GB2312" w:eastAsia="仿宋_GB2312"/>
          <w:kern w:val="0"/>
          <w:sz w:val="28"/>
          <w:szCs w:val="28"/>
        </w:rPr>
        <w:t>单位类型为行政单位。</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7345.07</w:t>
      </w:r>
      <w:r>
        <w:rPr>
          <w:rFonts w:hint="eastAsia" w:ascii="仿宋_GB2312" w:eastAsia="仿宋_GB2312"/>
          <w:sz w:val="28"/>
          <w:szCs w:val="28"/>
        </w:rPr>
        <w:t>万元，</w:t>
      </w:r>
      <w:r>
        <w:rPr>
          <w:rFonts w:ascii="仿宋_GB2312" w:eastAsia="仿宋_GB2312"/>
          <w:sz w:val="28"/>
          <w:szCs w:val="28"/>
        </w:rPr>
        <w:t>比</w:t>
      </w:r>
      <w:r>
        <w:rPr>
          <w:rFonts w:hint="eastAsia" w:ascii="仿宋_GB2312" w:eastAsia="仿宋_GB2312"/>
          <w:sz w:val="28"/>
          <w:szCs w:val="28"/>
        </w:rPr>
        <w:t>上年减少4846.28万元，下降39.75%。</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highlight w:val="none"/>
        </w:rPr>
        <w:t>7180.8</w:t>
      </w:r>
      <w:r>
        <w:rPr>
          <w:rFonts w:hint="eastAsia" w:ascii="仿宋_GB2312" w:eastAsia="仿宋_GB2312"/>
          <w:sz w:val="28"/>
          <w:szCs w:val="28"/>
          <w:highlight w:val="none"/>
        </w:rPr>
        <w:t>万元，</w:t>
      </w:r>
      <w:r>
        <w:rPr>
          <w:rFonts w:ascii="仿宋_GB2312" w:eastAsia="仿宋_GB2312"/>
          <w:sz w:val="28"/>
          <w:szCs w:val="28"/>
          <w:highlight w:val="none"/>
        </w:rPr>
        <w:t>比上年</w:t>
      </w:r>
      <w:r>
        <w:rPr>
          <w:rFonts w:hint="eastAsia" w:ascii="仿宋_GB2312" w:eastAsia="仿宋_GB2312"/>
          <w:sz w:val="28"/>
          <w:szCs w:val="28"/>
          <w:highlight w:val="none"/>
        </w:rPr>
        <w:t>减少</w:t>
      </w:r>
      <w:r>
        <w:rPr>
          <w:rFonts w:hint="eastAsia" w:ascii="仿宋_GB2312" w:eastAsia="仿宋_GB2312"/>
          <w:sz w:val="28"/>
          <w:szCs w:val="28"/>
          <w:highlight w:val="none"/>
          <w:lang w:val="en-US" w:eastAsia="zh-CN"/>
        </w:rPr>
        <w:t>5010.55</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41.1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财政拨款收入</w:t>
      </w:r>
      <w:r>
        <w:rPr>
          <w:rFonts w:ascii="仿宋_GB2312" w:eastAsia="仿宋_GB2312"/>
          <w:sz w:val="28"/>
          <w:szCs w:val="28"/>
          <w:highlight w:val="none"/>
        </w:rPr>
        <w:t>7178.35</w:t>
      </w:r>
      <w:r>
        <w:rPr>
          <w:rFonts w:hint="eastAsia" w:ascii="仿宋_GB2312" w:eastAsia="仿宋_GB2312"/>
          <w:sz w:val="28"/>
          <w:szCs w:val="28"/>
          <w:highlight w:val="none"/>
        </w:rPr>
        <w:t>万元</w:t>
      </w:r>
      <w:r>
        <w:rPr>
          <w:rFonts w:hint="eastAsia" w:ascii="仿宋_GB2312" w:eastAsia="仿宋_GB2312"/>
          <w:sz w:val="28"/>
          <w:szCs w:val="28"/>
        </w:rPr>
        <w:t>，占收入合计的</w:t>
      </w:r>
      <w:r>
        <w:rPr>
          <w:rFonts w:hint="eastAsia" w:ascii="仿宋_GB2312" w:eastAsia="仿宋_GB2312"/>
          <w:sz w:val="28"/>
          <w:szCs w:val="28"/>
          <w:lang w:eastAsia="zh-CN"/>
        </w:rPr>
        <w:t>99.97%。</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2.45</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0.03</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pPr>
        <w:pStyle w:val="5"/>
        <w:ind w:firstLine="0"/>
        <w:jc w:val="center"/>
      </w:pPr>
      <w:r>
        <w:rPr>
          <w:rFonts w:hint="eastAsia" w:ascii="仿宋_GB2312" w:eastAsia="仿宋_GB2312"/>
          <w:color w:val="000000"/>
          <w:sz w:val="32"/>
          <w:szCs w:val="32"/>
          <w:highlight w:val="none"/>
          <w:lang w:val="en-US" w:eastAsia="zh-CN"/>
        </w:rPr>
        <w:t>图1：收入决算</w:t>
      </w:r>
    </w:p>
    <w:p>
      <w:pPr>
        <w:pStyle w:val="6"/>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7345.07</w:t>
      </w:r>
      <w:r>
        <w:rPr>
          <w:rFonts w:hint="eastAsia" w:ascii="仿宋_GB2312" w:eastAsia="仿宋_GB2312"/>
          <w:sz w:val="28"/>
          <w:szCs w:val="28"/>
        </w:rPr>
        <w:t>万元，比上年减少4846.28万元，下降39.75%，其中：基本支</w:t>
      </w:r>
      <w:r>
        <w:rPr>
          <w:rFonts w:hint="eastAsia" w:ascii="仿宋_GB2312" w:eastAsia="仿宋_GB2312"/>
          <w:sz w:val="28"/>
          <w:szCs w:val="28"/>
          <w:highlight w:val="none"/>
        </w:rPr>
        <w:t>出</w:t>
      </w:r>
      <w:r>
        <w:rPr>
          <w:rFonts w:ascii="仿宋_GB2312" w:eastAsia="仿宋_GB2312"/>
          <w:sz w:val="28"/>
          <w:szCs w:val="28"/>
          <w:highlight w:val="none"/>
        </w:rPr>
        <w:t>2188.4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29.79</w:t>
      </w:r>
      <w:r>
        <w:rPr>
          <w:rFonts w:hint="eastAsia" w:ascii="仿宋_GB2312" w:eastAsia="仿宋_GB2312"/>
          <w:sz w:val="28"/>
          <w:szCs w:val="28"/>
          <w:highlight w:val="none"/>
        </w:rPr>
        <w:t>%；项目支出</w:t>
      </w:r>
      <w:r>
        <w:rPr>
          <w:rFonts w:ascii="仿宋_GB2312" w:eastAsia="仿宋_GB2312"/>
          <w:sz w:val="28"/>
          <w:szCs w:val="28"/>
          <w:highlight w:val="none"/>
        </w:rPr>
        <w:t>5156.67</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70.21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pPr>
        <w:pStyle w:val="5"/>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7342.62</w:t>
      </w:r>
      <w:r>
        <w:rPr>
          <w:rFonts w:hint="eastAsia" w:ascii="仿宋_GB2312" w:eastAsia="仿宋_GB2312"/>
          <w:sz w:val="28"/>
          <w:szCs w:val="28"/>
        </w:rPr>
        <w:t>万元，比上年减少4843.23万元，下降39.74%。主要原因：一是减少了出口退税资金池项目3012.27万元；二是2024年减少了防疫物资采购储备项目预算842.69万元；三是减少了总部企业奖励项目636万元。2024年度财政拨款支出总计7342.62万元，比上年减少4843.23万元，下降39.74%。主要原因：一是减少了出口退税资金池项目3012.27万元；二是2024年减少了防疫物资采购储备支出842.69万元；三是减少了总部企业奖励项目636万元。</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7342.62</w:t>
      </w:r>
      <w:r>
        <w:rPr>
          <w:rFonts w:hint="eastAsia" w:ascii="仿宋_GB2312" w:eastAsia="仿宋_GB2312"/>
          <w:sz w:val="28"/>
          <w:szCs w:val="28"/>
        </w:rPr>
        <w:t>万元，主要用于以下方面（按大类）：一般公共服务支出1751.03万元，占本年财政拨款支出23.85%；社会保障和就业支出296.14万元，占本年财政拨款支出4.03%；卫生健康支出170.29万元，占本年财政拨款支出2.32%；商业服务业等支出4462.61万元，占本年财政拨款支出60.78%；住房保障支出164.26万元，占本年财政拨款支出2.24%；粮油物资储备支出498.3万元，占本年财政拨款支出6.79%。</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1.“一般公共服务支出”（类）2024年度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1961.51万元，2024年度</w:t>
      </w:r>
      <w:r>
        <w:rPr>
          <w:rFonts w:hint="eastAsia" w:ascii="仿宋_GB2312" w:eastAsia="仿宋_GB2312"/>
          <w:sz w:val="28"/>
          <w:szCs w:val="28"/>
        </w:rPr>
        <w:t>决算1751.03万元，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89.27%</w:t>
      </w:r>
      <w:r>
        <w:rPr>
          <w:rFonts w:hint="eastAsia" w:ascii="仿宋_GB2312" w:eastAsia="仿宋_GB2312"/>
          <w:sz w:val="28"/>
          <w:szCs w:val="28"/>
        </w:rPr>
        <w:t>。其中：</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“商贸事务”（款，下同）2024年度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1961.51万元，2024年度</w:t>
      </w:r>
      <w:r>
        <w:rPr>
          <w:rFonts w:hint="eastAsia" w:ascii="仿宋_GB2312" w:eastAsia="仿宋_GB2312"/>
          <w:sz w:val="28"/>
          <w:szCs w:val="28"/>
        </w:rPr>
        <w:t>决算1751.03万元，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89.27%</w:t>
      </w:r>
      <w:r>
        <w:rPr>
          <w:rFonts w:hint="eastAsia" w:ascii="仿宋_GB2312" w:eastAsia="仿宋_GB2312"/>
          <w:sz w:val="28"/>
          <w:szCs w:val="28"/>
        </w:rPr>
        <w:t>。主要原因：由于机构改革，粮食和物资储备</w:t>
      </w:r>
      <w:r>
        <w:rPr>
          <w:rFonts w:hint="eastAsia" w:ascii="仿宋_GB2312" w:eastAsia="仿宋_GB2312"/>
          <w:sz w:val="28"/>
          <w:szCs w:val="28"/>
          <w:lang w:eastAsia="zh-CN"/>
        </w:rPr>
        <w:t>职责</w:t>
      </w:r>
      <w:r>
        <w:rPr>
          <w:rFonts w:hint="eastAsia" w:ascii="仿宋_GB2312" w:eastAsia="仿宋_GB2312"/>
          <w:sz w:val="28"/>
          <w:szCs w:val="28"/>
        </w:rPr>
        <w:t>划入发改委，造成人员及公用等基本支出减少。</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2.“社会保障和就业支出”(类)2024年度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280.03万元,2024年度</w:t>
      </w:r>
      <w:r>
        <w:rPr>
          <w:rFonts w:hint="eastAsia" w:ascii="仿宋_GB2312" w:eastAsia="仿宋_GB2312"/>
          <w:sz w:val="28"/>
          <w:szCs w:val="28"/>
        </w:rPr>
        <w:t>决算</w:t>
      </w:r>
      <w:r>
        <w:rPr>
          <w:rFonts w:hint="eastAsia" w:ascii="仿宋_GB2312" w:eastAsia="仿宋_GB2312"/>
          <w:sz w:val="28"/>
          <w:szCs w:val="28"/>
          <w:lang w:val="en-US" w:eastAsia="zh-CN"/>
        </w:rPr>
        <w:t>296.14</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105.75%</w:t>
      </w:r>
      <w:r>
        <w:rPr>
          <w:rFonts w:hint="eastAsia" w:ascii="仿宋_GB2312" w:eastAsia="仿宋_GB2312"/>
          <w:sz w:val="28"/>
          <w:szCs w:val="28"/>
        </w:rPr>
        <w:t>。其中：</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“行政事业单位养老支出”（款）2024年度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280.03万元,2024年度</w:t>
      </w:r>
      <w:r>
        <w:rPr>
          <w:rFonts w:hint="eastAsia" w:ascii="仿宋_GB2312" w:eastAsia="仿宋_GB2312"/>
          <w:sz w:val="28"/>
          <w:szCs w:val="28"/>
        </w:rPr>
        <w:t>决算</w:t>
      </w:r>
      <w:r>
        <w:rPr>
          <w:rFonts w:hint="eastAsia" w:ascii="仿宋_GB2312" w:eastAsia="仿宋_GB2312"/>
          <w:sz w:val="28"/>
          <w:szCs w:val="28"/>
          <w:lang w:val="en-US" w:eastAsia="zh-CN"/>
        </w:rPr>
        <w:t>254.06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90.73%</w:t>
      </w:r>
      <w:r>
        <w:rPr>
          <w:rFonts w:hint="eastAsia" w:ascii="仿宋_GB2312" w:eastAsia="仿宋_GB2312"/>
          <w:sz w:val="28"/>
          <w:szCs w:val="28"/>
        </w:rPr>
        <w:t>。主要原因：由于机构改革，粮食和物资储备</w:t>
      </w:r>
      <w:r>
        <w:rPr>
          <w:rFonts w:hint="eastAsia" w:ascii="仿宋_GB2312" w:eastAsia="仿宋_GB2312"/>
          <w:sz w:val="28"/>
          <w:szCs w:val="28"/>
          <w:lang w:eastAsia="zh-CN"/>
        </w:rPr>
        <w:t>职责</w:t>
      </w:r>
      <w:r>
        <w:rPr>
          <w:rFonts w:hint="eastAsia" w:ascii="仿宋_GB2312" w:eastAsia="仿宋_GB2312"/>
          <w:sz w:val="28"/>
          <w:szCs w:val="28"/>
        </w:rPr>
        <w:t>划入发改委，造成人员社保减少。</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“抚恤”（款）2024年度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0万元,2024年度</w:t>
      </w:r>
      <w:r>
        <w:rPr>
          <w:rFonts w:hint="eastAsia" w:ascii="仿宋_GB2312" w:eastAsia="仿宋_GB2312"/>
          <w:sz w:val="28"/>
          <w:szCs w:val="28"/>
        </w:rPr>
        <w:t>决算</w:t>
      </w:r>
      <w:r>
        <w:rPr>
          <w:rFonts w:hint="eastAsia" w:ascii="仿宋_GB2312" w:eastAsia="仿宋_GB2312"/>
          <w:sz w:val="28"/>
          <w:szCs w:val="28"/>
          <w:lang w:val="en-US" w:eastAsia="zh-CN"/>
        </w:rPr>
        <w:t>42.08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。主要原因：人员去世，增加死亡抚恤金42.08万元。</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3.“卫生健康支出”(类)2024年度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201.37万元,2024年度</w:t>
      </w:r>
      <w:r>
        <w:rPr>
          <w:rFonts w:hint="eastAsia" w:ascii="仿宋_GB2312" w:eastAsia="仿宋_GB2312"/>
          <w:sz w:val="28"/>
          <w:szCs w:val="28"/>
        </w:rPr>
        <w:t>决算</w:t>
      </w:r>
      <w:r>
        <w:rPr>
          <w:rFonts w:hint="eastAsia" w:ascii="仿宋_GB2312" w:eastAsia="仿宋_GB2312"/>
          <w:sz w:val="28"/>
          <w:szCs w:val="28"/>
          <w:lang w:val="en-US" w:eastAsia="zh-CN"/>
        </w:rPr>
        <w:t>170.29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84.57%</w:t>
      </w:r>
      <w:r>
        <w:rPr>
          <w:rFonts w:hint="eastAsia" w:ascii="仿宋_GB2312" w:eastAsia="仿宋_GB2312"/>
          <w:sz w:val="28"/>
          <w:szCs w:val="28"/>
        </w:rPr>
        <w:t>。其中：</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“行政事业单位医疗”（款）2024年度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201.37万元,2024年度</w:t>
      </w:r>
      <w:r>
        <w:rPr>
          <w:rFonts w:hint="eastAsia" w:ascii="仿宋_GB2312" w:eastAsia="仿宋_GB2312"/>
          <w:sz w:val="28"/>
          <w:szCs w:val="28"/>
        </w:rPr>
        <w:t>决算</w:t>
      </w:r>
      <w:r>
        <w:rPr>
          <w:rFonts w:hint="eastAsia" w:ascii="仿宋_GB2312" w:eastAsia="仿宋_GB2312"/>
          <w:sz w:val="28"/>
          <w:szCs w:val="28"/>
          <w:lang w:val="en-US" w:eastAsia="zh-CN"/>
        </w:rPr>
        <w:t>170.29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84.57%</w:t>
      </w:r>
      <w:r>
        <w:rPr>
          <w:rFonts w:hint="eastAsia" w:ascii="仿宋_GB2312" w:eastAsia="仿宋_GB2312"/>
          <w:sz w:val="28"/>
          <w:szCs w:val="28"/>
        </w:rPr>
        <w:t>。主要原因：由于机构改革，粮食和物资储备职责划入发改委，造成人员社保减少。</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4.“商业服务业等支出”(类)2024年度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5099万元,2024年度</w:t>
      </w:r>
      <w:r>
        <w:rPr>
          <w:rFonts w:hint="eastAsia" w:ascii="仿宋_GB2312" w:eastAsia="仿宋_GB2312"/>
          <w:sz w:val="28"/>
          <w:szCs w:val="28"/>
        </w:rPr>
        <w:t>决算</w:t>
      </w:r>
      <w:r>
        <w:rPr>
          <w:rFonts w:hint="eastAsia" w:ascii="仿宋_GB2312" w:eastAsia="仿宋_GB2312"/>
          <w:sz w:val="28"/>
          <w:szCs w:val="28"/>
          <w:lang w:val="en-US" w:eastAsia="zh-CN"/>
        </w:rPr>
        <w:t>4462.61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87.52%</w:t>
      </w:r>
      <w:r>
        <w:rPr>
          <w:rFonts w:hint="eastAsia" w:ascii="仿宋_GB2312" w:eastAsia="仿宋_GB2312"/>
          <w:sz w:val="28"/>
          <w:szCs w:val="28"/>
        </w:rPr>
        <w:t>。其中：</w:t>
      </w:r>
    </w:p>
    <w:p>
      <w:pPr>
        <w:spacing w:line="560" w:lineRule="exact"/>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“商业流通事务”（款）</w:t>
      </w:r>
      <w:r>
        <w:rPr>
          <w:rFonts w:hint="eastAsia" w:ascii="仿宋_GB2312" w:eastAsia="仿宋_GB2312"/>
          <w:sz w:val="28"/>
          <w:szCs w:val="28"/>
        </w:rPr>
        <w:t>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4800万元,2024年度</w:t>
      </w:r>
      <w:r>
        <w:rPr>
          <w:rFonts w:hint="eastAsia" w:ascii="仿宋_GB2312" w:eastAsia="仿宋_GB2312"/>
          <w:sz w:val="28"/>
          <w:szCs w:val="28"/>
        </w:rPr>
        <w:t>决算</w:t>
      </w:r>
      <w:r>
        <w:rPr>
          <w:rFonts w:hint="eastAsia" w:ascii="仿宋_GB2312" w:eastAsia="仿宋_GB2312"/>
          <w:sz w:val="28"/>
          <w:szCs w:val="28"/>
          <w:lang w:val="en-US" w:eastAsia="zh-CN"/>
        </w:rPr>
        <w:t>4179.93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87.08%</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是消费券暂缓发放</w:t>
      </w:r>
      <w:r>
        <w:rPr>
          <w:rFonts w:hint="eastAsia" w:ascii="仿宋_GB2312" w:eastAsia="仿宋_GB2312"/>
          <w:sz w:val="28"/>
          <w:szCs w:val="28"/>
          <w:highlight w:val="none"/>
        </w:rPr>
        <w:t>。</w:t>
      </w:r>
    </w:p>
    <w:p>
      <w:pPr>
        <w:spacing w:line="560" w:lineRule="exact"/>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rPr>
        <w:t>“其他商业服务业等支出”（款）</w:t>
      </w:r>
      <w:r>
        <w:rPr>
          <w:rFonts w:hint="eastAsia" w:ascii="仿宋_GB2312" w:eastAsia="仿宋_GB2312"/>
          <w:sz w:val="28"/>
          <w:szCs w:val="28"/>
        </w:rPr>
        <w:t>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299万元,2024年度</w:t>
      </w:r>
      <w:r>
        <w:rPr>
          <w:rFonts w:hint="eastAsia" w:ascii="仿宋_GB2312" w:eastAsia="仿宋_GB2312"/>
          <w:sz w:val="28"/>
          <w:szCs w:val="28"/>
        </w:rPr>
        <w:t>决算</w:t>
      </w:r>
      <w:r>
        <w:rPr>
          <w:rFonts w:hint="eastAsia" w:ascii="仿宋_GB2312" w:eastAsia="仿宋_GB2312"/>
          <w:sz w:val="28"/>
          <w:szCs w:val="28"/>
          <w:lang w:val="en-US" w:eastAsia="zh-CN"/>
        </w:rPr>
        <w:t>282.68</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94.54%</w:t>
      </w:r>
      <w:r>
        <w:rPr>
          <w:rFonts w:hint="eastAsia" w:ascii="仿宋_GB2312" w:eastAsia="仿宋_GB2312"/>
          <w:sz w:val="28"/>
          <w:szCs w:val="28"/>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一是两区办后三季度办公用品由商务局公用列支；二是项目招商促进工作宣介活动由园区协办</w:t>
      </w:r>
      <w:r>
        <w:rPr>
          <w:rFonts w:hint="eastAsia" w:ascii="仿宋_GB2312" w:eastAsia="仿宋_GB2312"/>
          <w:sz w:val="28"/>
          <w:szCs w:val="28"/>
          <w:highlight w:val="none"/>
        </w:rPr>
        <w:t>。</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5.“住房保障支出”(类)2024年度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0万元，2024年度</w:t>
      </w:r>
      <w:r>
        <w:rPr>
          <w:rFonts w:hint="eastAsia" w:ascii="仿宋_GB2312" w:eastAsia="仿宋_GB2312"/>
          <w:sz w:val="28"/>
          <w:szCs w:val="28"/>
        </w:rPr>
        <w:t>决算</w:t>
      </w:r>
      <w:r>
        <w:rPr>
          <w:rFonts w:hint="eastAsia" w:ascii="仿宋_GB2312" w:eastAsia="仿宋_GB2312"/>
          <w:sz w:val="28"/>
          <w:szCs w:val="28"/>
          <w:lang w:val="en-US" w:eastAsia="zh-CN"/>
        </w:rPr>
        <w:t>164.26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“住房改革支出”（款）2024年度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0万元，2024年度</w:t>
      </w:r>
      <w:r>
        <w:rPr>
          <w:rFonts w:hint="eastAsia" w:ascii="仿宋_GB2312" w:eastAsia="仿宋_GB2312"/>
          <w:sz w:val="28"/>
          <w:szCs w:val="28"/>
        </w:rPr>
        <w:t>决算</w:t>
      </w:r>
      <w:r>
        <w:rPr>
          <w:rFonts w:hint="eastAsia" w:ascii="仿宋_GB2312" w:eastAsia="仿宋_GB2312"/>
          <w:sz w:val="28"/>
          <w:szCs w:val="28"/>
          <w:lang w:val="en-US" w:eastAsia="zh-CN"/>
        </w:rPr>
        <w:t>164.26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。主要原因：年初结转房补一次性发放164.26万元。</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6.“粮油物资储备支出”(类)2024年度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1208.36万元,2024年度</w:t>
      </w:r>
      <w:r>
        <w:rPr>
          <w:rFonts w:hint="eastAsia" w:ascii="仿宋_GB2312" w:eastAsia="仿宋_GB2312"/>
          <w:sz w:val="28"/>
          <w:szCs w:val="28"/>
        </w:rPr>
        <w:t>决算</w:t>
      </w:r>
      <w:r>
        <w:rPr>
          <w:rFonts w:hint="eastAsia" w:ascii="仿宋_GB2312" w:eastAsia="仿宋_GB2312"/>
          <w:sz w:val="28"/>
          <w:szCs w:val="28"/>
          <w:lang w:val="en-US" w:eastAsia="zh-CN"/>
        </w:rPr>
        <w:t>498.3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41.24%</w:t>
      </w:r>
      <w:r>
        <w:rPr>
          <w:rFonts w:hint="eastAsia" w:ascii="仿宋_GB2312" w:eastAsia="仿宋_GB2312"/>
          <w:sz w:val="28"/>
          <w:szCs w:val="28"/>
        </w:rPr>
        <w:t>。其中：</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“粮油物资事务”（款）2024年度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220万元,2024年度</w:t>
      </w:r>
      <w:r>
        <w:rPr>
          <w:rFonts w:hint="eastAsia" w:ascii="仿宋_GB2312" w:eastAsia="仿宋_GB2312"/>
          <w:sz w:val="28"/>
          <w:szCs w:val="28"/>
        </w:rPr>
        <w:t>决算</w:t>
      </w:r>
      <w:r>
        <w:rPr>
          <w:rFonts w:hint="eastAsia" w:ascii="仿宋_GB2312" w:eastAsia="仿宋_GB2312"/>
          <w:sz w:val="28"/>
          <w:szCs w:val="28"/>
          <w:lang w:val="en-US" w:eastAsia="zh-CN"/>
        </w:rPr>
        <w:t>30.73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13.97%</w:t>
      </w:r>
      <w:r>
        <w:rPr>
          <w:rFonts w:hint="eastAsia" w:ascii="仿宋_GB2312" w:eastAsia="仿宋_GB2312"/>
          <w:sz w:val="28"/>
          <w:szCs w:val="28"/>
        </w:rPr>
        <w:t>。主要原因：由于机构改革，粮食和物资储备职责划入发改委，项目经费一并划转至发改委。</w:t>
      </w:r>
    </w:p>
    <w:p>
      <w:pPr>
        <w:spacing w:line="560" w:lineRule="exact"/>
        <w:ind w:firstLine="420" w:firstLineChars="150"/>
        <w:rPr>
          <w:rFonts w:hint="eastAsia" w:ascii="仿宋_GB2312" w:eastAsia="仿宋_GB2312"/>
          <w:sz w:val="28"/>
          <w:szCs w:val="28"/>
        </w:rPr>
      </w:pPr>
      <w:r>
        <w:rPr>
          <w:rFonts w:hint="eastAsia" w:ascii="仿宋_GB2312" w:eastAsia="仿宋_GB2312"/>
          <w:sz w:val="28"/>
          <w:szCs w:val="28"/>
        </w:rPr>
        <w:t>“重要商品储备”（款）2024年度</w:t>
      </w:r>
      <w:r>
        <w:rPr>
          <w:rFonts w:hint="eastAsia" w:ascii="仿宋_GB2312" w:eastAsia="仿宋_GB2312"/>
          <w:sz w:val="28"/>
          <w:szCs w:val="28"/>
          <w:lang w:eastAsia="zh-CN"/>
        </w:rPr>
        <w:t>年初预算</w:t>
      </w:r>
      <w:r>
        <w:rPr>
          <w:rFonts w:hint="eastAsia" w:ascii="仿宋_GB2312" w:eastAsia="仿宋_GB2312"/>
          <w:sz w:val="28"/>
          <w:szCs w:val="28"/>
          <w:lang w:val="en-US" w:eastAsia="zh-CN"/>
        </w:rPr>
        <w:t>988.36万元,2024年度</w:t>
      </w:r>
      <w:r>
        <w:rPr>
          <w:rFonts w:hint="eastAsia" w:ascii="仿宋_GB2312" w:eastAsia="仿宋_GB2312"/>
          <w:sz w:val="28"/>
          <w:szCs w:val="28"/>
        </w:rPr>
        <w:t>决算</w:t>
      </w:r>
      <w:r>
        <w:rPr>
          <w:rFonts w:hint="eastAsia" w:ascii="仿宋_GB2312" w:eastAsia="仿宋_GB2312"/>
          <w:sz w:val="28"/>
          <w:szCs w:val="28"/>
          <w:lang w:val="en-US" w:eastAsia="zh-CN"/>
        </w:rPr>
        <w:t>467.56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47.31%</w:t>
      </w:r>
      <w:bookmarkStart w:id="0" w:name="_GoBack"/>
      <w:bookmarkEnd w:id="0"/>
      <w:r>
        <w:rPr>
          <w:rFonts w:hint="eastAsia" w:ascii="仿宋_GB2312" w:eastAsia="仿宋_GB2312"/>
          <w:sz w:val="28"/>
          <w:szCs w:val="28"/>
        </w:rPr>
        <w:t>。主要原因：由于机构改革，粮食和物资储备职责划入发改委，项目经费一并划转至发改委。</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2188.4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6.91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12.68</w:t>
      </w:r>
      <w:r>
        <w:rPr>
          <w:rFonts w:hint="eastAsia" w:ascii="仿宋_GB2312" w:eastAsia="仿宋_GB2312"/>
          <w:sz w:val="28"/>
          <w:szCs w:val="28"/>
        </w:rPr>
        <w:t>万元减少5.77万元。其中：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1.因公出国（境）费用。2024年度决算数0万元，比2024年度年初预算数0万元增加（减少）0万元。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2.公务接待费。2024年度决算数0万元，比2024年度年初预算数0.08万元减少0.08万元。主要原因：</w:t>
      </w:r>
      <w:r>
        <w:rPr>
          <w:rFonts w:hint="eastAsia" w:ascii="仿宋_GB2312" w:eastAsia="仿宋_GB2312"/>
          <w:sz w:val="28"/>
          <w:szCs w:val="28"/>
          <w:lang w:eastAsia="zh-CN"/>
        </w:rPr>
        <w:t>落实政府“过紧日子”要求，严控“三公”经费规模，</w:t>
      </w:r>
      <w:r>
        <w:rPr>
          <w:rFonts w:hint="eastAsia" w:ascii="仿宋_GB2312" w:eastAsia="仿宋_GB2312"/>
          <w:sz w:val="28"/>
          <w:szCs w:val="28"/>
        </w:rPr>
        <w:t>减少公务接待次数。</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年度决算数6.91万元，比202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年度年初预算数12.6万元减少5.69万元。其中，公务用车购置费202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存量公务用车可以满足机关日常运行，无需购置新的公务用车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年度决算数6.91万元，主要原因：</w:t>
      </w:r>
      <w:r>
        <w:rPr>
          <w:rFonts w:hint="eastAsia" w:ascii="仿宋_GB2312" w:eastAsia="仿宋_GB2312"/>
          <w:sz w:val="28"/>
          <w:szCs w:val="28"/>
          <w:lang w:eastAsia="zh-CN"/>
        </w:rPr>
        <w:t>为建设节约型机关，优化管理，维修保养、油料管理等更加科学高效</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7</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106.66</w:t>
      </w:r>
      <w:r>
        <w:rPr>
          <w:rFonts w:hint="eastAsia" w:ascii="仿宋_GB2312" w:eastAsia="仿宋_GB2312"/>
          <w:sz w:val="28"/>
          <w:szCs w:val="28"/>
        </w:rPr>
        <w:t>万元，比上年减少2.11万元，增加（减少）原因：机构改革，粮食和物资储备局划入发改委，机关运行经费减少。</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1156.87</w:t>
      </w:r>
      <w:r>
        <w:rPr>
          <w:rFonts w:hint="eastAsia" w:ascii="仿宋_GB2312" w:eastAsia="仿宋_GB2312"/>
          <w:sz w:val="28"/>
          <w:szCs w:val="28"/>
        </w:rPr>
        <w:t>万元，其中：政府采购货物支出936.78万元，政府采购工程支出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万元，政府采购服务支出220.08万元。授予中小企</w:t>
      </w:r>
      <w:r>
        <w:rPr>
          <w:rFonts w:hint="eastAsia" w:ascii="仿宋_GB2312" w:eastAsia="仿宋_GB2312"/>
          <w:sz w:val="28"/>
          <w:szCs w:val="28"/>
          <w:lang w:val="en-US" w:eastAsia="zh-CN"/>
        </w:rPr>
        <w:t xml:space="preserve"> </w:t>
      </w:r>
      <w:r>
        <w:rPr>
          <w:rFonts w:hint="eastAsia" w:ascii="仿宋_GB2312" w:eastAsia="仿宋_GB2312"/>
          <w:sz w:val="28"/>
          <w:szCs w:val="28"/>
        </w:rPr>
        <w:t>业合同金额</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12月31日，北京市大兴区商务局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7</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w:t>
      </w:r>
      <w:r>
        <w:rPr>
          <w:rFonts w:hint="eastAsia" w:ascii="仿宋_GB2312" w:eastAsia="仿宋_GB2312"/>
          <w:sz w:val="28"/>
          <w:szCs w:val="28"/>
          <w:highlight w:val="none"/>
        </w:rPr>
        <w:t>397.92万元。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632" w:firstLineChars="200"/>
        <w:rPr>
          <w:rFonts w:hint="eastAsia" w:ascii="仿宋_GB2312" w:hAnsi="Times New Roman" w:eastAsia="仿宋_GB2312" w:cs="Times New Roman"/>
          <w:b/>
          <w:color w:val="000000"/>
          <w:spacing w:val="-2"/>
          <w:sz w:val="32"/>
          <w:szCs w:val="32"/>
          <w:lang w:eastAsia="zh-CN"/>
        </w:rPr>
      </w:pPr>
      <w:r>
        <w:rPr>
          <w:rFonts w:hint="eastAsia" w:ascii="仿宋_GB2312" w:eastAsia="仿宋_GB2312"/>
          <w:b/>
          <w:color w:val="000000"/>
          <w:spacing w:val="-2"/>
          <w:sz w:val="32"/>
          <w:szCs w:val="32"/>
          <w:lang w:val="en-US" w:eastAsia="zh-CN"/>
        </w:rPr>
        <w:t>7.</w:t>
      </w:r>
      <w:r>
        <w:rPr>
          <w:rFonts w:hint="eastAsia" w:ascii="仿宋_GB2312" w:eastAsia="仿宋_GB2312"/>
          <w:b/>
          <w:color w:val="000000"/>
          <w:spacing w:val="-2"/>
          <w:sz w:val="32"/>
          <w:szCs w:val="32"/>
        </w:rPr>
        <w:t>各</w:t>
      </w:r>
      <w:r>
        <w:rPr>
          <w:rFonts w:hint="eastAsia" w:ascii="仿宋_GB2312" w:eastAsia="仿宋_GB2312"/>
          <w:b/>
          <w:color w:val="000000"/>
          <w:spacing w:val="-2"/>
          <w:sz w:val="32"/>
          <w:szCs w:val="32"/>
          <w:lang w:eastAsia="zh-CN"/>
        </w:rPr>
        <w:t>单位</w:t>
      </w:r>
      <w:r>
        <w:rPr>
          <w:rFonts w:hint="eastAsia" w:ascii="仿宋_GB2312" w:eastAsia="仿宋_GB2312"/>
          <w:b/>
          <w:color w:val="000000"/>
          <w:spacing w:val="-2"/>
          <w:sz w:val="32"/>
          <w:szCs w:val="32"/>
        </w:rPr>
        <w:t>需根据自身业务职能</w:t>
      </w:r>
      <w:r>
        <w:rPr>
          <w:rFonts w:hint="eastAsia" w:ascii="仿宋_GB2312" w:hAnsi="Times New Roman" w:eastAsia="仿宋_GB2312" w:cs="Times New Roman"/>
          <w:b/>
          <w:color w:val="000000"/>
          <w:spacing w:val="-2"/>
          <w:sz w:val="32"/>
          <w:szCs w:val="32"/>
        </w:rPr>
        <w:t>，</w:t>
      </w:r>
      <w:r>
        <w:rPr>
          <w:rFonts w:hint="eastAsia" w:ascii="仿宋_GB2312" w:hAnsi="Times New Roman" w:eastAsia="仿宋_GB2312" w:cs="Times New Roman"/>
          <w:b/>
          <w:color w:val="000000"/>
          <w:spacing w:val="-2"/>
          <w:sz w:val="32"/>
          <w:szCs w:val="32"/>
          <w:lang w:eastAsia="zh-CN"/>
        </w:rPr>
        <w:t>补充当年</w:t>
      </w:r>
      <w:r>
        <w:rPr>
          <w:rFonts w:hint="eastAsia" w:ascii="仿宋_GB2312" w:hAnsi="Times New Roman" w:eastAsia="仿宋_GB2312" w:cs="Times New Roman"/>
          <w:b/>
          <w:color w:val="000000"/>
          <w:spacing w:val="-2"/>
          <w:sz w:val="32"/>
          <w:szCs w:val="32"/>
          <w:lang w:val="en-US" w:eastAsia="zh-CN"/>
        </w:rPr>
        <w:t>使用的所有</w:t>
      </w:r>
      <w:r>
        <w:rPr>
          <w:rFonts w:hint="eastAsia" w:ascii="仿宋_GB2312" w:hAnsi="Times New Roman" w:eastAsia="仿宋_GB2312" w:cs="Times New Roman"/>
          <w:b/>
          <w:color w:val="000000"/>
          <w:spacing w:val="-2"/>
          <w:sz w:val="32"/>
          <w:szCs w:val="32"/>
          <w:lang w:eastAsia="zh-CN"/>
        </w:rPr>
        <w:t>支出功能分类项级科目名词解释，例如：</w:t>
      </w:r>
    </w:p>
    <w:p>
      <w:pPr>
        <w:numPr>
          <w:ilvl w:val="0"/>
          <w:numId w:val="0"/>
        </w:numPr>
        <w:ind w:firstLine="632" w:firstLineChars="200"/>
        <w:rPr>
          <w:rFonts w:hint="eastAsia" w:ascii="仿宋_GB2312" w:eastAsia="仿宋_GB2312"/>
          <w:sz w:val="28"/>
          <w:szCs w:val="28"/>
          <w:lang w:val="en-US" w:eastAsia="zh-CN"/>
        </w:rPr>
      </w:pPr>
      <w:r>
        <w:rPr>
          <w:rFonts w:hint="eastAsia" w:ascii="仿宋_GB2312" w:hAnsi="Times New Roman" w:eastAsia="仿宋_GB2312" w:cs="Times New Roman"/>
          <w:b/>
          <w:color w:val="000000"/>
          <w:spacing w:val="-2"/>
          <w:sz w:val="32"/>
          <w:szCs w:val="32"/>
          <w:lang w:val="en-US" w:eastAsia="zh-CN"/>
        </w:rPr>
        <w:t>一般公共服务支出（类）人大事务（款）行政运行（项）：反映行政单位（包括实行公务员管理的事业单位）的基本支出</w:t>
      </w:r>
      <w:r>
        <w:rPr>
          <w:rFonts w:hint="eastAsia" w:ascii="仿宋_GB2312" w:eastAsia="仿宋_GB2312"/>
          <w:sz w:val="28"/>
          <w:szCs w:val="28"/>
          <w:lang w:val="en-US" w:eastAsia="zh-CN"/>
        </w:rPr>
        <w:t>。</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Noto Sans CJK JP Bold">
    <w:altName w:val="宋体"/>
    <w:panose1 w:val="020B0800000000000000"/>
    <w:charset w:val="86"/>
    <w:family w:val="auto"/>
    <w:pitch w:val="default"/>
    <w:sig w:usb0="00000000" w:usb1="00000000" w:usb2="00000016" w:usb3="00000000" w:csb0="602E0107"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2F4654C"/>
    <w:rsid w:val="032B5196"/>
    <w:rsid w:val="04835DCA"/>
    <w:rsid w:val="04C3537C"/>
    <w:rsid w:val="079004AC"/>
    <w:rsid w:val="0BA148CA"/>
    <w:rsid w:val="0C1165C4"/>
    <w:rsid w:val="0D6D544B"/>
    <w:rsid w:val="0DD136FE"/>
    <w:rsid w:val="0F542F2C"/>
    <w:rsid w:val="0F8E2C57"/>
    <w:rsid w:val="1059665E"/>
    <w:rsid w:val="10AC13BA"/>
    <w:rsid w:val="114C7743"/>
    <w:rsid w:val="145A6C1B"/>
    <w:rsid w:val="14B73493"/>
    <w:rsid w:val="167A2FF9"/>
    <w:rsid w:val="1764587C"/>
    <w:rsid w:val="18581C69"/>
    <w:rsid w:val="1AEC0734"/>
    <w:rsid w:val="1DEF20B0"/>
    <w:rsid w:val="1FF7AB17"/>
    <w:rsid w:val="20324B0D"/>
    <w:rsid w:val="214243FA"/>
    <w:rsid w:val="21AD613C"/>
    <w:rsid w:val="22467189"/>
    <w:rsid w:val="257A14F5"/>
    <w:rsid w:val="27196C26"/>
    <w:rsid w:val="29EF086F"/>
    <w:rsid w:val="2BC34C59"/>
    <w:rsid w:val="2EFFE297"/>
    <w:rsid w:val="301437CA"/>
    <w:rsid w:val="30455770"/>
    <w:rsid w:val="31EA0023"/>
    <w:rsid w:val="349D1F0A"/>
    <w:rsid w:val="34DD0473"/>
    <w:rsid w:val="35F1191B"/>
    <w:rsid w:val="3A8E35DC"/>
    <w:rsid w:val="3C684897"/>
    <w:rsid w:val="3D840E0E"/>
    <w:rsid w:val="433E495C"/>
    <w:rsid w:val="489F2FD7"/>
    <w:rsid w:val="4AC27CB3"/>
    <w:rsid w:val="4BF72BEF"/>
    <w:rsid w:val="4FA90297"/>
    <w:rsid w:val="4FC41A43"/>
    <w:rsid w:val="51DB3C59"/>
    <w:rsid w:val="54B744C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7FA5709"/>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100" w:firstLineChars="100"/>
    </w:pPr>
  </w:style>
  <w:style w:type="paragraph" w:styleId="3">
    <w:name w:val="Body Text"/>
    <w:basedOn w:val="1"/>
    <w:next w:val="4"/>
    <w:qFormat/>
    <w:uiPriority w:val="0"/>
    <w:rPr>
      <w:b/>
      <w:bCs/>
      <w:sz w:val="36"/>
    </w:rPr>
  </w:style>
  <w:style w:type="paragraph" w:styleId="4">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6">
    <w:name w:val="Normal Indent"/>
    <w:basedOn w:val="1"/>
    <w:qFormat/>
    <w:uiPriority w:val="0"/>
    <w:pPr>
      <w:ind w:firstLine="200" w:firstLineChars="200"/>
    </w:pPr>
  </w:style>
  <w:style w:type="paragraph" w:styleId="7">
    <w:name w:val="Body Text Indent"/>
    <w:basedOn w:val="1"/>
    <w:qFormat/>
    <w:uiPriority w:val="0"/>
    <w:pPr>
      <w:ind w:firstLine="645"/>
    </w:pPr>
    <w:rPr>
      <w:rFonts w:ascii="仿宋_GB2312" w:hAnsi="Calibri" w:eastAsia="仿宋_GB2312"/>
      <w:sz w:val="32"/>
      <w:szCs w:val="32"/>
    </w:rPr>
  </w:style>
  <w:style w:type="paragraph" w:styleId="8">
    <w:name w:val="Date"/>
    <w:basedOn w:val="1"/>
    <w:next w:val="1"/>
    <w:qFormat/>
    <w:uiPriority w:val="0"/>
    <w:pPr>
      <w:ind w:left="100" w:leftChars="2500"/>
    </w:pPr>
  </w:style>
  <w:style w:type="paragraph" w:styleId="9">
    <w:name w:val="Balloon Text"/>
    <w:basedOn w:val="1"/>
    <w:semiHidden/>
    <w:qFormat/>
    <w:uiPriority w:val="0"/>
    <w:rPr>
      <w:sz w:val="18"/>
      <w:szCs w:val="18"/>
    </w:rPr>
  </w:style>
  <w:style w:type="paragraph" w:styleId="10">
    <w:name w:val="footer"/>
    <w:basedOn w:val="1"/>
    <w:link w:val="16"/>
    <w:qFormat/>
    <w:uiPriority w:val="0"/>
    <w:pPr>
      <w:tabs>
        <w:tab w:val="center" w:pos="4153"/>
        <w:tab w:val="right" w:pos="8306"/>
      </w:tabs>
      <w:snapToGrid w:val="0"/>
      <w:jc w:val="left"/>
    </w:pPr>
    <w:rPr>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6">
    <w:name w:val="页脚 Char"/>
    <w:link w:val="10"/>
    <w:qFormat/>
    <w:uiPriority w:val="0"/>
    <w:rPr>
      <w:rFonts w:eastAsia="宋体"/>
      <w:kern w:val="2"/>
      <w:sz w:val="18"/>
      <w:szCs w:val="18"/>
      <w:lang w:val="en-US" w:eastAsia="zh-CN" w:bidi="ar-SA"/>
    </w:rPr>
  </w:style>
  <w:style w:type="character" w:customStyle="1" w:styleId="17">
    <w:name w:val="页眉 Char"/>
    <w:link w:val="4"/>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7178.35</c:v>
                </c:pt>
                <c:pt idx="1">
                  <c:v>0</c:v>
                </c:pt>
                <c:pt idx="2">
                  <c:v>0</c:v>
                </c:pt>
                <c:pt idx="3">
                  <c:v>0</c:v>
                </c:pt>
                <c:pt idx="4">
                  <c:v>0</c:v>
                </c:pt>
                <c:pt idx="5">
                  <c:v>2.45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2188.4</c:v>
                </c:pt>
                <c:pt idx="1">
                  <c:v>5156.67</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user</cp:lastModifiedBy>
  <cp:lastPrinted>2025-10-10T02:43:03Z</cp:lastPrinted>
  <dcterms:modified xsi:type="dcterms:W3CDTF">2025-10-10T03:00:44Z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