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/>
          <w:sz w:val="30"/>
          <w:szCs w:val="30"/>
          <w:highlight w:val="none"/>
          <w:lang w:val="en-US" w:eastAsia="zh-CN"/>
        </w:rPr>
      </w:pPr>
      <w:r>
        <w:rPr>
          <w:rFonts w:hint="eastAsia" w:ascii="黑体" w:hAnsi="黑体" w:eastAsia="黑体"/>
          <w:sz w:val="30"/>
          <w:szCs w:val="30"/>
          <w:highlight w:val="none"/>
          <w:lang w:val="en-US" w:eastAsia="zh-CN"/>
        </w:rPr>
        <w:t xml:space="preserve">附件3-1      </w:t>
      </w:r>
    </w:p>
    <w:p>
      <w:pPr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z w:val="44"/>
          <w:szCs w:val="44"/>
          <w:highlight w:val="none"/>
        </w:rPr>
        <w:t>新建和规范提升生活性服务业网点项目</w:t>
      </w:r>
    </w:p>
    <w:p>
      <w:pPr>
        <w:jc w:val="center"/>
        <w:rPr>
          <w:rFonts w:hint="eastAsia" w:ascii="楷体_GB2312" w:hAnsi="楷体_GB2312" w:eastAsia="楷体_GB2312" w:cs="楷体_GB2312"/>
          <w:b/>
          <w:bCs/>
          <w:sz w:val="44"/>
          <w:szCs w:val="44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z w:val="44"/>
          <w:szCs w:val="44"/>
          <w:highlight w:val="none"/>
        </w:rPr>
        <w:t>项目支出绩效评价报告</w:t>
      </w:r>
    </w:p>
    <w:p>
      <w:pPr>
        <w:jc w:val="center"/>
        <w:rPr>
          <w:rFonts w:ascii="仿宋_GB2312"/>
          <w:szCs w:val="30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0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1.项目背景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通过生活服务业转型升级，激发社区商业活力。准确把握生活服务业的商业性和普惠性双重属性，坚持政府引导、市场主导、行业自律，按照拓展空间、丰富业态、提升品质、优化监管的思路，巩固蔬菜零售、便利店（社区超市）、早餐、家政、美发美容、末端配送（快递柜）、便民维修、洗染等 8 项基本便民服务功能全市社区全覆盖成果，强化城乡统筹发展。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2.项目主要内容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生活性服务业发展提升项目主要包括：便民菜店、便民早餐、家政服务、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便民理发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网点等多种业态，推动生活性服务业建设，是近年来市、区两级政府服务民生的重点工作之一。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3.项目实施情况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通过加强政策引领、完善工作机制、聚焦品质提升、抓好城乡统筹等多措并举，着力推进蔬菜零售、便民早餐、便利店（超市）等基本便民服务业态发展，圆满完成了预定的目标任务及相关重点工作。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年新建提升网点任务为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个，实际完成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个，经审核符合政策支持的网点43个，拨付资金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支持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共计7510011.36元。我区便民网点规范化、连锁化、品牌化发展水平进一步提升，网点数量稳步增加，网点品牌化、连锁化、规范化发展水平扎实推进，便民业态和服务搭载更丰富，进一步织密、织细了我区生活性服务业网点，服务居民便利性、多样化生活需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eastAsia="zh-CN"/>
        </w:rPr>
        <w:t>二</w:t>
      </w: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</w:rPr>
        <w:t>）项目绩效目标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生活性服务业发展提升项目，是我局结合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区级为民办实事项目内容开展的一项工作内容，依托区级财政资金，通过制定并发布年度资金扶持政策，指导各镇、街道助力企业发展提升生活性服务业网点，提高辖区便民服务水平，更好地服务群众。由于生活性服务业企业不隶属于区商务局，且该项目主要目标为提升便民网点建设与服务水平，因此我局没有设置经济效益指标。同时，因生活性服务业网点不涉及环境相关工作，因此我局没有设置环境效益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生活性服务业发展提升项目逐年制定绩效目标，从群众实际需求出发，在完成发展提升生活性服务业网点任务的前提下，全面推进便利店(超市)、便民早餐、蔬菜零售等8项便民服务业态品质提升工作，通过增设网点、提升品质，扩大便民服务覆盖范围，提升品质企业门店连锁化率，更好满足群众生活消费需求。具体指标情况说明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产出指标包括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个方面：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（1）产出数量指标为：发展提升生活性服务网点50个。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（2）产出质量指标为：选取符合《关于2023年新建和规范提升生活性服务业网点项目申报指南》要求的项目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（3）产出时效指标为：新建提升完成时限小于等于12月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成本指标包括经济成本指标为：资金支持小于等于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8000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00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效益指标包括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个方面：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）社会效益指标为：降低生活性服务业参与企业运营成本，提升服务品质，提高生活性服务网点覆盖率，更好地满足群众生活需求。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）服务对象满意度指标为：群众对生活性服务业品质提升工作满意度达到80%以上，相关镇、街道及企业对生活性服务业品质提升工作满意度达到85%以上。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  <w:t>二、绩效评价工作开展情况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（一）绩效评价目的、对象和范围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1.绩效评价目的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通过梳理总结项目决策、项目管理和项目绩效中存在的问题，为改进工作提供建议和依据，提高科学决策水平，促进项目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负责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科室树立以结果为导向的绩效管理理念，规范项目管理，保障项目资金使用的规范性。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2.绩效评价对象和范围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（1）评价对象：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年度用于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支持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新建或规范提升的蔬菜零售、便利店（超市）、便民早餐等生活性服务业网点的项目资金支出。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（2）评审范围：项目相关资料、项目实施过程、项目规范性及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评审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相关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情况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（二）绩效评价原则、绩效评价指标体系、评价方法、评价标准等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1.绩效评价原则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评价工作遵循“客观、公正、科学、规范”的原则，对反映项目决策、管理、绩效等内容的资料和数据进行分析。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绩效评价方法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-SA"/>
        </w:rPr>
        <w:t>生活性服务业发展提升项目绩效自评工作，采取定量和定性评价相结合的比较法，总分由各项指标汇总形成。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-SA"/>
        </w:rPr>
        <w:t>定量指标得分按以下方法评定：与年初指标值相比，完成指标值的，记该指标所赋全部分值；如果是由于年初指标值设定明显偏低造成的，要按照偏离度适度调减分值；未完成指标值的，按照完成值在指标值中所占比例计分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-SA"/>
        </w:rPr>
        <w:t>定性指标得分按以下方法评定：根据指标完成情况分为达成年度指标、部分达成年度指标且有一定效果、未达成年度指标且效果较差3档。分别按照该指标对应分支区间100%-80%（含80%）、80%-60%（含60%）、60%-0%合理确定分值。各项绩效指标得分汇总成该项目自评的总分，总分设置为100分，等级一般划分为4档：90（含）-100分为优、80（含）-90分为良、60（含）-80分为中、60分以下为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（三）绩效评价工作过程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第一阶段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认真学习财政项目支出绩效评价规范，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明确工作分工职责和时间节点，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专人负责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全面开展自评工作。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第二阶段：积极配合财政评价工作，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根据财政绩效工作组工作要求收集整理绩效评价资料，围绕项目决策、管理和绩效进行资料梳理。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第三阶段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通过综合评价、分析，形成绩效评价报告。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  <w:t>三、综合评价情况及评价结论（附相关评分表）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eastAsia="zh-CN"/>
        </w:rPr>
        <w:t>项目整体分值100分，扣除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0分，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eastAsia="zh-CN"/>
        </w:rPr>
        <w:t>自评得分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100分，评价结论为“优”。其中：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1.产出指标分值共计40分，以12月底前按要求发展提升生活性服务网点50个为目标。12月底内发展提升生活性服务网点52个，按照《关于2023年新建和规范提升生活性服务业网点项目申报指南》要求，申请政策支持46个，共得40分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成本指标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分值10分，经济成本指标为区级资金支持小于等于8000000元，本年度拨付补贴资金共计7510011.36元,得10分；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社会效益指标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分值30分，本次项目通过核验的共计43个便民网点，涉及14个属地，提高了生活性服务网点覆盖率，不同业态更好的满足了居民日常需求，得30分；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服务对象满意度指标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分值10分，开展针对服务对象调查，发放满意度调查问卷56份、调查56家/人次，经分析，相关镇、街道及企业对生活性服务业品质提升工作满意度95%得5分、群众对生活性服务业品质提升工作满意度91%得5分，共得10分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5.项目执行率分值10分，年初</w:t>
      </w:r>
      <w:r>
        <w:rPr>
          <w:rFonts w:hint="default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资金总额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8000000元，后追减为7510011.36元，全年执行7510011.36元，执行率100%，得10分。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tbl>
      <w:tblPr>
        <w:tblStyle w:val="8"/>
        <w:tblW w:w="945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902"/>
        <w:gridCol w:w="1197"/>
        <w:gridCol w:w="263"/>
        <w:gridCol w:w="1151"/>
        <w:gridCol w:w="1046"/>
        <w:gridCol w:w="1512"/>
        <w:gridCol w:w="954"/>
        <w:gridCol w:w="88"/>
        <w:gridCol w:w="795"/>
        <w:gridCol w:w="8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4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（2024年度）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6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新建和规范提升生活性服务业网点项目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6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区商务局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区商务局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65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安伟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81298262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6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年初预算</w:t>
            </w:r>
          </w:p>
        </w:tc>
        <w:tc>
          <w:tcPr>
            <w:tcW w:w="10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1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9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8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年度资金总额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7510011.36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7510011.36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10分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其中：当年财政拨款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7510011.36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7510011.36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上年结转资金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lang w:val="en-US" w:eastAsia="zh-CN" w:bidi="ar"/>
              </w:rPr>
              <w:t>其他资金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9"/>
                <w:lang w:val="en-US" w:eastAsia="zh-CN" w:bidi="ar"/>
              </w:rPr>
              <w:t>中央直达资金</w:t>
            </w:r>
            <w:r>
              <w:rPr>
                <w:rStyle w:val="10"/>
                <w:lang w:val="en-US" w:eastAsia="zh-CN" w:bidi="ar"/>
              </w:rPr>
              <w:t xml:space="preserve"> 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0</w:t>
            </w:r>
          </w:p>
        </w:tc>
        <w:tc>
          <w:tcPr>
            <w:tcW w:w="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  <w:tc>
          <w:tcPr>
            <w:tcW w:w="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预期目标</w:t>
            </w:r>
          </w:p>
        </w:tc>
        <w:tc>
          <w:tcPr>
            <w:tcW w:w="42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从群众需求出发，推进早餐、蔬菜零售、末端配送等便民服务业态品质提升工作，扩大服务覆盖范围，提升行业连锁率，更好地满足群众生活消费需求。</w:t>
            </w:r>
          </w:p>
        </w:tc>
        <w:tc>
          <w:tcPr>
            <w:tcW w:w="42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共新建和规范提升蔬菜零售、早餐、便利店（超市）、便民理发、洗染等基本便民商业网点52个，经审核符合政策支持的网点43个，拨付补贴资金共计7510011.36元。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6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产出指标（40分）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发展提升生活性服务网点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50个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发展提升生活性服务网点52个，申请政策支持46个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1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选取符合《关于2023年新建和规范提升生活性服务业网点项目申报指南》要求的项目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1、申报主体为在本市行政区域内注册（菜市场项目为本区注册）的具有相关业态从业资格的商业企业，证照齐全。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2、要求连锁经营的项目应在全市有5家以上门店。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3、要求营业面积、经营时限、经营品种的业态严格按照规定进行筛选。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按照《关于2023年新建和规范提升生活性服务业网点项目申报指南》要求，择优选取便民网点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新建提升完成时限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小于等于12月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建设完成时限12月以内完成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成本指标（10分）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资金支持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小于等于800万元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拨付补贴资金共计7510011.36元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满足群众生活需求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降低生活性服务业参与企业运营成本，提升服务品质，提高生活性服务网点覆盖率，更好地满足群众生活需求。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本次项目通过核验的共计43个便民网点，涉及14个属地，提高了生活性服务网点覆盖率，不同业态更好的满足了居民日常需求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1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相关镇、街道及企业对生活性服务业品质提升工作满意度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大于等于85%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满意度95%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群众对生活性服务业品质提升工作满意度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大于等于80%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不同业态更好的满足了居民日常需求，满意度91%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……</w:t>
            </w:r>
          </w:p>
        </w:tc>
        <w:tc>
          <w:tcPr>
            <w:tcW w:w="1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7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总分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  <w:t>四、绩效评价指标分析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（一）项目决策情况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推动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生活性服务业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建设，既是群众需求也是政府责任。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一是政府责任。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区政府为民办实事工作要求来看：2023年生活性服务业建设工作为区政府为民办实事项目之一，即《关于印发2023年办好重要民生实事项目分工方案的通知》（京兴政办发〔2023〕2号）第12项工作，具体内容为：“发展提升规范化、连锁化便利店（社区超市）、便民早餐、蔬菜零售、末端配送等生活性服务业网点 50 个，进一步方便群众生活”，主责单位为区商务局。因此，我局结合实际，按照区政府为民办实事工作部署开展生活性服务业发展提升工作。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二是群众需求。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通过了解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群众需求，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从行业指导角度出发，通过与属地对接，政策引导、资金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支持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等方式，指导企业发展提升，为群众做好服务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根据《关于2023年新建和规范提升生活性服务业网点项目申报指南》的资金使用方向，以及我局制定的财务制度、三重一大制度等，严格按照相关规定使用资金，专款专用，并经班子会研究讨论，使用资金为年初预算的新建和规范提升生活性服务业网点项目8000000元；同时填写项目资金审批表，层层审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highlight w:val="none"/>
          <w:lang w:val="en-US" w:eastAsia="zh-CN" w:bidi="ar-SA"/>
        </w:rPr>
        <w:t>批。严格依审计报告进行资金拨付，并将拨付申请报送区财政局审批，资金方可到达企业账户，做到多层次多部门审查、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  <w:t>审批。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 w:right="0" w:rightChars="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（二）项目过程情况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1.项目过程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（1）工作流程及资金支持方式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各镇、街道按照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年新建和规范提升生活性服务业网点项目申报指南》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，征集、筛选并报送辖区内符合指导标准的生活性服务业项目。生活性服务业项目发展提升费用由企业先期投入（资金为企业自筹），在企业完成便民商业项目后，由区财政局、区商务局、属地联合进行实地验收，经初步验收通过的项目，要接受区财政局委派的第三方审计机构进行验收审计，根据项目审计报告核定结果，通过直接拨付的形式对便民商业项目拨付支持资金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Chars="200" w:right="0" w:rightChars="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-SA"/>
        </w:rPr>
        <w:t>（2）项目组织情况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第一阶段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2024年1月份前</w:t>
      </w:r>
      <w:r>
        <w:rPr>
          <w:rFonts w:hint="eastAsia" w:ascii="仿宋_GB2312" w:hAnsi="仿宋_GB2312" w:eastAsia="仿宋_GB2312" w:cs="仿宋_GB2312"/>
          <w:sz w:val="32"/>
          <w:szCs w:val="32"/>
        </w:rPr>
        <w:t>，做好工作部署。制定并出台生活性服务业品质提升工作政策，同时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通过区商务局公众号面向社会公布</w:t>
      </w:r>
      <w:r>
        <w:rPr>
          <w:rFonts w:hint="eastAsia" w:ascii="仿宋_GB2312" w:hAnsi="仿宋_GB2312" w:eastAsia="仿宋_GB2312" w:cs="仿宋_GB2312"/>
          <w:sz w:val="32"/>
          <w:szCs w:val="32"/>
        </w:rPr>
        <w:t>便民实事项目申报通知和申报流程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指导各镇、街道及相关主体企业做好本年度便民商业项目建设、遴选、申报等工作。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第二阶段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</w:t>
      </w:r>
      <w:r>
        <w:rPr>
          <w:rFonts w:hint="eastAsia" w:ascii="仿宋_GB2312" w:hAnsi="仿宋_GB2312" w:eastAsia="仿宋_GB2312" w:cs="仿宋_GB2312"/>
          <w:sz w:val="32"/>
          <w:szCs w:val="32"/>
        </w:rPr>
        <w:t>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月，做好项目指导与征集。与各属地、各部门对接，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各镇、街道针对本辖区内便民商业项目需求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和申报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情况，负责对申报材料初审把关，经初审合格后报送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进行复审。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第三阶段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2024年7</w:t>
      </w:r>
      <w:r>
        <w:rPr>
          <w:rFonts w:hint="eastAsia" w:ascii="仿宋_GB2312" w:hAnsi="仿宋_GB2312" w:eastAsia="仿宋_GB2312" w:cs="仿宋_GB2312"/>
          <w:sz w:val="32"/>
          <w:szCs w:val="32"/>
        </w:rPr>
        <w:t>-1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月，做好项目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确定及</w:t>
      </w:r>
      <w:r>
        <w:rPr>
          <w:rFonts w:hint="eastAsia" w:ascii="仿宋_GB2312" w:hAnsi="仿宋_GB2312" w:eastAsia="仿宋_GB2312" w:cs="仿宋_GB2312"/>
          <w:sz w:val="32"/>
          <w:szCs w:val="32"/>
        </w:rPr>
        <w:t>验收。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根据各镇、街道报送的项目情况，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联合属地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进行实地走访并给予指导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，严格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按照生活性服务业品质提升工作政策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，确定年度项目申报主体企业名单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指导属地按照财政局工作要求通知符合标准的企业准备申报材料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我局安排专人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对各镇、街道及相关主体企业的申报项目进行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材料复审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，并将材料报至区财政局。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第四阶段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2024年11-12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完成项目三方审计及拨付项目补贴资金。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配合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区财政局委派的第三方审计机构进行验收审计，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经验收和评审合格的项目，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按区财政资金管理使用相关规定进行资金拨付。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Chars="200" w:right="0" w:rightChars="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（3）项目实施情况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2023年生活性服务业建设项目总投资20448271.14元，全部为企业自筹，我局根据项目总投资情况按照不超过企业投资50%的比例及最高上限额两项标准给予项目补贴，财政预算申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val="en-US" w:eastAsia="zh-CN" w:bidi="ar-SA"/>
        </w:rPr>
        <w:t>请7510011.36元用于支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持项目相关企业。经财政局委派的第三方审计机构审计，并出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-SA"/>
        </w:rPr>
        <w:t>具《大兴区新建和规范提升生活性服务业网点项目结算评审报告》，核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定项目总投资为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15525925.75元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，核定拟补贴资金为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val="en-US" w:eastAsia="zh-CN" w:bidi="ar-SA"/>
        </w:rPr>
        <w:t>7510011.36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元，于2024年12月将核定补贴资金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val="en-US" w:eastAsia="zh-CN" w:bidi="ar-SA"/>
        </w:rPr>
        <w:t>7510011.36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元直接拨付各相关企业，支持资金已全部拨付到位。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Chars="200" w:right="0" w:rightChars="0"/>
        <w:jc w:val="left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（4）项目管理情况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为提升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生活性服务业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建设工作水平，提高政策支持的准确性与针对性，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从工作部署、标准制定、公开征集、走访指导、监管验收、资金拨付6个方面为抓手，不断完善工作机制，确保对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生活性服务业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项目管理到位、确保成效。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2.项目过程情况自评：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（1）预算编制的合理性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2023年区商务局根据项目总投资情况按照不超过企业投资50%的比例及最高上限额两项标准给予项目支持，2023全年预算数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val="en-US" w:eastAsia="zh-CN" w:bidi="ar-SA"/>
        </w:rPr>
        <w:t>7510011.36元。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预算编制基本合理，预算明细单一，细化、准确。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（2）预算执行的规范性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年新建和规范提升生活性服务业网点项目申报指南》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，区商务局于2024年12月将核定支持资金拨付给项目单位，支持资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金全部到位。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评价认为，资金支出流程执行较为规范，核定投资额经过第三方机构认可，无截留、挤占、违规支出情况。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（3）资金到位情况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区商务局于2024年12月将核定支持资金拨付给2023年度项目单位，支持资金全部到位。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（4）财务管理情况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项目资金管理较为规范、严谨，能严格根据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年新建和规范提升生活性服务业网点项目申报指南》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资金使用方向，以及商务局的三重一大制度、内控等制度文件要求，使用鼓励资金，专款专用，资金支出经过党组会研究议论，同时填写项目资金审批表，层层审批。严格依照第三方出具的审计报告进行资金拨付。财政资金过程监督管理较为严格。会计核算规范，科目设置合理，不存在虚列、套取现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（5）实施方案的有效性及制度及实施方案执行情况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公开征集项目，政策覆盖全区。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高度重视项目征集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工作，通过工作部署会、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区商务局微信公众号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上发布项目申报通知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，工作人员微信群、朋友圈转发等方式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相结合，力争使得更多企业了解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生活性服务业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建设工作，</w:t>
      </w:r>
      <w:r>
        <w:rPr>
          <w:rFonts w:hint="eastAsia" w:ascii="仿宋_GB2312" w:hAnsi="仿宋_GB2312" w:eastAsia="仿宋_GB2312" w:cs="仿宋_GB2312"/>
          <w:sz w:val="32"/>
          <w:szCs w:val="32"/>
        </w:rPr>
        <w:t>调动企业参与的积极性，形成全社会关注、共同推进的工作氛围，实现政策在全区范围内全覆盖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加强项目走访，做好指导工作。根据相关镇、街道征集报送的便民商业项目，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安排专人，联合属地部门，到项目实地进行走访指导，深入了解项目实际情况，并对项目企业提出的问题进行详细解答，帮助企业提高项目发展提升的科学性、合理性与实效性，进一步提高相关项目便民服务水平，确保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生活性服务业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建设工作质量。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60" w:lineRule="exact"/>
        <w:ind w:left="0" w:leftChars="0" w:right="0" w:rightChars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规范资金拨付，保障补贴到位。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2023年，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《关于2023年大兴区生活性服务业品质提升项目的结算评审报告》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于2024年12月将核定补贴资金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lang w:val="en-US" w:eastAsia="zh-CN" w:bidi="ar-SA"/>
        </w:rPr>
        <w:t>7510011.36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元直接拨付至相关项目企业，支持资金已全部拨付到位。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（三）项目产出情况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.基本情况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2023年大兴区政府为民办重要实事任务，要求计划发展提升50个生活性服务业网点，实际完成52个生活性服务业网点，超额完成预期目标，经审核43个网点符合政策支持获得财政资金。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 w:bidi="ar-SA"/>
        </w:rPr>
        <w:t>2.项目情况自评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eastAsia="zh-CN"/>
        </w:rPr>
        <w:t>项目自评得分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100分。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产出指标以12月底前按要求发展提升生活性服务网点50个为目标。本年度发展提升生活性服务网点52个，超额2个，按照《关于2023年新建和规范提升生活性服务业网点项目申报指南》要求，申请政策支持的企业46个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产出指标细化量化程序较好，明确了项目计划建设内容、类型、评价标准，能够有效衡量项目产出指标实现情况。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经济成本指标为区级资金支持小于等于8000000元，后追减为7510011.36元，本年度拨付支持资金共计7510011.36元,执行率100%。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社会效益指标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为更好的满足居民需求，本次项目通过核验的共计43个便民网点，涉及14个属地，提高了优质生活性服务网点覆盖率，不同业态更好的满足了居民日常需求。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服务对象满意度指标</w:t>
      </w: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，开展针对服务对象调查，发放满意度调查问卷56份、调查56家/人次，经分析，相关镇、街道及企业对生活性服务业品质提升工作满意度95%、群众对生活性服务业品质提升工作满意度91%，均已达标。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000000"/>
          <w:kern w:val="0"/>
          <w:sz w:val="32"/>
          <w:szCs w:val="32"/>
          <w:highlight w:val="none"/>
          <w:lang w:val="en-US" w:eastAsia="zh-CN"/>
        </w:rPr>
        <w:t>（四）项目效益情况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1.基本情况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生活性服务业建设提升项目资金属于专项资金支持，也就是在企业实施的项目开展之后进行的支持，旨在通过对重点连锁餐饮（早餐）、菜店（生鲜超市）、便利店等网点已发生的房屋租金、店面装修及硬软件设备购置等方面的支出给予支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通过项目长期实施，引导企业规范化、连锁化发展，提升服务品质，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促进大兴区生活性服务业发展，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为群众持续提供较好的消费环境。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lang w:val="en-US" w:eastAsia="zh-CN" w:bidi="ar-SA"/>
        </w:rPr>
        <w:t>2.项目情况自评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促进生活性服务业进一步发展。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通过为民办实事项目，鼓励带动更多社会资本投入生活性服务业领域，激励企业加大连锁门店建设，增加门店铺设数量，2023年获得资金支持的新建和规范连锁网点27个，占总体的62.8%。增加品牌建设投入，阳阳中国饭、小果哩等本土企业增强自主品牌创新能力，发挥品牌企业榜样力量，为促进更多优质品牌孵化、发展提供持续发展动力，生活性服务业网点布局更加完善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（2）不断丰富生活性服务业业态。在持续推进“菜篮子”、便民早餐等业态发展的同时，优化服务生活性服务业网点、发展品牌连锁、不断完善服务搭载功能。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引导企业增加服务业业态，建设社区商业区综合体1处。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（3）城乡消费环境得到进一步改善。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通过2023年实事工程支持，大兴区生活性服务业网点进一步增加，城乡居民消费环境进一步改善，有效改善了农村地区消费环境，社会效益显著。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4）发挥优质企业带头作用。获得财政支持的部分企业承担了更多稳保就业及社会公益的责任，高度配合政府和相关部门，加入生活必需品供应企业名单，节假日期间提前储备供应，保证不缺货断货，保供稳价。在保供应、保民生的工作中起到了带头示范作用。同时，便民理发企业积极融入一刻钟便民生活圈建设，配合所在属地开展义工进社区、免费为60岁以上老人理发等公益活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0" w:righ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（5）生活性服务业品质提升认可度达标。开展针对服务对象调查，相关镇、街道及企业对生活性服务业品质提升工作满意度95%、群众对生活性服务业品质提升工作满意度91%。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  <w:t>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深入调研、科学布局。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主要领导多次带队，积极与镇街、企业等相关部门沟通联系，征求各方面关于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生活性服务业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建设的意见和建议，汇总提炼，以群众需求较为迫切、意见较为集中的问题为重点，以城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乡一体化发展为导向，研究制定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年度生活性服务业新建和规范指导标准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，进一步明确了建设原则、发展重点、任务指标和具体措施，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对各镇街、企业在发展生活性服务业工作上进行了更加科学有效的指导。</w:t>
      </w:r>
    </w:p>
    <w:p>
      <w:pPr>
        <w:keepNext w:val="0"/>
        <w:keepLines w:val="0"/>
        <w:pageBreakBefore w:val="0"/>
        <w:widowControl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left="0" w:leftChars="0"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加强宣传，公开征集。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一直重视信息公开与实事宣传工作，不断强调信息及时有效公开，让企业及时了解政策动向，调动其参与的积极性，形成全社会关注、共同推进生活性服务业品质提升的良好氛围。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2023年底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印发生活性服务业品质提升工作政策，通过各镇街征集实事项目，并利用单位网站公开征集信息。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</w:rPr>
        <w:t>公平公正，逐项评审。为实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现公平公正的对待每一个参与企业，维护企业参与生活性服务业网点建设及品质提升的积极性，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会同区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财政局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，委托第三方评审公司对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申报项目进行逐项评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审。经审计，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共有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43个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项目通过评审获得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支持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  <w:t>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在下一年工作中，参考市级相关政策及主要工作，结合本区实际，适当调整业态及支持内容、标准等，鼓励便民企业更好的服务于居民。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  <w:lang w:eastAsia="zh-CN"/>
        </w:rPr>
        <w:t>七、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highlight w:val="none"/>
        </w:rPr>
        <w:t>其他需要说明的问题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rPr>
          <w:highlight w:val="none"/>
        </w:rPr>
      </w:pPr>
    </w:p>
    <w:p>
      <w:pPr>
        <w:jc w:val="both"/>
        <w:rPr>
          <w:rFonts w:hint="eastAsia" w:ascii="黑体" w:hAnsi="黑体" w:eastAsia="黑体"/>
          <w:sz w:val="30"/>
          <w:szCs w:val="30"/>
          <w:highlight w:val="none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Noto Sans Syriac Eastern">
    <w:altName w:val="宋体"/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D3F17E8"/>
    <w:multiLevelType w:val="singleLevel"/>
    <w:tmpl w:val="FD3F17E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00000"/>
    <w:rsid w:val="03DA42D3"/>
    <w:rsid w:val="08D950F1"/>
    <w:rsid w:val="0A512204"/>
    <w:rsid w:val="0B4F4EC9"/>
    <w:rsid w:val="12CE7C70"/>
    <w:rsid w:val="17FFF9DD"/>
    <w:rsid w:val="1E5F416F"/>
    <w:rsid w:val="237A7EAC"/>
    <w:rsid w:val="23FD383A"/>
    <w:rsid w:val="27795C59"/>
    <w:rsid w:val="28B5798E"/>
    <w:rsid w:val="2D1C3C2D"/>
    <w:rsid w:val="2D743669"/>
    <w:rsid w:val="30666BE7"/>
    <w:rsid w:val="317E3A6E"/>
    <w:rsid w:val="3323681A"/>
    <w:rsid w:val="34C01D02"/>
    <w:rsid w:val="36E23C1F"/>
    <w:rsid w:val="38A61B36"/>
    <w:rsid w:val="3BE14B59"/>
    <w:rsid w:val="3C112178"/>
    <w:rsid w:val="3CA21CCC"/>
    <w:rsid w:val="3FF719F0"/>
    <w:rsid w:val="438A7C97"/>
    <w:rsid w:val="447D117C"/>
    <w:rsid w:val="46FF7F8F"/>
    <w:rsid w:val="4986691F"/>
    <w:rsid w:val="4F4B60ED"/>
    <w:rsid w:val="4FEF17B7"/>
    <w:rsid w:val="4FFF72A6"/>
    <w:rsid w:val="514065A0"/>
    <w:rsid w:val="57A55D95"/>
    <w:rsid w:val="57FFD90A"/>
    <w:rsid w:val="5E550871"/>
    <w:rsid w:val="5FF764B1"/>
    <w:rsid w:val="5FFF9F1B"/>
    <w:rsid w:val="69A262CD"/>
    <w:rsid w:val="6AEBB5AA"/>
    <w:rsid w:val="6C77A7F7"/>
    <w:rsid w:val="6E747590"/>
    <w:rsid w:val="71F7B6DF"/>
    <w:rsid w:val="720B2D11"/>
    <w:rsid w:val="72535B88"/>
    <w:rsid w:val="72D4D75D"/>
    <w:rsid w:val="74FD259C"/>
    <w:rsid w:val="75E73417"/>
    <w:rsid w:val="776F2858"/>
    <w:rsid w:val="77F7C90B"/>
    <w:rsid w:val="797154BA"/>
    <w:rsid w:val="79BFA7A8"/>
    <w:rsid w:val="7A576986"/>
    <w:rsid w:val="7A7BE003"/>
    <w:rsid w:val="7F3DCFB3"/>
    <w:rsid w:val="7FB25EE2"/>
    <w:rsid w:val="7FF7E053"/>
    <w:rsid w:val="94F7D73A"/>
    <w:rsid w:val="AEFE55B1"/>
    <w:rsid w:val="B2254456"/>
    <w:rsid w:val="BBD6156E"/>
    <w:rsid w:val="BDFE1F4F"/>
    <w:rsid w:val="CDBDEE51"/>
    <w:rsid w:val="CEAF98CD"/>
    <w:rsid w:val="CF5F838A"/>
    <w:rsid w:val="E16F063B"/>
    <w:rsid w:val="EAFFFD84"/>
    <w:rsid w:val="EBB8DC51"/>
    <w:rsid w:val="EBFBECA4"/>
    <w:rsid w:val="ED2B02DA"/>
    <w:rsid w:val="EFBD4CDB"/>
    <w:rsid w:val="EFF98604"/>
    <w:rsid w:val="F77F3269"/>
    <w:rsid w:val="F77F74EF"/>
    <w:rsid w:val="F78EDF19"/>
    <w:rsid w:val="F9BDE503"/>
    <w:rsid w:val="FEF5A5FD"/>
    <w:rsid w:val="FEF5F820"/>
    <w:rsid w:val="FF71AF81"/>
    <w:rsid w:val="FF7EDDBF"/>
    <w:rsid w:val="FFB59517"/>
    <w:rsid w:val="FFF4A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  <w:style w:type="paragraph" w:styleId="3">
    <w:name w:val="Body Text"/>
    <w:basedOn w:val="1"/>
    <w:unhideWhenUsed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Subtitle"/>
    <w:basedOn w:val="1"/>
    <w:next w:val="1"/>
    <w:qFormat/>
    <w:uiPriority w:val="0"/>
    <w:pPr>
      <w:jc w:val="left"/>
      <w:outlineLvl w:val="2"/>
    </w:pPr>
    <w:rPr>
      <w:rFonts w:ascii="Cambria" w:hAnsi="Cambria" w:eastAsia="黑体"/>
      <w:bCs/>
      <w:kern w:val="28"/>
      <w:szCs w:val="32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41"/>
    <w:basedOn w:val="7"/>
    <w:qFormat/>
    <w:uiPriority w:val="0"/>
    <w:rPr>
      <w:rFonts w:hint="eastAsia" w:ascii="宋体" w:hAnsi="宋体" w:eastAsia="宋体" w:cs="宋体"/>
      <w:color w:val="000000"/>
      <w:sz w:val="13"/>
      <w:szCs w:val="1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3801</Words>
  <Characters>4042</Characters>
  <Lines>0</Lines>
  <Paragraphs>0</Paragraphs>
  <ScaleCrop>false</ScaleCrop>
  <LinksUpToDate>false</LinksUpToDate>
  <CharactersWithSpaces>4057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2014-11-05T20:08:00Z</dcterms:created>
  <dc:creator>pc</dc:creator>
  <cp:lastModifiedBy>user</cp:lastModifiedBy>
  <cp:lastPrinted>2025-09-19T09:12:00Z</cp:lastPrinted>
  <dcterms:modified xsi:type="dcterms:W3CDTF">2025-09-30T09:05:15Z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2691497F964C415CB3209DB212A8FD4B</vt:lpwstr>
  </property>
</Properties>
</file>