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right="0" w:rightChars="0" w:firstLine="600" w:firstLineChars="200"/>
        <w:jc w:val="both"/>
        <w:textAlignment w:val="auto"/>
        <w:outlineLvl w:val="9"/>
        <w:rPr>
          <w:rFonts w:hint="default" w:ascii="方正小标宋简体" w:eastAsia="方正小标宋简体"/>
          <w:sz w:val="36"/>
          <w:szCs w:val="36"/>
          <w:highlight w:val="none"/>
          <w:lang w:val="en-US"/>
        </w:rPr>
      </w:pPr>
      <w:r>
        <w:rPr>
          <w:rFonts w:hint="eastAsia" w:ascii="黑体" w:hAnsi="黑体" w:eastAsia="黑体"/>
          <w:sz w:val="30"/>
          <w:szCs w:val="30"/>
          <w:highlight w:val="none"/>
          <w:lang w:val="en-US" w:eastAsia="zh-CN"/>
        </w:rPr>
        <w:t>附件3-3</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720" w:firstLineChars="200"/>
        <w:jc w:val="center"/>
        <w:textAlignment w:val="auto"/>
        <w:outlineLvl w:val="9"/>
        <w:rPr>
          <w:rFonts w:hint="eastAsia" w:ascii="方正小标宋简体" w:eastAsia="方正小标宋简体"/>
          <w:sz w:val="36"/>
          <w:szCs w:val="36"/>
          <w:highlight w:val="none"/>
        </w:rPr>
      </w:pPr>
      <w:r>
        <w:rPr>
          <w:rFonts w:hint="eastAsia" w:ascii="方正小标宋简体" w:eastAsia="方正小标宋简体"/>
          <w:sz w:val="36"/>
          <w:szCs w:val="36"/>
          <w:highlight w:val="none"/>
          <w:lang w:eastAsia="zh-CN"/>
        </w:rPr>
        <w:t>北京市大兴区商务局</w:t>
      </w:r>
      <w:r>
        <w:rPr>
          <w:rFonts w:hint="eastAsia" w:ascii="方正小标宋简体" w:eastAsia="方正小标宋简体"/>
          <w:sz w:val="36"/>
          <w:szCs w:val="36"/>
          <w:highlight w:val="none"/>
        </w:rPr>
        <w:t>部门整体</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720" w:firstLineChars="200"/>
        <w:jc w:val="center"/>
        <w:textAlignment w:val="auto"/>
        <w:outlineLvl w:val="9"/>
        <w:rPr>
          <w:rFonts w:hint="eastAsia" w:ascii="方正小标宋简体" w:eastAsia="方正小标宋简体"/>
          <w:sz w:val="36"/>
          <w:szCs w:val="36"/>
          <w:highlight w:val="none"/>
        </w:rPr>
      </w:pPr>
      <w:r>
        <w:rPr>
          <w:rFonts w:hint="eastAsia" w:ascii="方正小标宋简体" w:eastAsia="方正小标宋简体"/>
          <w:sz w:val="36"/>
          <w:szCs w:val="36"/>
          <w:highlight w:val="none"/>
        </w:rPr>
        <w:t>绩效</w:t>
      </w:r>
      <w:r>
        <w:rPr>
          <w:rFonts w:hint="eastAsia" w:ascii="方正小标宋简体" w:eastAsia="方正小标宋简体"/>
          <w:sz w:val="36"/>
          <w:szCs w:val="36"/>
          <w:highlight w:val="none"/>
          <w:lang w:eastAsia="zh-CN"/>
        </w:rPr>
        <w:t>评价</w:t>
      </w:r>
      <w:r>
        <w:rPr>
          <w:rFonts w:hint="eastAsia" w:ascii="方正小标宋简体" w:eastAsia="方正小标宋简体"/>
          <w:sz w:val="36"/>
          <w:szCs w:val="36"/>
          <w:highlight w:val="none"/>
        </w:rPr>
        <w:t>报告</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20" w:firstLineChars="200"/>
        <w:jc w:val="center"/>
        <w:textAlignment w:val="auto"/>
        <w:outlineLvl w:val="9"/>
        <w:rPr>
          <w:rFonts w:ascii="仿宋_GB2312"/>
          <w:szCs w:val="30"/>
          <w:highlight w:val="none"/>
        </w:rPr>
      </w:pP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一、部门概况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楷体_GB2312" w:eastAsia="楷体_GB2312"/>
          <w:sz w:val="32"/>
          <w:szCs w:val="32"/>
          <w:highlight w:val="none"/>
        </w:rPr>
      </w:pPr>
      <w:r>
        <w:rPr>
          <w:rFonts w:hint="eastAsia" w:ascii="楷体_GB2312" w:eastAsia="楷体_GB2312"/>
          <w:sz w:val="32"/>
          <w:szCs w:val="32"/>
          <w:highlight w:val="none"/>
        </w:rPr>
        <w:t>（一）机构设置及职责工作任务情况</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eastAsia="仿宋_GB2312"/>
          <w:kern w:val="0"/>
          <w:sz w:val="28"/>
          <w:szCs w:val="28"/>
        </w:rPr>
      </w:pPr>
      <w:r>
        <w:rPr>
          <w:rFonts w:hint="eastAsia" w:ascii="仿宋_GB2312" w:eastAsia="仿宋_GB2312"/>
          <w:kern w:val="0"/>
          <w:sz w:val="28"/>
          <w:szCs w:val="28"/>
        </w:rPr>
        <w:t>1</w:t>
      </w:r>
      <w:r>
        <w:rPr>
          <w:rFonts w:hint="eastAsia" w:ascii="仿宋_GB2312" w:eastAsia="仿宋_GB2312"/>
          <w:kern w:val="0"/>
          <w:sz w:val="28"/>
          <w:szCs w:val="28"/>
          <w:lang w:eastAsia="zh-CN"/>
        </w:rPr>
        <w:t>.</w:t>
      </w:r>
      <w:r>
        <w:rPr>
          <w:rFonts w:hint="eastAsia" w:ascii="仿宋_GB2312" w:eastAsia="仿宋_GB2312"/>
          <w:kern w:val="0"/>
          <w:sz w:val="28"/>
          <w:szCs w:val="28"/>
        </w:rPr>
        <w:t>主要职能</w:t>
      </w:r>
      <w:r>
        <w:rPr>
          <w:rFonts w:hint="eastAsia" w:ascii="仿宋_GB2312" w:eastAsia="仿宋_GB2312"/>
          <w:kern w:val="0"/>
          <w:sz w:val="28"/>
          <w:szCs w:val="28"/>
          <w:lang w:eastAsia="zh-CN"/>
        </w:rPr>
        <w:t>。</w:t>
      </w:r>
      <w:r>
        <w:rPr>
          <w:rFonts w:hint="eastAsia" w:ascii="仿宋_GB2312" w:eastAsia="仿宋_GB2312"/>
          <w:kern w:val="0"/>
          <w:sz w:val="28"/>
          <w:szCs w:val="28"/>
        </w:rPr>
        <w:t>区商务局是负责本区内外贸易、对外经济合作的区政府工作部门。</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eastAsia="仿宋_GB2312"/>
          <w:kern w:val="0"/>
          <w:sz w:val="28"/>
          <w:szCs w:val="28"/>
        </w:rPr>
      </w:pPr>
      <w:r>
        <w:rPr>
          <w:rFonts w:hint="eastAsia" w:ascii="仿宋_GB2312" w:eastAsia="仿宋_GB2312"/>
          <w:kern w:val="0"/>
          <w:sz w:val="28"/>
          <w:szCs w:val="28"/>
        </w:rPr>
        <w:t>2</w:t>
      </w:r>
      <w:r>
        <w:rPr>
          <w:rFonts w:hint="eastAsia" w:ascii="仿宋_GB2312" w:eastAsia="仿宋_GB2312"/>
          <w:kern w:val="0"/>
          <w:sz w:val="28"/>
          <w:szCs w:val="28"/>
          <w:lang w:eastAsia="zh-CN"/>
        </w:rPr>
        <w:t>.</w:t>
      </w:r>
      <w:r>
        <w:rPr>
          <w:rFonts w:hint="eastAsia" w:ascii="仿宋_GB2312" w:eastAsia="仿宋_GB2312"/>
          <w:kern w:val="0"/>
          <w:sz w:val="28"/>
          <w:szCs w:val="28"/>
        </w:rPr>
        <w:t>机构情况</w:t>
      </w:r>
      <w:r>
        <w:rPr>
          <w:rFonts w:hint="eastAsia" w:ascii="仿宋_GB2312" w:eastAsia="仿宋_GB2312"/>
          <w:kern w:val="0"/>
          <w:sz w:val="28"/>
          <w:szCs w:val="28"/>
          <w:lang w:eastAsia="zh-CN"/>
        </w:rPr>
        <w:t>。从预算单位构成看，本单位部门决算仅包括北京市大兴区商务局本级决算。</w:t>
      </w:r>
      <w:r>
        <w:rPr>
          <w:rFonts w:hint="eastAsia" w:ascii="仿宋_GB2312" w:eastAsia="仿宋_GB2312"/>
          <w:kern w:val="0"/>
          <w:sz w:val="28"/>
          <w:szCs w:val="28"/>
        </w:rPr>
        <w:t>区商务局机关下属3个公益一类事业单位，分别是：北京市大兴区便民商业体系规划发展管理中心、北京市大兴区商务流通行业</w:t>
      </w:r>
      <w:r>
        <w:rPr>
          <w:rFonts w:hint="eastAsia" w:ascii="仿宋_GB2312" w:eastAsia="仿宋_GB2312"/>
          <w:kern w:val="0"/>
          <w:sz w:val="28"/>
          <w:szCs w:val="28"/>
          <w:lang w:eastAsia="zh-CN"/>
        </w:rPr>
        <w:t>服务</w:t>
      </w:r>
      <w:r>
        <w:rPr>
          <w:rFonts w:hint="eastAsia" w:ascii="仿宋_GB2312" w:eastAsia="仿宋_GB2312"/>
          <w:kern w:val="0"/>
          <w:sz w:val="28"/>
          <w:szCs w:val="28"/>
        </w:rPr>
        <w:t>中心、北京市大兴区</w:t>
      </w:r>
      <w:r>
        <w:rPr>
          <w:rFonts w:hint="eastAsia" w:ascii="仿宋_GB2312" w:eastAsia="仿宋_GB2312"/>
          <w:kern w:val="0"/>
          <w:sz w:val="28"/>
          <w:szCs w:val="28"/>
          <w:lang w:eastAsia="zh-CN"/>
        </w:rPr>
        <w:t>“</w:t>
      </w:r>
      <w:r>
        <w:rPr>
          <w:rFonts w:hint="eastAsia" w:ascii="仿宋_GB2312" w:eastAsia="仿宋_GB2312"/>
          <w:kern w:val="0"/>
          <w:sz w:val="28"/>
          <w:szCs w:val="28"/>
        </w:rPr>
        <w:t>两区</w:t>
      </w:r>
      <w:r>
        <w:rPr>
          <w:rFonts w:hint="eastAsia" w:ascii="仿宋_GB2312" w:eastAsia="仿宋_GB2312"/>
          <w:kern w:val="0"/>
          <w:sz w:val="28"/>
          <w:szCs w:val="28"/>
          <w:lang w:eastAsia="zh-CN"/>
        </w:rPr>
        <w:t>”</w:t>
      </w:r>
      <w:r>
        <w:rPr>
          <w:rFonts w:hint="eastAsia" w:ascii="仿宋_GB2312" w:eastAsia="仿宋_GB2312"/>
          <w:kern w:val="0"/>
          <w:sz w:val="28"/>
          <w:szCs w:val="28"/>
        </w:rPr>
        <w:t>建设创新促进中心</w:t>
      </w:r>
      <w:r>
        <w:rPr>
          <w:rFonts w:hint="eastAsia" w:ascii="仿宋_GB2312" w:eastAsia="仿宋_GB2312"/>
          <w:kern w:val="0"/>
          <w:sz w:val="28"/>
          <w:szCs w:val="28"/>
          <w:lang w:eastAsia="zh-CN"/>
        </w:rPr>
        <w:t>，</w:t>
      </w:r>
      <w:r>
        <w:rPr>
          <w:rFonts w:hint="eastAsia" w:ascii="仿宋_GB2312" w:eastAsia="仿宋_GB2312"/>
          <w:sz w:val="28"/>
          <w:szCs w:val="28"/>
          <w:lang w:val="en-US" w:eastAsia="zh-CN"/>
        </w:rPr>
        <w:t>均不单独核算，预算包含在区商务局本级中。</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仿宋_GB2312" w:eastAsia="仿宋_GB2312" w:cs="仿宋_GB2312"/>
          <w:i w:val="0"/>
          <w:caps w:val="0"/>
          <w:color w:val="323232"/>
          <w:spacing w:val="0"/>
          <w:sz w:val="32"/>
          <w:szCs w:val="32"/>
          <w:shd w:val="clear" w:color="auto" w:fill="FFFFFF"/>
        </w:rPr>
      </w:pPr>
      <w:r>
        <w:rPr>
          <w:rFonts w:hint="eastAsia" w:ascii="仿宋_GB2312" w:eastAsia="仿宋_GB2312"/>
          <w:kern w:val="0"/>
          <w:sz w:val="28"/>
          <w:szCs w:val="28"/>
        </w:rPr>
        <w:t>3</w:t>
      </w:r>
      <w:r>
        <w:rPr>
          <w:rFonts w:hint="eastAsia" w:ascii="仿宋_GB2312" w:eastAsia="仿宋_GB2312"/>
          <w:kern w:val="0"/>
          <w:sz w:val="28"/>
          <w:szCs w:val="28"/>
          <w:lang w:eastAsia="zh-CN"/>
        </w:rPr>
        <w:t>.</w:t>
      </w:r>
      <w:r>
        <w:rPr>
          <w:rFonts w:hint="eastAsia" w:ascii="仿宋_GB2312" w:eastAsia="仿宋_GB2312"/>
          <w:kern w:val="0"/>
          <w:sz w:val="28"/>
          <w:szCs w:val="28"/>
        </w:rPr>
        <w:t>单位类型为行政单位</w:t>
      </w:r>
      <w:r>
        <w:rPr>
          <w:rFonts w:hint="eastAsia" w:ascii="仿宋_GB2312" w:eastAsia="仿宋_GB2312"/>
          <w:kern w:val="0"/>
          <w:sz w:val="28"/>
          <w:szCs w:val="28"/>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楷体_GB2312" w:eastAsia="楷体_GB2312"/>
          <w:sz w:val="32"/>
          <w:szCs w:val="32"/>
          <w:highlight w:val="none"/>
        </w:rPr>
      </w:pPr>
      <w:r>
        <w:rPr>
          <w:rFonts w:hint="eastAsia" w:ascii="楷体_GB2312" w:eastAsia="楷体_GB2312"/>
          <w:sz w:val="32"/>
          <w:szCs w:val="32"/>
          <w:highlight w:val="none"/>
        </w:rPr>
        <w:t>部门整体绩效目标设立情况</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仿宋_GB2312" w:eastAsia="仿宋_GB2312"/>
          <w:sz w:val="28"/>
          <w:szCs w:val="28"/>
          <w:highlight w:val="none"/>
        </w:rPr>
      </w:pPr>
      <w:r>
        <w:rPr>
          <w:rFonts w:hint="eastAsia" w:ascii="仿宋_GB2312" w:hAnsi="仿宋_GB2312" w:eastAsia="仿宋_GB2312"/>
          <w:sz w:val="28"/>
          <w:szCs w:val="28"/>
          <w:highlight w:val="none"/>
        </w:rPr>
        <w:t>紧抓指标，全力完成任务。按照市区任务，全力完成总消费、社会消费品零售额、外贸出口、实际利用外资、人均对外投资、商务服务业指标任务。将市区两级消费、商务服务业、实际利用外资等指标进行分解，由行业部门和属地共同推进各项指标平稳增长。加强调研走访，强化企业服务</w:t>
      </w:r>
      <w:r>
        <w:rPr>
          <w:rFonts w:hint="eastAsia" w:ascii="仿宋_GB2312" w:hAnsi="仿宋_GB2312" w:eastAsia="仿宋_GB2312"/>
          <w:sz w:val="28"/>
          <w:szCs w:val="28"/>
          <w:highlight w:val="none"/>
          <w:lang w:eastAsia="zh-CN"/>
        </w:rPr>
        <w:t>。</w:t>
      </w:r>
      <w:r>
        <w:rPr>
          <w:rFonts w:hint="eastAsia" w:ascii="仿宋_GB2312" w:hAnsi="仿宋_GB2312" w:eastAsia="仿宋_GB2312"/>
          <w:sz w:val="28"/>
          <w:szCs w:val="28"/>
          <w:highlight w:val="none"/>
        </w:rPr>
        <w:t>落实稳外资稳外贸政策，吸引外商投资，加大企业走访力度助企纾困，全力促进外资外贸企业发展提升。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仿宋_GB2312" w:eastAsia="仿宋_GB2312"/>
          <w:sz w:val="28"/>
          <w:szCs w:val="28"/>
          <w:highlight w:val="none"/>
        </w:rPr>
      </w:pPr>
      <w:r>
        <w:rPr>
          <w:rFonts w:hint="eastAsia" w:ascii="仿宋_GB2312" w:hAnsi="仿宋_GB2312" w:eastAsia="仿宋_GB2312"/>
          <w:sz w:val="28"/>
          <w:szCs w:val="28"/>
          <w:highlight w:val="none"/>
        </w:rPr>
        <w:t>2.紧抓重点，激发市场活力。一是聚焦重点商圈。全力推进西红门、大兴机场</w:t>
      </w:r>
      <w:r>
        <w:rPr>
          <w:rFonts w:hint="eastAsia" w:ascii="仿宋_GB2312" w:hAnsi="仿宋_GB2312" w:eastAsia="仿宋_GB2312"/>
          <w:sz w:val="28"/>
          <w:szCs w:val="28"/>
          <w:highlight w:val="none"/>
          <w:lang w:eastAsia="zh-CN"/>
        </w:rPr>
        <w:t>、</w:t>
      </w:r>
      <w:r>
        <w:rPr>
          <w:rFonts w:hint="eastAsia" w:ascii="仿宋_GB2312" w:hAnsi="仿宋_GB2312" w:eastAsia="仿宋_GB2312"/>
          <w:sz w:val="28"/>
          <w:szCs w:val="28"/>
          <w:highlight w:val="none"/>
        </w:rPr>
        <w:t>天宫院、火神庙、大兴新城西片区</w:t>
      </w:r>
      <w:r>
        <w:rPr>
          <w:rFonts w:hint="eastAsia" w:ascii="仿宋_GB2312" w:hAnsi="仿宋_GB2312" w:eastAsia="仿宋_GB2312"/>
          <w:sz w:val="28"/>
          <w:szCs w:val="28"/>
          <w:highlight w:val="none"/>
          <w:lang w:eastAsia="zh-CN"/>
        </w:rPr>
        <w:t>等</w:t>
      </w:r>
      <w:r>
        <w:rPr>
          <w:rFonts w:hint="eastAsia" w:ascii="仿宋_GB2312" w:hAnsi="仿宋_GB2312" w:eastAsia="仿宋_GB2312"/>
          <w:sz w:val="28"/>
          <w:szCs w:val="28"/>
          <w:highlight w:val="none"/>
        </w:rPr>
        <w:t>商圈建设。支持各商业综合体加强国际品牌、国产潮牌、时尚首店等引入，打造京南高端商业消费新地标。二是聚焦重点项目。加强统筹部署，有序推进纳入市级清单的重点任务和重大项目。密切跟进重点任务、重点项目进展，及时了解存在的问题和困难，加强区级层面统筹调度。三是聚焦重点企业。落实好市级服务包制度，完善区、街道两级“服务包”工作机制，针对重点企业按照“一企一策”原则量身制定“服务包”，定期走访重点企业。加强部门统筹联动，开展企业入库摸底工作</w:t>
      </w:r>
      <w:r>
        <w:rPr>
          <w:rFonts w:hint="eastAsia" w:ascii="仿宋_GB2312" w:hAnsi="仿宋_GB2312" w:eastAsia="仿宋_GB2312"/>
          <w:sz w:val="28"/>
          <w:szCs w:val="28"/>
          <w:highlight w:val="none"/>
          <w:lang w:eastAsia="zh-CN"/>
        </w:rPr>
        <w:t>，筛选一批社零额规模大、占比高、发展前景好的重点企业，做好服务。</w:t>
      </w:r>
      <w:bookmarkStart w:id="0" w:name="_GoBack"/>
      <w:bookmarkEnd w:id="0"/>
      <w:r>
        <w:rPr>
          <w:rFonts w:hint="eastAsia" w:ascii="仿宋_GB2312" w:hAnsi="仿宋_GB2312" w:eastAsia="仿宋_GB2312"/>
          <w:sz w:val="28"/>
          <w:szCs w:val="28"/>
          <w:highlight w:val="none"/>
        </w:rPr>
        <w:t>四是聚焦重点活动。围绕汽车、餐饮、家装建材、家居家电等大宗商品消费领域，组织开展夜经济、进社区、网红店培育等活动。联合属地、园区，开展文商旅多领域融合促消费活动，持续做旺做热我区消费市场。推进4号线与周边商业联动，为乘客提供新的购物体验。加强与金融机构合作，为银行与商业主体搭建桥梁，引导商业企业借助金融资金开展促销让利活动。</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仿宋_GB2312" w:eastAsia="仿宋_GB2312"/>
          <w:sz w:val="28"/>
          <w:szCs w:val="28"/>
          <w:highlight w:val="none"/>
        </w:rPr>
      </w:pPr>
      <w:r>
        <w:rPr>
          <w:rFonts w:hint="eastAsia" w:ascii="仿宋_GB2312" w:hAnsi="仿宋_GB2312" w:eastAsia="仿宋_GB2312"/>
          <w:sz w:val="28"/>
          <w:szCs w:val="28"/>
          <w:highlight w:val="none"/>
        </w:rPr>
        <w:t>3.聚焦对外开放，推动外资外贸提质。一是加强政策供给。按照“摸清现状、对标先进、明晰条款”思路，为稳外贸稳外资工作做好政策供给。做好市级外贸政策宣贯，指导企业争取</w:t>
      </w:r>
      <w:r>
        <w:rPr>
          <w:rFonts w:hint="eastAsia" w:ascii="仿宋_GB2312" w:hAnsi="仿宋_GB2312" w:eastAsia="仿宋_GB2312"/>
          <w:sz w:val="28"/>
          <w:szCs w:val="28"/>
          <w:highlight w:val="none"/>
          <w:lang w:eastAsia="zh-CN"/>
        </w:rPr>
        <w:t>支持</w:t>
      </w:r>
      <w:r>
        <w:rPr>
          <w:rFonts w:hint="eastAsia" w:ascii="仿宋_GB2312" w:hAnsi="仿宋_GB2312" w:eastAsia="仿宋_GB2312"/>
          <w:sz w:val="28"/>
          <w:szCs w:val="28"/>
          <w:highlight w:val="none"/>
        </w:rPr>
        <w:t>资金。指导中小微出口企业投保出口信用保险，提升企业抗风险能力。引导企业申报注册“双自主”企业，占领国外市场，保护自有知识产权。二是建立外资企业“圆桌会议+服务包”机制。对于重点外资企业，建立“圆桌会议+服务包”机制，加强全区资源整合和力量统筹，健全区领导高层对话、重点外资企业“服务包”制度、部门定期沟通、政策交流解读等机制，做到外资企业政企沟通“时时可联系、月月有沟通、季季有对接”，做好重点外资企业和项目做全生命期的服务。三是强化企业跟踪服务。加强与各园区对接沟通，挖掘其他外贸企业的出口增量。四是加大招商引资力度。精心筹备2024年服贸会及大兴边会。开展进博会、消博会、广交会等各类国际性展会的宣传组织工作，引导企业积极参展参会，利用展会、推介等贸易促进活动，扩大区内企业品牌知名度，帮助企业进一步开拓国际市场。对接国家贸促会、市贸促会、专业外资招商中介，推进贸易投资合作模式创新，高效整合贸促资源，宣传大兴、推介大兴，吸引更多优质企业落地大兴。</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仿宋_GB2312" w:eastAsia="仿宋_GB2312"/>
          <w:sz w:val="32"/>
          <w:highlight w:val="none"/>
        </w:rPr>
      </w:pPr>
      <w:r>
        <w:rPr>
          <w:rFonts w:hint="eastAsia" w:ascii="仿宋_GB2312" w:hAnsi="仿宋_GB2312" w:eastAsia="仿宋_GB2312"/>
          <w:sz w:val="28"/>
          <w:szCs w:val="28"/>
          <w:highlight w:val="none"/>
        </w:rPr>
        <w:t>5.紧抓行业安全，营造平安氛围。一是筑牢安全生产意识。依托安全生产月、消防宣传月等时间节点开展安全生产宣传活动，举办全行业规模的安全培训2次、综合性演练2次，引导各企业开展安全培训和应急演练达到50余家次。有序开展商务行业安全生产检查，力争不发生重大安全事故。全面推进商务行业规范管理，创造安全有序的维稳反恐环境。二是推进依法行政工作。进一步强化机关人员法制意识，持续开展会前学法活动，完善外聘法律顾问制度，加强文件合同的合法性审核。三是巩固创城创卫成果。组织区内规模以上商业和餐饮企业，开展“发展绿色商业 创建文明城区”系列活动，积极开展创城、创卫、垃圾分类和无障碍建设反馈问题整改工作，确保创城创卫等工作顺利完成。</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rPr>
        <w:t>当年</w:t>
      </w:r>
      <w:r>
        <w:rPr>
          <w:rFonts w:ascii="黑体" w:hAnsi="黑体" w:eastAsia="黑体" w:cs="宋体"/>
          <w:color w:val="000000"/>
          <w:kern w:val="0"/>
          <w:sz w:val="32"/>
          <w:szCs w:val="32"/>
          <w:highlight w:val="none"/>
        </w:rPr>
        <w:t>预算执行情况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黑体" w:eastAsia="仿宋_GB2312"/>
          <w:sz w:val="28"/>
          <w:szCs w:val="28"/>
          <w:lang w:val="en-US" w:eastAsia="zh-CN"/>
        </w:rPr>
      </w:pPr>
      <w:r>
        <w:rPr>
          <w:rFonts w:hint="eastAsia" w:ascii="仿宋_GB2312" w:hAnsi="黑体" w:eastAsia="仿宋_GB2312"/>
          <w:sz w:val="28"/>
          <w:szCs w:val="28"/>
          <w:highlight w:val="none"/>
          <w:lang w:val="en-US" w:eastAsia="zh-CN"/>
        </w:rPr>
        <w:t>2024年全年预算数7493.98万元，其中，</w:t>
      </w:r>
      <w:r>
        <w:rPr>
          <w:rFonts w:hint="eastAsia" w:ascii="仿宋_GB2312" w:hAnsi="黑体" w:eastAsia="仿宋_GB2312"/>
          <w:sz w:val="28"/>
          <w:szCs w:val="28"/>
          <w:lang w:val="en-US" w:eastAsia="zh-CN"/>
        </w:rPr>
        <w:t>基本支出预算数2337.31万元，项目支出预算数5156.67万元，其他支出预算数0万元。资金总体支出7345.07万元，其中，基本支出2188.40万元，项目支出5156.67万元，无其他支出。预算执行率为98.01%。</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640" w:firstLineChars="200"/>
        <w:textAlignment w:val="auto"/>
        <w:outlineLvl w:val="9"/>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三</w:t>
      </w:r>
      <w:r>
        <w:rPr>
          <w:rFonts w:ascii="黑体" w:hAnsi="黑体" w:eastAsia="黑体" w:cs="宋体"/>
          <w:color w:val="000000"/>
          <w:kern w:val="0"/>
          <w:sz w:val="32"/>
          <w:szCs w:val="32"/>
          <w:highlight w:val="none"/>
        </w:rPr>
        <w:t>、整体绩效目标实现情况</w:t>
      </w:r>
      <w:r>
        <w:rPr>
          <w:rFonts w:hint="eastAsia" w:ascii="黑体" w:hAnsi="黑体" w:eastAsia="黑体" w:cs="宋体"/>
          <w:color w:val="000000"/>
          <w:kern w:val="0"/>
          <w:sz w:val="32"/>
          <w:szCs w:val="32"/>
          <w:highlight w:val="none"/>
          <w:lang w:val="en-US" w:eastAsia="zh-CN"/>
        </w:rPr>
        <w:t>(改成整体项目支出执行情况）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highlight w:val="none"/>
          <w:lang w:eastAsia="zh-CN"/>
        </w:rPr>
      </w:pPr>
      <w:r>
        <w:rPr>
          <w:rFonts w:hint="eastAsia" w:ascii="楷体_GB2312" w:hAnsi="楷体_GB2312" w:eastAsia="楷体_GB2312" w:cs="楷体_GB2312"/>
          <w:color w:val="auto"/>
          <w:sz w:val="32"/>
          <w:szCs w:val="32"/>
          <w:highlight w:val="none"/>
          <w:lang w:eastAsia="zh-CN"/>
        </w:rPr>
        <w:t>（一）主要指标完成情况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黑体" w:eastAsia="仿宋_GB2312" w:cs="仿宋_GB2312"/>
          <w:b w:val="0"/>
          <w:bCs w:val="0"/>
          <w:color w:val="auto"/>
          <w:sz w:val="28"/>
          <w:szCs w:val="28"/>
          <w:highlight w:val="none"/>
          <w:lang w:val="en-US" w:eastAsia="zh-CN"/>
        </w:rPr>
      </w:pPr>
      <w:r>
        <w:rPr>
          <w:rFonts w:hint="eastAsia" w:ascii="仿宋_GB2312" w:hAnsi="仿宋_GB2312" w:eastAsia="仿宋_GB2312" w:cs="仿宋_GB2312"/>
          <w:b w:val="0"/>
          <w:bCs w:val="0"/>
          <w:color w:val="auto"/>
          <w:sz w:val="28"/>
          <w:szCs w:val="28"/>
          <w:highlight w:val="none"/>
          <w:lang w:eastAsia="zh-CN"/>
        </w:rPr>
        <w:t>1.消费指标：</w:t>
      </w:r>
      <w:r>
        <w:rPr>
          <w:rFonts w:hint="eastAsia" w:ascii="仿宋_GB2312" w:hAnsi="黑体" w:eastAsia="仿宋_GB2312"/>
          <w:b w:val="0"/>
          <w:bCs w:val="0"/>
          <w:sz w:val="28"/>
          <w:szCs w:val="28"/>
          <w:lang w:val="en-US" w:eastAsia="zh-CN"/>
        </w:rPr>
        <w:t>2024年大兴区市场总消费累计增速-0.1%，大兴区社零额总量945.6亿元，增速-2.8%，全市排名第九。</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黑体" w:eastAsia="仿宋_GB2312"/>
          <w:b w:val="0"/>
          <w:bCs w:val="0"/>
          <w:sz w:val="28"/>
          <w:szCs w:val="28"/>
          <w:lang w:val="en-US" w:eastAsia="zh-CN"/>
        </w:rPr>
      </w:pPr>
      <w:r>
        <w:rPr>
          <w:rFonts w:hint="eastAsia" w:ascii="仿宋_GB2312" w:hAnsi="仿宋_GB2312" w:eastAsia="仿宋_GB2312" w:cs="仿宋_GB2312"/>
          <w:b w:val="0"/>
          <w:bCs w:val="0"/>
          <w:color w:val="auto"/>
          <w:sz w:val="28"/>
          <w:szCs w:val="28"/>
          <w:highlight w:val="none"/>
          <w:lang w:val="en-US" w:eastAsia="zh-CN"/>
        </w:rPr>
        <w:t>2</w:t>
      </w:r>
      <w:r>
        <w:rPr>
          <w:rFonts w:hint="eastAsia" w:ascii="仿宋_GB2312" w:hAnsi="仿宋_GB2312" w:eastAsia="仿宋_GB2312" w:cs="仿宋_GB2312"/>
          <w:b w:val="0"/>
          <w:bCs w:val="0"/>
          <w:color w:val="auto"/>
          <w:sz w:val="28"/>
          <w:szCs w:val="28"/>
          <w:highlight w:val="none"/>
          <w:lang w:eastAsia="zh-CN"/>
        </w:rPr>
        <w:t>.实际利用外资指标：</w:t>
      </w:r>
      <w:r>
        <w:rPr>
          <w:rFonts w:hint="eastAsia" w:ascii="仿宋_GB2312" w:hAnsi="黑体" w:eastAsia="仿宋_GB2312"/>
          <w:b w:val="0"/>
          <w:bCs w:val="0"/>
          <w:sz w:val="28"/>
          <w:szCs w:val="28"/>
          <w:lang w:val="en-US" w:eastAsia="zh-CN"/>
        </w:rPr>
        <w:t>2024年全年，实际利用外资完成7565万美元。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黑体" w:eastAsia="仿宋_GB2312"/>
          <w:b w:val="0"/>
          <w:bCs w:val="0"/>
          <w:sz w:val="28"/>
          <w:szCs w:val="28"/>
          <w:lang w:val="en-US" w:eastAsia="zh-CN"/>
        </w:rPr>
      </w:pPr>
      <w:r>
        <w:rPr>
          <w:rFonts w:hint="eastAsia" w:ascii="仿宋_GB2312" w:eastAsia="仿宋_GB2312"/>
          <w:b w:val="0"/>
          <w:bCs w:val="0"/>
          <w:color w:val="auto"/>
          <w:sz w:val="28"/>
          <w:szCs w:val="28"/>
          <w:lang w:val="en-US" w:eastAsia="zh-CN"/>
        </w:rPr>
        <w:t>3.出口指标：</w:t>
      </w:r>
      <w:r>
        <w:rPr>
          <w:rFonts w:hint="eastAsia" w:ascii="仿宋_GB2312" w:hAnsi="黑体" w:eastAsia="仿宋_GB2312"/>
          <w:b w:val="0"/>
          <w:bCs w:val="0"/>
          <w:sz w:val="28"/>
          <w:szCs w:val="28"/>
          <w:lang w:val="en-US" w:eastAsia="zh-CN"/>
        </w:rPr>
        <w:t>大兴区出口总额77.4亿元，同比增长20.2%，超额完成全年出口任务。</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楷体_GB2312" w:hAnsi="楷体_GB2312" w:eastAsia="楷体_GB2312" w:cs="楷体_GB2312"/>
          <w:color w:val="auto"/>
          <w:sz w:val="32"/>
          <w:szCs w:val="32"/>
          <w:highlight w:val="none"/>
          <w:lang w:eastAsia="zh-CN"/>
        </w:rPr>
      </w:pPr>
      <w:r>
        <w:rPr>
          <w:rFonts w:hint="eastAsia" w:ascii="楷体_GB2312" w:hAnsi="楷体_GB2312" w:eastAsia="楷体_GB2312" w:cs="楷体_GB2312"/>
          <w:color w:val="auto"/>
          <w:sz w:val="32"/>
          <w:szCs w:val="32"/>
          <w:highlight w:val="none"/>
          <w:lang w:eastAsia="zh-CN"/>
        </w:rPr>
        <w:t>（二）重点工作完成情况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1.稳步推进国家消费中心城市建设。加强谋划部署。密切跟踪指标运行情况，周走访调研、月摸排调度，及时分析研判存在问题，制定有针对性的促消费对策，确保全区经济运行平稳、持续增长。发挥牵头抓总作用，统筹推进7方面75项具体任务18个重点项目落实。落实“一圈一策”工作部署，深入实施西红门、火神庙、天宫院三大商圈高质量发展工作方案。积极推动百联清城升级改造，打造新辰商业项目。提振消费活力。举办以旧换新、夜间经济等200余场促消费活动，新增首店21家，发挥消费券乘数效应，撬动经济增长超25亿元。深挖餐饮消费潜力，联合餐饮行业协会举办2024京津冀消费季“乐享生活·寻味大兴”首届大兴美食嘉年华，促进餐饮行业复苏。以重点商圈为核心承载，通过夜食、夜购、夜游、夜娱等多元业态，带动夜经济发展，天宫院商圈被评为“夜京城”品质消费生活圈，荟聚购物中心、龙湖天街、观音寺街道“兴观之夜”夜市等被市商务局评为“夜京城”打卡地。推动商文旅体深度融合，开展多元促消费活动，完成“花马”“西瓜节”等品牌赛事活动提质升级，发挥北京野生动物园等资源优势，着力打造京南旅游度假区。组织开展“大兴区农特优新产品进社区”市集活动，推动区域、产业与农业互动融合，以特色产品扩大地域影响。</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2.纵深拓展“两区”建设。坚持定期调度，推动“两区”工作成效显著提升。“两区”项目规模加速扩大，2024年新增“两区”建设入库项目1048个，完成全年任务的202%。项目落地率53%，其中，落地外资项目119个，同比增长205%。打造“两区”建设品牌，举办宣传推介活动。多途径主动发声，组织各类沙龙培训，推介“两区”建设成果。主动探索形成15个典型案例，《建设项目环评审批集成化改革》入选2024年“两区”建设第四批市级改革创新实践案例。千方百计稳外贸稳外资。完善重点企业联系走访机制，建立外资项目台账，全周期“一对一”服务企业落地大兴。邀请行业专家解读国际经贸形势，业务干部分享实操经验，组织开展政策宣讲会、贸易便利化讲座等10余场，提升工作人员业务能力。组织百余家企业参与服贸会、进博会等国际性展会以及走进中拉交流中心、抱团出海研讨会等活动，增强企业与国际经贸组织的交流。成功举办“2024服贸会·大兴国际经贸合作交流会”，发布《外商投资企业服务指南》《大兴区新质生产力发展图鉴》，助力企业开拓国际市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黑体" w:eastAsia="仿宋_GB2312"/>
          <w:sz w:val="28"/>
          <w:szCs w:val="28"/>
          <w:lang w:val="en-US" w:eastAsia="zh-CN"/>
        </w:rPr>
      </w:pPr>
      <w:r>
        <w:rPr>
          <w:rFonts w:hint="eastAsia" w:ascii="仿宋_GB2312" w:hAnsi="黑体" w:eastAsia="仿宋_GB2312"/>
          <w:sz w:val="28"/>
          <w:szCs w:val="28"/>
          <w:lang w:val="en-US" w:eastAsia="zh-CN"/>
        </w:rPr>
        <w:t>3.高效提升为民服务水平。成立接诉即办专班，坚持定期调度，围绕群众较为关注的购车交订金、预付卡等问题，在车企现场发放“工作提示牌”，积极开展《北京市单用途预付卡管理条例》等法律法规宣传活动，压减单量、主动治理、未诉先办，接诉即办“三率”水平不断提升。推进一刻钟便民生活圈建设，2024年24个生活圈已提交市级审核，其中5个优秀、13个良好，优良率75%。研究制定《大兴区新建和规范提升生活性服务业网点项目申报指南》，2024年新建和规范提升蔬菜零售、早餐、便利店（超市）、洗染等基本便民商业网点45个，超额完成全年任务。</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lang w:eastAsia="zh-CN"/>
        </w:rPr>
      </w:pPr>
      <w:r>
        <w:rPr>
          <w:rFonts w:hint="eastAsia" w:ascii="仿宋_GB2312" w:hAnsi="黑体" w:eastAsia="仿宋_GB2312"/>
          <w:sz w:val="28"/>
          <w:szCs w:val="28"/>
          <w:lang w:val="en-US" w:eastAsia="zh-CN"/>
        </w:rPr>
        <w:t>4.严格抓好商务行业安全。持续推进安全生产检查，2024年以来完成“企安安”平台总检查数523家次，检查中发现问题隐患214处，已督促企业整改。组织有关部门开展安全生产专项联合检查2次，问题清单移交属地，强化联合检查效果。完成2023年市委第四督导组和区安委办反馈问题专项整改，持续开展商务行业安全生产治本攻坚三年行动，以及餐饮燃气、限额以下小型工程等专项整治，积极开展“安全生产月”系列活动。开展重点商业综合体反恐专项检查，摸排反恐“人防技防物防”基本情况，指导督促王府井奥莱等综合体规范反恐设备管理，保障商务行业反恐形势稳定。</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640" w:firstLineChars="200"/>
        <w:textAlignment w:val="auto"/>
        <w:outlineLvl w:val="9"/>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四</w:t>
      </w:r>
      <w:r>
        <w:rPr>
          <w:rFonts w:ascii="黑体" w:hAnsi="黑体" w:eastAsia="黑体" w:cs="宋体"/>
          <w:color w:val="000000"/>
          <w:kern w:val="0"/>
          <w:sz w:val="32"/>
          <w:szCs w:val="32"/>
          <w:highlight w:val="none"/>
        </w:rPr>
        <w:t>、预算管理</w:t>
      </w:r>
      <w:r>
        <w:rPr>
          <w:rFonts w:hint="eastAsia" w:ascii="黑体" w:hAnsi="黑体" w:eastAsia="黑体" w:cs="宋体"/>
          <w:color w:val="000000"/>
          <w:kern w:val="0"/>
          <w:sz w:val="32"/>
          <w:szCs w:val="32"/>
          <w:highlight w:val="none"/>
        </w:rPr>
        <w:t>情况分</w:t>
      </w:r>
      <w:r>
        <w:rPr>
          <w:rFonts w:ascii="黑体" w:hAnsi="黑体" w:eastAsia="黑体" w:cs="宋体"/>
          <w:color w:val="000000"/>
          <w:kern w:val="0"/>
          <w:sz w:val="32"/>
          <w:szCs w:val="32"/>
          <w:highlight w:val="none"/>
        </w:rPr>
        <w:t>析</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640" w:firstLineChars="200"/>
        <w:textAlignment w:val="auto"/>
        <w:outlineLvl w:val="9"/>
        <w:rPr>
          <w:rFonts w:hint="eastAsia" w:ascii="楷体_GB2312" w:eastAsia="楷体_GB2312"/>
          <w:sz w:val="32"/>
          <w:szCs w:val="32"/>
          <w:highlight w:val="none"/>
        </w:rPr>
      </w:pPr>
      <w:r>
        <w:rPr>
          <w:rFonts w:hint="eastAsia" w:ascii="楷体_GB2312" w:eastAsia="楷体_GB2312"/>
          <w:sz w:val="32"/>
          <w:szCs w:val="32"/>
          <w:highlight w:val="none"/>
        </w:rPr>
        <w:t>（一）财务管理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1.财务管理制度健全。全局制度中涉及财务管理制度36项，2023年制定了制度汇编。《内控手册》内容全面，预算、收支、合同、资产、采购业务全覆盖，且实现了内控信息化管理。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2.资金使用合规、安全。202</w:t>
      </w:r>
      <w:r>
        <w:rPr>
          <w:rFonts w:hint="eastAsia" w:ascii="仿宋_GB2312" w:eastAsia="仿宋_GB2312"/>
          <w:sz w:val="28"/>
          <w:szCs w:val="28"/>
          <w:lang w:val="en-US" w:eastAsia="zh-CN"/>
        </w:rPr>
        <w:t>4</w:t>
      </w:r>
      <w:r>
        <w:rPr>
          <w:rFonts w:hint="eastAsia" w:ascii="仿宋_GB2312" w:hAnsi="Times New Roman" w:eastAsia="仿宋_GB2312"/>
          <w:sz w:val="28"/>
          <w:szCs w:val="28"/>
          <w:lang w:val="en-US" w:eastAsia="zh-CN"/>
        </w:rPr>
        <w:t>年所有资金支出，支出审批流程合规，涉及大额资金支出，按照“三重一大”制度要求，由党组会集中审议，初始动议、决策留痕等资料完整。</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lang w:val="en-US" w:eastAsia="zh-CN"/>
        </w:rPr>
      </w:pPr>
      <w:r>
        <w:rPr>
          <w:rFonts w:hint="eastAsia" w:ascii="仿宋_GB2312" w:hAnsi="Times New Roman" w:eastAsia="仿宋_GB2312"/>
          <w:sz w:val="28"/>
          <w:szCs w:val="28"/>
          <w:lang w:val="en-US" w:eastAsia="zh-CN"/>
        </w:rPr>
        <w:t>3.会计基础信息完善。启用了“大兴区财务集中核算H6电子会计档案管理系统”，财务原始凭证、记帐凭证及相关材料通过扫描，导入系统，确保了会计基础信息完善。</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640" w:firstLineChars="200"/>
        <w:textAlignment w:val="auto"/>
        <w:outlineLvl w:val="9"/>
        <w:rPr>
          <w:rFonts w:hint="eastAsia" w:ascii="楷体_GB2312" w:eastAsia="楷体_GB2312"/>
          <w:sz w:val="32"/>
          <w:szCs w:val="32"/>
        </w:rPr>
      </w:pPr>
      <w:r>
        <w:rPr>
          <w:rFonts w:hint="eastAsia" w:ascii="楷体_GB2312" w:eastAsia="楷体_GB2312"/>
          <w:sz w:val="32"/>
          <w:szCs w:val="32"/>
        </w:rPr>
        <w:t>（二）资产管理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资产</w:t>
      </w:r>
      <w:r>
        <w:rPr>
          <w:rFonts w:hint="eastAsia" w:ascii="仿宋_GB2312" w:eastAsia="仿宋_GB2312"/>
          <w:sz w:val="28"/>
          <w:szCs w:val="28"/>
          <w:lang w:val="en-US" w:eastAsia="zh-CN"/>
        </w:rPr>
        <w:t>管理</w:t>
      </w:r>
      <w:r>
        <w:rPr>
          <w:rFonts w:hint="eastAsia" w:ascii="仿宋_GB2312" w:hAnsi="Times New Roman" w:eastAsia="仿宋_GB2312"/>
          <w:sz w:val="28"/>
          <w:szCs w:val="28"/>
          <w:lang w:val="en-US" w:eastAsia="zh-CN"/>
        </w:rPr>
        <w:t>目标：建立健全固定资产入库、领用、调拨及处置等相关制度，加强固定资产的管理与控制，保护国有资产安全、完整，提高资产使用效率，防范国有资产流失。</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eastAsia="仿宋_GB2312"/>
          <w:sz w:val="28"/>
          <w:szCs w:val="28"/>
          <w:lang w:val="en-US" w:eastAsia="zh-CN"/>
        </w:rPr>
        <w:t>资产管理制度建设包括</w:t>
      </w:r>
      <w:r>
        <w:rPr>
          <w:rFonts w:hint="eastAsia" w:ascii="仿宋_GB2312" w:hAnsi="Times New Roman" w:eastAsia="仿宋_GB2312"/>
          <w:sz w:val="28"/>
          <w:szCs w:val="28"/>
          <w:lang w:val="en-US" w:eastAsia="zh-CN"/>
        </w:rPr>
        <w:t>货币资金控制、实物资产控制、无形资产控制。其中货币资金包括库存现金、银行存款、零余额账户用款额度等；实物资产主要包括办公用品等物资，房屋、电脑、家具、图书、车辆等固定资产</w:t>
      </w:r>
      <w:r>
        <w:rPr>
          <w:rFonts w:hint="eastAsia" w:ascii="仿宋_GB2312" w:eastAsia="仿宋_GB2312"/>
          <w:sz w:val="28"/>
          <w:szCs w:val="28"/>
          <w:lang w:val="en-US" w:eastAsia="zh-CN"/>
        </w:rPr>
        <w:t>。本单位不存在一下情况：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1、不存在资产管理不当发生严重资产损失和丢失情况；</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2、不存在超标准配置资产；</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3、资产使用规范，不存在未经批准擅自出租、出借资产行为；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4、资产处置规范，不存在不按要求进行报批或资产不公开处置行为；</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5、严格执行资产管理制度，定期盘点，做到</w:t>
      </w:r>
      <w:r>
        <w:rPr>
          <w:rFonts w:hint="eastAsia" w:ascii="仿宋_GB2312" w:eastAsia="仿宋_GB2312"/>
          <w:sz w:val="28"/>
          <w:szCs w:val="28"/>
          <w:lang w:val="en-US" w:eastAsia="zh-CN"/>
        </w:rPr>
        <w:t>账</w:t>
      </w:r>
      <w:r>
        <w:rPr>
          <w:rFonts w:hint="eastAsia" w:ascii="仿宋_GB2312" w:hAnsi="Times New Roman" w:eastAsia="仿宋_GB2312"/>
          <w:sz w:val="28"/>
          <w:szCs w:val="28"/>
          <w:lang w:val="en-US" w:eastAsia="zh-CN"/>
        </w:rPr>
        <w:t>实相符。</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640" w:firstLineChars="200"/>
        <w:textAlignment w:val="auto"/>
        <w:outlineLvl w:val="9"/>
        <w:rPr>
          <w:rFonts w:hint="eastAsia" w:ascii="楷体_GB2312" w:eastAsia="楷体_GB2312"/>
          <w:sz w:val="32"/>
          <w:szCs w:val="32"/>
        </w:rPr>
      </w:pPr>
      <w:r>
        <w:rPr>
          <w:rFonts w:hint="eastAsia" w:ascii="楷体_GB2312" w:eastAsia="楷体_GB2312"/>
          <w:sz w:val="32"/>
          <w:szCs w:val="32"/>
          <w:lang w:eastAsia="zh-CN"/>
        </w:rPr>
        <w:t>（三）</w:t>
      </w:r>
      <w:r>
        <w:rPr>
          <w:rFonts w:hint="eastAsia" w:ascii="楷体_GB2312" w:eastAsia="楷体_GB2312"/>
          <w:sz w:val="32"/>
          <w:szCs w:val="32"/>
        </w:rPr>
        <w:t>绩效管理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eastAsia="仿宋_GB2312" w:cstheme="minorBidi"/>
          <w:b w:val="0"/>
          <w:bCs w:val="0"/>
          <w:kern w:val="2"/>
          <w:sz w:val="28"/>
          <w:szCs w:val="28"/>
          <w:lang w:val="en-US" w:eastAsia="zh-CN" w:bidi="ar-SA"/>
        </w:rPr>
      </w:pPr>
      <w:r>
        <w:rPr>
          <w:rFonts w:hint="eastAsia" w:ascii="仿宋_GB2312" w:hAnsi="Times New Roman" w:eastAsia="仿宋_GB2312" w:cstheme="minorBidi"/>
          <w:b w:val="0"/>
          <w:bCs w:val="0"/>
          <w:kern w:val="2"/>
          <w:sz w:val="28"/>
          <w:szCs w:val="28"/>
          <w:lang w:val="en-US" w:eastAsia="zh-CN" w:bidi="ar-SA"/>
        </w:rPr>
        <w:t>认真贯彻落实《中共北京市委北京市人民政府关于全面实施预算绩效管理的实施意见》，按照《大兴区预算绩效管理办法》、《大兴区项目支出绩效评价管理办法》的要求，及时对绩效信息进行汇总分析整理，半年结束后，进行项目绩效跟踪，并形成跟踪报告，发现与目标有偏差、进度缓慢的项目适时调整，加快进度。年度终了，对所有项目开展自评，由各项目负责科室结合年初绩效目标制定，逐条指标进行分析，并</w:t>
      </w:r>
      <w:r>
        <w:rPr>
          <w:rFonts w:hint="eastAsia" w:ascii="仿宋_GB2312" w:eastAsia="仿宋_GB2312" w:cstheme="minorBidi"/>
          <w:b w:val="0"/>
          <w:bCs w:val="0"/>
          <w:kern w:val="2"/>
          <w:sz w:val="28"/>
          <w:szCs w:val="28"/>
          <w:lang w:val="en-US" w:eastAsia="zh-CN" w:bidi="ar-SA"/>
        </w:rPr>
        <w:t>写明</w:t>
      </w:r>
      <w:r>
        <w:rPr>
          <w:rFonts w:hint="eastAsia" w:ascii="仿宋_GB2312" w:hAnsi="Times New Roman" w:eastAsia="仿宋_GB2312" w:cstheme="minorBidi"/>
          <w:b w:val="0"/>
          <w:bCs w:val="0"/>
          <w:kern w:val="2"/>
          <w:sz w:val="28"/>
          <w:szCs w:val="28"/>
          <w:lang w:val="en-US" w:eastAsia="zh-CN" w:bidi="ar-SA"/>
        </w:rPr>
        <w:t>偏差原因。对于偏差较大的项目，</w:t>
      </w:r>
      <w:r>
        <w:rPr>
          <w:rFonts w:hint="eastAsia" w:ascii="仿宋_GB2312" w:eastAsia="仿宋_GB2312" w:cstheme="minorBidi"/>
          <w:b w:val="0"/>
          <w:bCs w:val="0"/>
          <w:kern w:val="2"/>
          <w:sz w:val="28"/>
          <w:szCs w:val="28"/>
          <w:lang w:val="en-US" w:eastAsia="zh-CN" w:bidi="ar-SA"/>
        </w:rPr>
        <w:t>在</w:t>
      </w:r>
      <w:r>
        <w:rPr>
          <w:rFonts w:hint="eastAsia" w:ascii="仿宋_GB2312" w:hAnsi="Times New Roman" w:eastAsia="仿宋_GB2312" w:cstheme="minorBidi"/>
          <w:b w:val="0"/>
          <w:bCs w:val="0"/>
          <w:kern w:val="2"/>
          <w:sz w:val="28"/>
          <w:szCs w:val="28"/>
          <w:lang w:val="en-US" w:eastAsia="zh-CN" w:bidi="ar-SA"/>
        </w:rPr>
        <w:t>下一年项目执行时，</w:t>
      </w:r>
      <w:r>
        <w:rPr>
          <w:rFonts w:hint="eastAsia" w:ascii="仿宋_GB2312" w:eastAsia="仿宋_GB2312" w:cstheme="minorBidi"/>
          <w:b w:val="0"/>
          <w:bCs w:val="0"/>
          <w:kern w:val="2"/>
          <w:sz w:val="28"/>
          <w:szCs w:val="28"/>
          <w:lang w:val="en-US" w:eastAsia="zh-CN" w:bidi="ar-SA"/>
        </w:rPr>
        <w:t>加强管理。</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cstheme="minorBidi"/>
          <w:b w:val="0"/>
          <w:bCs w:val="0"/>
          <w:kern w:val="2"/>
          <w:sz w:val="28"/>
          <w:szCs w:val="28"/>
          <w:lang w:val="en-US" w:eastAsia="zh-CN" w:bidi="ar-SA"/>
        </w:rPr>
      </w:pPr>
      <w:r>
        <w:rPr>
          <w:rFonts w:hint="eastAsia" w:ascii="仿宋_GB2312" w:hAnsi="Times New Roman" w:eastAsia="仿宋_GB2312" w:cstheme="minorBidi"/>
          <w:b w:val="0"/>
          <w:bCs w:val="0"/>
          <w:kern w:val="2"/>
          <w:sz w:val="28"/>
          <w:szCs w:val="28"/>
          <w:lang w:val="en-US" w:eastAsia="zh-CN" w:bidi="ar-SA"/>
        </w:rPr>
        <w:t>本单位加强预算绩效管理，逐步建立“预算编制有目标、预算执行有监控、预算完成有评价、评价结果有反馈、反馈结果有应用”的全过程预算管理绩效机制。在预算编制时，应明确项目的绩效目标，并可量化、可考核。</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right="0" w:rightChars="0" w:firstLine="640" w:firstLineChars="200"/>
        <w:textAlignment w:val="auto"/>
        <w:outlineLvl w:val="9"/>
        <w:rPr>
          <w:rFonts w:ascii="楷体_GB2312" w:eastAsia="楷体_GB2312"/>
          <w:sz w:val="32"/>
          <w:szCs w:val="32"/>
        </w:rPr>
      </w:pPr>
      <w:r>
        <w:rPr>
          <w:rFonts w:hint="eastAsia" w:ascii="楷体_GB2312" w:eastAsia="楷体_GB2312"/>
          <w:sz w:val="32"/>
          <w:szCs w:val="32"/>
        </w:rPr>
        <w:t>部门</w:t>
      </w:r>
      <w:r>
        <w:rPr>
          <w:rFonts w:ascii="楷体_GB2312" w:eastAsia="楷体_GB2312"/>
          <w:sz w:val="32"/>
          <w:szCs w:val="32"/>
        </w:rPr>
        <w:t>预决算差异率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highlight w:val="none"/>
          <w:lang w:val="en-US" w:eastAsia="zh-CN"/>
        </w:rPr>
        <w:t>部门预决算差异率为1.99%，</w:t>
      </w:r>
      <w:r>
        <w:rPr>
          <w:rFonts w:hint="eastAsia" w:ascii="仿宋_GB2312" w:hAnsi="仿宋_GB2312" w:eastAsia="仿宋_GB2312" w:cs="仿宋_GB2312"/>
          <w:b w:val="0"/>
          <w:bCs w:val="0"/>
          <w:sz w:val="28"/>
          <w:szCs w:val="28"/>
          <w:lang w:val="en-US" w:eastAsia="zh-CN"/>
        </w:rPr>
        <w:t>主要原因是人员调整，人员经费未及时追减。</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640" w:firstLineChars="200"/>
        <w:textAlignment w:val="auto"/>
        <w:outlineLvl w:val="9"/>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560" w:firstLineChars="200"/>
        <w:textAlignment w:val="auto"/>
        <w:outlineLvl w:val="9"/>
        <w:rPr>
          <w:rFonts w:hint="eastAsia" w:ascii="仿宋_GB2312" w:hAnsi="Times New Roman" w:eastAsia="仿宋_GB2312" w:cstheme="minorBidi"/>
          <w:b w:val="0"/>
          <w:bCs w:val="0"/>
          <w:color w:val="auto"/>
          <w:kern w:val="2"/>
          <w:sz w:val="28"/>
          <w:szCs w:val="28"/>
          <w:highlight w:val="none"/>
          <w:lang w:val="en-US" w:eastAsia="zh-CN" w:bidi="ar-SA"/>
        </w:rPr>
      </w:pPr>
      <w:r>
        <w:rPr>
          <w:rFonts w:hint="eastAsia" w:ascii="仿宋_GB2312" w:hAnsi="Times New Roman" w:eastAsia="仿宋_GB2312" w:cstheme="minorBidi"/>
          <w:b w:val="0"/>
          <w:bCs w:val="0"/>
          <w:color w:val="auto"/>
          <w:kern w:val="2"/>
          <w:sz w:val="28"/>
          <w:szCs w:val="28"/>
          <w:highlight w:val="none"/>
          <w:lang w:val="en-US" w:eastAsia="zh-CN" w:bidi="ar-SA"/>
        </w:rPr>
        <w:t>部门整体评价得分</w:t>
      </w:r>
      <w:r>
        <w:rPr>
          <w:rFonts w:hint="eastAsia" w:ascii="仿宋_GB2312" w:eastAsia="仿宋_GB2312" w:cstheme="minorBidi"/>
          <w:b w:val="0"/>
          <w:bCs w:val="0"/>
          <w:color w:val="auto"/>
          <w:kern w:val="2"/>
          <w:sz w:val="28"/>
          <w:szCs w:val="28"/>
          <w:highlight w:val="none"/>
          <w:lang w:val="en-US" w:eastAsia="zh-CN" w:bidi="ar-SA"/>
        </w:rPr>
        <w:t>99.6</w:t>
      </w:r>
      <w:r>
        <w:rPr>
          <w:rFonts w:hint="eastAsia" w:ascii="仿宋_GB2312" w:hAnsi="Times New Roman" w:eastAsia="仿宋_GB2312" w:cstheme="minorBidi"/>
          <w:b w:val="0"/>
          <w:bCs w:val="0"/>
          <w:color w:val="auto"/>
          <w:kern w:val="2"/>
          <w:sz w:val="28"/>
          <w:szCs w:val="28"/>
          <w:highlight w:val="none"/>
          <w:lang w:val="en-US" w:eastAsia="zh-CN" w:bidi="ar-SA"/>
        </w:rPr>
        <w:t>分。202</w:t>
      </w:r>
      <w:r>
        <w:rPr>
          <w:rFonts w:hint="eastAsia" w:ascii="仿宋_GB2312" w:eastAsia="仿宋_GB2312" w:cstheme="minorBidi"/>
          <w:b w:val="0"/>
          <w:bCs w:val="0"/>
          <w:color w:val="auto"/>
          <w:kern w:val="2"/>
          <w:sz w:val="28"/>
          <w:szCs w:val="28"/>
          <w:highlight w:val="none"/>
          <w:lang w:val="en-US" w:eastAsia="zh-CN" w:bidi="ar-SA"/>
        </w:rPr>
        <w:t>4</w:t>
      </w:r>
      <w:r>
        <w:rPr>
          <w:rFonts w:hint="eastAsia" w:ascii="仿宋_GB2312" w:hAnsi="Times New Roman" w:eastAsia="仿宋_GB2312" w:cstheme="minorBidi"/>
          <w:b w:val="0"/>
          <w:bCs w:val="0"/>
          <w:color w:val="auto"/>
          <w:kern w:val="2"/>
          <w:sz w:val="28"/>
          <w:szCs w:val="28"/>
          <w:highlight w:val="none"/>
          <w:lang w:val="en-US" w:eastAsia="zh-CN" w:bidi="ar-SA"/>
        </w:rPr>
        <w:t>年项目数</w:t>
      </w:r>
      <w:r>
        <w:rPr>
          <w:rFonts w:hint="eastAsia" w:ascii="仿宋_GB2312" w:eastAsia="仿宋_GB2312" w:cstheme="minorBidi"/>
          <w:b w:val="0"/>
          <w:bCs w:val="0"/>
          <w:color w:val="auto"/>
          <w:kern w:val="2"/>
          <w:sz w:val="28"/>
          <w:szCs w:val="28"/>
          <w:highlight w:val="none"/>
          <w:lang w:val="en-US" w:eastAsia="zh-CN" w:bidi="ar-SA"/>
        </w:rPr>
        <w:t>17</w:t>
      </w:r>
      <w:r>
        <w:rPr>
          <w:rFonts w:hint="eastAsia" w:ascii="仿宋_GB2312" w:hAnsi="Times New Roman" w:eastAsia="仿宋_GB2312" w:cstheme="minorBidi"/>
          <w:b w:val="0"/>
          <w:bCs w:val="0"/>
          <w:color w:val="auto"/>
          <w:kern w:val="2"/>
          <w:sz w:val="28"/>
          <w:szCs w:val="28"/>
          <w:highlight w:val="none"/>
          <w:lang w:val="en-US" w:eastAsia="zh-CN" w:bidi="ar-SA"/>
        </w:rPr>
        <w:t>个，共评价</w:t>
      </w:r>
      <w:r>
        <w:rPr>
          <w:rFonts w:hint="eastAsia" w:ascii="仿宋_GB2312" w:eastAsia="仿宋_GB2312" w:cstheme="minorBidi"/>
          <w:b w:val="0"/>
          <w:bCs w:val="0"/>
          <w:color w:val="auto"/>
          <w:kern w:val="2"/>
          <w:sz w:val="28"/>
          <w:szCs w:val="28"/>
          <w:highlight w:val="none"/>
          <w:lang w:val="en-US" w:eastAsia="zh-CN" w:bidi="ar-SA"/>
        </w:rPr>
        <w:t>17</w:t>
      </w:r>
      <w:r>
        <w:rPr>
          <w:rFonts w:hint="eastAsia" w:ascii="仿宋_GB2312" w:hAnsi="Times New Roman" w:eastAsia="仿宋_GB2312" w:cstheme="minorBidi"/>
          <w:b w:val="0"/>
          <w:bCs w:val="0"/>
          <w:color w:val="auto"/>
          <w:kern w:val="2"/>
          <w:sz w:val="28"/>
          <w:szCs w:val="28"/>
          <w:highlight w:val="none"/>
          <w:lang w:val="en-US" w:eastAsia="zh-CN" w:bidi="ar-SA"/>
        </w:rPr>
        <w:t>个，最高100分，最低</w:t>
      </w:r>
      <w:r>
        <w:rPr>
          <w:rFonts w:hint="eastAsia" w:ascii="仿宋_GB2312" w:eastAsia="仿宋_GB2312" w:cstheme="minorBidi"/>
          <w:b w:val="0"/>
          <w:bCs w:val="0"/>
          <w:color w:val="auto"/>
          <w:kern w:val="2"/>
          <w:sz w:val="28"/>
          <w:szCs w:val="28"/>
          <w:highlight w:val="none"/>
          <w:lang w:val="en-US" w:eastAsia="zh-CN" w:bidi="ar-SA"/>
        </w:rPr>
        <w:t>93</w:t>
      </w:r>
      <w:r>
        <w:rPr>
          <w:rFonts w:hint="eastAsia" w:ascii="仿宋_GB2312" w:hAnsi="Times New Roman" w:eastAsia="仿宋_GB2312" w:cstheme="minorBidi"/>
          <w:b w:val="0"/>
          <w:bCs w:val="0"/>
          <w:color w:val="auto"/>
          <w:kern w:val="2"/>
          <w:sz w:val="28"/>
          <w:szCs w:val="28"/>
          <w:highlight w:val="none"/>
          <w:lang w:val="en-US" w:eastAsia="zh-CN" w:bidi="ar-SA"/>
        </w:rPr>
        <w:t>分，所有项目平均得分</w:t>
      </w:r>
      <w:r>
        <w:rPr>
          <w:rFonts w:hint="eastAsia" w:ascii="仿宋_GB2312" w:eastAsia="仿宋_GB2312" w:cstheme="minorBidi"/>
          <w:b w:val="0"/>
          <w:bCs w:val="0"/>
          <w:color w:val="auto"/>
          <w:kern w:val="2"/>
          <w:sz w:val="28"/>
          <w:szCs w:val="28"/>
          <w:highlight w:val="none"/>
          <w:lang w:val="en-US" w:eastAsia="zh-CN" w:bidi="ar-SA"/>
        </w:rPr>
        <w:t>99.43</w:t>
      </w:r>
      <w:r>
        <w:rPr>
          <w:rFonts w:hint="eastAsia" w:ascii="仿宋_GB2312" w:hAnsi="Times New Roman" w:eastAsia="仿宋_GB2312" w:cstheme="minorBidi"/>
          <w:b w:val="0"/>
          <w:bCs w:val="0"/>
          <w:color w:val="auto"/>
          <w:kern w:val="2"/>
          <w:sz w:val="28"/>
          <w:szCs w:val="28"/>
          <w:highlight w:val="none"/>
          <w:lang w:val="en-US" w:eastAsia="zh-CN" w:bidi="ar-SA"/>
        </w:rPr>
        <w:t>分。</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105" w:leftChars="50" w:right="0" w:rightChars="0" w:firstLine="640" w:firstLineChars="200"/>
        <w:textAlignment w:val="auto"/>
        <w:outlineLvl w:val="9"/>
        <w:rPr>
          <w:rFonts w:hint="eastAsia" w:ascii="仿宋_GB2312" w:hAnsi="Times New Roman" w:eastAsia="仿宋_GB2312" w:cstheme="minorBidi"/>
          <w:b w:val="0"/>
          <w:bCs w:val="0"/>
          <w:kern w:val="2"/>
          <w:sz w:val="32"/>
          <w:szCs w:val="32"/>
          <w:highlight w:val="none"/>
          <w:lang w:val="en-US" w:eastAsia="zh-CN" w:bidi="ar-SA"/>
        </w:rPr>
      </w:pPr>
      <w:r>
        <w:rPr>
          <w:rFonts w:hint="eastAsia" w:ascii="楷体_GB2312" w:eastAsia="楷体_GB2312"/>
          <w:sz w:val="32"/>
          <w:szCs w:val="32"/>
          <w:highlight w:val="none"/>
        </w:rPr>
        <w:t>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firstLine="560" w:firstLineChars="200"/>
        <w:textAlignment w:val="auto"/>
        <w:outlineLvl w:val="9"/>
        <w:rPr>
          <w:rFonts w:hint="eastAsia" w:ascii="仿宋_GB2312" w:hAnsi="Times New Roman" w:eastAsia="仿宋_GB2312" w:cstheme="minorBidi"/>
          <w:b w:val="0"/>
          <w:bCs w:val="0"/>
          <w:kern w:val="2"/>
          <w:sz w:val="28"/>
          <w:szCs w:val="28"/>
          <w:lang w:val="en-US" w:eastAsia="zh-CN" w:bidi="ar-SA"/>
        </w:rPr>
      </w:pPr>
      <w:r>
        <w:rPr>
          <w:rFonts w:hint="eastAsia" w:ascii="仿宋_GB2312" w:hAnsi="Times New Roman" w:eastAsia="仿宋_GB2312" w:cstheme="minorBidi"/>
          <w:b w:val="0"/>
          <w:bCs w:val="0"/>
          <w:kern w:val="2"/>
          <w:sz w:val="28"/>
          <w:szCs w:val="28"/>
          <w:lang w:val="en-US" w:eastAsia="zh-CN" w:bidi="ar-SA"/>
        </w:rPr>
        <w:t>通过绩效自评、部门评价，发现存在以下问题：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cstheme="minorBidi"/>
          <w:b w:val="0"/>
          <w:bCs w:val="0"/>
          <w:kern w:val="2"/>
          <w:sz w:val="28"/>
          <w:szCs w:val="28"/>
          <w:lang w:val="en-US" w:eastAsia="zh-CN" w:bidi="ar-SA"/>
        </w:rPr>
      </w:pPr>
      <w:r>
        <w:rPr>
          <w:rFonts w:hint="eastAsia" w:ascii="仿宋_GB2312" w:hAnsi="Times New Roman" w:eastAsia="仿宋_GB2312" w:cstheme="minorBidi"/>
          <w:b w:val="0"/>
          <w:bCs w:val="0"/>
          <w:kern w:val="2"/>
          <w:sz w:val="28"/>
          <w:szCs w:val="28"/>
          <w:lang w:val="en-US" w:eastAsia="zh-CN" w:bidi="ar-SA"/>
        </w:rPr>
        <w:t>1、科室在项目执行过程中，对绩效重视程度不够。部门预算下达后，负责科室过于重视项目的执行过程，对年初设定的绩效目标出现偏差时，未及</w:t>
      </w:r>
      <w:r>
        <w:rPr>
          <w:rFonts w:hint="eastAsia" w:ascii="仿宋_GB2312" w:eastAsia="仿宋_GB2312" w:cstheme="minorBidi"/>
          <w:b w:val="0"/>
          <w:bCs w:val="0"/>
          <w:kern w:val="2"/>
          <w:sz w:val="28"/>
          <w:szCs w:val="28"/>
          <w:lang w:val="en-US" w:eastAsia="zh-CN" w:bidi="ar-SA"/>
        </w:rPr>
        <w:t>时</w:t>
      </w:r>
      <w:r>
        <w:rPr>
          <w:rFonts w:hint="eastAsia" w:ascii="仿宋_GB2312" w:hAnsi="Times New Roman" w:eastAsia="仿宋_GB2312" w:cstheme="minorBidi"/>
          <w:b w:val="0"/>
          <w:bCs w:val="0"/>
          <w:kern w:val="2"/>
          <w:sz w:val="28"/>
          <w:szCs w:val="28"/>
          <w:lang w:val="en-US" w:eastAsia="zh-CN" w:bidi="ar-SA"/>
        </w:rPr>
        <w:t>做出调整。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cstheme="minorBidi"/>
          <w:b w:val="0"/>
          <w:bCs w:val="0"/>
          <w:kern w:val="2"/>
          <w:sz w:val="28"/>
          <w:szCs w:val="28"/>
          <w:lang w:val="en-US" w:eastAsia="zh-CN" w:bidi="ar-SA"/>
        </w:rPr>
      </w:pPr>
      <w:r>
        <w:rPr>
          <w:rFonts w:hint="eastAsia" w:ascii="仿宋_GB2312" w:eastAsia="仿宋_GB2312" w:cstheme="minorBidi"/>
          <w:b w:val="0"/>
          <w:bCs w:val="0"/>
          <w:kern w:val="2"/>
          <w:sz w:val="28"/>
          <w:szCs w:val="28"/>
          <w:lang w:val="en-US" w:eastAsia="zh-CN" w:bidi="ar-SA"/>
        </w:rPr>
        <w:t>2、</w:t>
      </w:r>
      <w:r>
        <w:rPr>
          <w:rFonts w:hint="eastAsia" w:ascii="仿宋_GB2312" w:hAnsi="Times New Roman" w:eastAsia="仿宋_GB2312" w:cstheme="minorBidi"/>
          <w:b w:val="0"/>
          <w:bCs w:val="0"/>
          <w:kern w:val="2"/>
          <w:sz w:val="28"/>
          <w:szCs w:val="28"/>
          <w:lang w:val="en-US" w:eastAsia="zh-CN" w:bidi="ar-SA"/>
        </w:rPr>
        <w:t>项目支出进度缓慢。通过绩效评价，发现部分项目支出时间全部集中在第四季度。分析原因一是受项目本身制约，前三季度不够付款条件，二是对</w:t>
      </w:r>
      <w:r>
        <w:rPr>
          <w:rFonts w:hint="eastAsia" w:ascii="仿宋_GB2312" w:eastAsia="仿宋_GB2312" w:cstheme="minorBidi"/>
          <w:b w:val="0"/>
          <w:bCs w:val="0"/>
          <w:kern w:val="2"/>
          <w:sz w:val="28"/>
          <w:szCs w:val="28"/>
          <w:lang w:val="en-US" w:eastAsia="zh-CN" w:bidi="ar-SA"/>
        </w:rPr>
        <w:t>支</w:t>
      </w:r>
      <w:r>
        <w:rPr>
          <w:rFonts w:hint="eastAsia" w:ascii="仿宋_GB2312" w:hAnsi="Times New Roman" w:eastAsia="仿宋_GB2312" w:cstheme="minorBidi"/>
          <w:b w:val="0"/>
          <w:bCs w:val="0"/>
          <w:kern w:val="2"/>
          <w:sz w:val="28"/>
          <w:szCs w:val="28"/>
          <w:lang w:val="en-US" w:eastAsia="zh-CN" w:bidi="ar-SA"/>
        </w:rPr>
        <w:t>出时间安排不合理，年末集中支付，造成前三季度支出进度不能按比例完成。</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六、措施建议</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cstheme="minorBidi"/>
          <w:b w:val="0"/>
          <w:bCs w:val="0"/>
          <w:kern w:val="2"/>
          <w:sz w:val="28"/>
          <w:szCs w:val="28"/>
          <w:lang w:val="en-US" w:eastAsia="zh-CN" w:bidi="ar-SA"/>
        </w:rPr>
      </w:pPr>
      <w:r>
        <w:rPr>
          <w:rFonts w:hint="eastAsia" w:ascii="仿宋_GB2312" w:hAnsi="Times New Roman" w:eastAsia="仿宋_GB2312" w:cstheme="minorBidi"/>
          <w:b w:val="0"/>
          <w:bCs w:val="0"/>
          <w:kern w:val="2"/>
          <w:sz w:val="28"/>
          <w:szCs w:val="28"/>
          <w:lang w:val="en-US" w:eastAsia="zh-CN" w:bidi="ar-SA"/>
        </w:rPr>
        <w:t>通过部门绩效评价过程中发现的问题，下一步工作举措如下：</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cstheme="minorBidi"/>
          <w:b w:val="0"/>
          <w:bCs w:val="0"/>
          <w:kern w:val="2"/>
          <w:sz w:val="28"/>
          <w:szCs w:val="28"/>
          <w:lang w:val="en-US" w:eastAsia="zh-CN" w:bidi="ar-SA"/>
        </w:rPr>
      </w:pPr>
      <w:r>
        <w:rPr>
          <w:rFonts w:hint="eastAsia" w:ascii="仿宋_GB2312" w:hAnsi="Times New Roman" w:eastAsia="仿宋_GB2312" w:cstheme="minorBidi"/>
          <w:b w:val="0"/>
          <w:bCs w:val="0"/>
          <w:kern w:val="2"/>
          <w:sz w:val="28"/>
          <w:szCs w:val="28"/>
          <w:lang w:val="en-US" w:eastAsia="zh-CN" w:bidi="ar-SA"/>
        </w:rPr>
        <w:t>加强项目统</w:t>
      </w:r>
      <w:r>
        <w:rPr>
          <w:rFonts w:hint="eastAsia" w:ascii="仿宋_GB2312" w:eastAsia="仿宋_GB2312" w:cstheme="minorBidi"/>
          <w:b w:val="0"/>
          <w:bCs w:val="0"/>
          <w:kern w:val="2"/>
          <w:sz w:val="28"/>
          <w:szCs w:val="28"/>
          <w:lang w:val="en-US" w:eastAsia="zh-CN" w:bidi="ar-SA"/>
        </w:rPr>
        <w:t>筹</w:t>
      </w:r>
      <w:r>
        <w:rPr>
          <w:rFonts w:hint="eastAsia" w:ascii="仿宋_GB2312" w:hAnsi="Times New Roman" w:eastAsia="仿宋_GB2312" w:cstheme="minorBidi"/>
          <w:b w:val="0"/>
          <w:bCs w:val="0"/>
          <w:kern w:val="2"/>
          <w:sz w:val="28"/>
          <w:szCs w:val="28"/>
          <w:lang w:val="en-US" w:eastAsia="zh-CN" w:bidi="ar-SA"/>
        </w:rPr>
        <w:t>规划。在项目预算编制前期，充分调研，归纳总结前期工作经验，对比同类项目效果，提高预算编制的科学性、准确性。</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cstheme="minorBidi"/>
          <w:b w:val="0"/>
          <w:bCs w:val="0"/>
          <w:kern w:val="2"/>
          <w:sz w:val="28"/>
          <w:szCs w:val="28"/>
          <w:lang w:val="en-US" w:eastAsia="zh-CN" w:bidi="ar-SA"/>
        </w:rPr>
      </w:pPr>
      <w:r>
        <w:rPr>
          <w:rFonts w:hint="eastAsia" w:ascii="仿宋_GB2312" w:hAnsi="Times New Roman" w:eastAsia="仿宋_GB2312" w:cstheme="minorBidi"/>
          <w:b w:val="0"/>
          <w:bCs w:val="0"/>
          <w:kern w:val="2"/>
          <w:sz w:val="28"/>
          <w:szCs w:val="28"/>
          <w:lang w:val="en-US" w:eastAsia="zh-CN" w:bidi="ar-SA"/>
        </w:rPr>
        <w:t>强化绩效管理。树立以绩效目标为导向的预算绩效管理意识，根据项目预算批复情况</w:t>
      </w:r>
      <w:r>
        <w:rPr>
          <w:rFonts w:hint="eastAsia" w:ascii="仿宋_GB2312" w:eastAsia="仿宋_GB2312" w:cstheme="minorBidi"/>
          <w:b w:val="0"/>
          <w:bCs w:val="0"/>
          <w:kern w:val="2"/>
          <w:sz w:val="28"/>
          <w:szCs w:val="28"/>
          <w:lang w:val="en-US" w:eastAsia="zh-CN" w:bidi="ar-SA"/>
        </w:rPr>
        <w:t>适时</w:t>
      </w:r>
      <w:r>
        <w:rPr>
          <w:rFonts w:hint="eastAsia" w:ascii="仿宋_GB2312" w:hAnsi="Times New Roman" w:eastAsia="仿宋_GB2312" w:cstheme="minorBidi"/>
          <w:b w:val="0"/>
          <w:bCs w:val="0"/>
          <w:kern w:val="2"/>
          <w:sz w:val="28"/>
          <w:szCs w:val="28"/>
          <w:lang w:val="en-US" w:eastAsia="zh-CN" w:bidi="ar-SA"/>
        </w:rPr>
        <w:t>更新项目投入计划与绩效目标内容。绩效目标是全年项目执行的目的，执行时不能脱离绩效目标。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textAlignment w:val="auto"/>
        <w:outlineLvl w:val="9"/>
        <w:rPr>
          <w:rFonts w:hint="eastAsia" w:ascii="仿宋_GB2312" w:hAnsi="Times New Roman" w:eastAsia="仿宋_GB2312" w:cstheme="minorBidi"/>
          <w:b w:val="0"/>
          <w:bCs w:val="0"/>
          <w:kern w:val="2"/>
          <w:sz w:val="28"/>
          <w:szCs w:val="28"/>
          <w:lang w:val="en-US" w:eastAsia="zh-CN" w:bidi="ar-SA"/>
        </w:rPr>
      </w:pPr>
      <w:r>
        <w:rPr>
          <w:rFonts w:hint="eastAsia" w:ascii="仿宋_GB2312" w:hAnsi="Times New Roman" w:eastAsia="仿宋_GB2312" w:cstheme="minorBidi"/>
          <w:b w:val="0"/>
          <w:bCs w:val="0"/>
          <w:kern w:val="2"/>
          <w:sz w:val="28"/>
          <w:szCs w:val="28"/>
          <w:lang w:val="en-US" w:eastAsia="zh-CN" w:bidi="ar-SA"/>
        </w:rPr>
        <w:t>3、加强业务科室绩效管理的培训。组织一次绩效管理的相关培训，强化绩效目标的意识，从业务层面对市、区相关绩效管理的办法及规定进行详细解读。</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420" w:firstLineChars="200"/>
        <w:textAlignment w:val="auto"/>
        <w:outlineLvl w:val="9"/>
      </w:pPr>
    </w:p>
    <w:p>
      <w:pPr>
        <w:pStyle w:val="2"/>
        <w:keepNext w:val="0"/>
        <w:keepLines w:val="0"/>
        <w:pageBreakBefore w:val="0"/>
        <w:widowControl w:val="0"/>
        <w:kinsoku/>
        <w:wordWrap/>
        <w:overflowPunct/>
        <w:topLinePunct w:val="0"/>
        <w:autoSpaceDE/>
        <w:autoSpaceDN/>
        <w:bidi w:val="0"/>
        <w:adjustRightInd/>
        <w:snapToGrid/>
        <w:spacing w:line="560" w:lineRule="exact"/>
        <w:ind w:right="0" w:rightChars="0" w:firstLine="723" w:firstLineChars="200"/>
        <w:textAlignment w:val="auto"/>
        <w:outlineLvl w:val="9"/>
      </w:pPr>
    </w:p>
    <w:p>
      <w:pPr>
        <w:pStyle w:val="2"/>
        <w:keepNext w:val="0"/>
        <w:keepLines w:val="0"/>
        <w:pageBreakBefore w:val="0"/>
        <w:widowControl w:val="0"/>
        <w:kinsoku/>
        <w:wordWrap/>
        <w:overflowPunct/>
        <w:topLinePunct w:val="0"/>
        <w:autoSpaceDE/>
        <w:autoSpaceDN/>
        <w:bidi w:val="0"/>
        <w:adjustRightInd/>
        <w:snapToGrid/>
        <w:spacing w:line="560" w:lineRule="exact"/>
        <w:ind w:right="0" w:rightChars="0" w:firstLine="562" w:firstLineChars="200"/>
        <w:jc w:val="right"/>
        <w:textAlignment w:val="auto"/>
        <w:outlineLvl w:val="9"/>
        <w:rPr>
          <w:rFonts w:hint="eastAsia" w:ascii="仿宋_GB2312" w:hAnsi="Times New Roman" w:eastAsia="仿宋_GB2312" w:cstheme="minorBidi"/>
          <w:b w:val="0"/>
          <w:bCs w:val="0"/>
          <w:kern w:val="2"/>
          <w:sz w:val="28"/>
          <w:szCs w:val="28"/>
          <w:lang w:val="en-US" w:eastAsia="zh-CN" w:bidi="ar-SA"/>
        </w:rPr>
      </w:pPr>
      <w:r>
        <w:rPr>
          <w:rFonts w:hint="eastAsia"/>
          <w:sz w:val="28"/>
          <w:szCs w:val="28"/>
          <w:lang w:val="en-US" w:eastAsia="zh-CN"/>
        </w:rPr>
        <w:t xml:space="preserve">                           </w:t>
      </w:r>
      <w:r>
        <w:rPr>
          <w:rFonts w:hint="eastAsia" w:ascii="仿宋_GB2312" w:hAnsi="Times New Roman" w:eastAsia="仿宋_GB2312" w:cstheme="minorBidi"/>
          <w:b w:val="0"/>
          <w:bCs w:val="0"/>
          <w:kern w:val="2"/>
          <w:sz w:val="28"/>
          <w:szCs w:val="28"/>
          <w:lang w:val="en-US" w:eastAsia="zh-CN" w:bidi="ar-SA"/>
        </w:rPr>
        <w:t xml:space="preserve"> 202</w:t>
      </w:r>
      <w:r>
        <w:rPr>
          <w:rFonts w:hint="eastAsia" w:ascii="仿宋_GB2312" w:eastAsia="仿宋_GB2312" w:cstheme="minorBidi"/>
          <w:b w:val="0"/>
          <w:bCs w:val="0"/>
          <w:kern w:val="2"/>
          <w:sz w:val="28"/>
          <w:szCs w:val="28"/>
          <w:lang w:val="en-US" w:eastAsia="zh-CN" w:bidi="ar-SA"/>
        </w:rPr>
        <w:t>5</w:t>
      </w:r>
      <w:r>
        <w:rPr>
          <w:rFonts w:hint="eastAsia" w:ascii="仿宋_GB2312" w:hAnsi="Times New Roman" w:eastAsia="仿宋_GB2312" w:cstheme="minorBidi"/>
          <w:b w:val="0"/>
          <w:bCs w:val="0"/>
          <w:kern w:val="2"/>
          <w:sz w:val="28"/>
          <w:szCs w:val="28"/>
          <w:lang w:val="en-US" w:eastAsia="zh-CN" w:bidi="ar-SA"/>
        </w:rPr>
        <w:t>年</w:t>
      </w:r>
      <w:r>
        <w:rPr>
          <w:rFonts w:hint="eastAsia" w:ascii="仿宋_GB2312" w:eastAsia="仿宋_GB2312" w:cstheme="minorBidi"/>
          <w:b w:val="0"/>
          <w:bCs w:val="0"/>
          <w:kern w:val="2"/>
          <w:sz w:val="28"/>
          <w:szCs w:val="28"/>
          <w:lang w:val="en-US" w:eastAsia="zh-CN" w:bidi="ar-SA"/>
        </w:rPr>
        <w:t>2</w:t>
      </w:r>
      <w:r>
        <w:rPr>
          <w:rFonts w:hint="eastAsia" w:ascii="仿宋_GB2312" w:hAnsi="Times New Roman" w:eastAsia="仿宋_GB2312" w:cstheme="minorBidi"/>
          <w:b w:val="0"/>
          <w:bCs w:val="0"/>
          <w:kern w:val="2"/>
          <w:sz w:val="28"/>
          <w:szCs w:val="28"/>
          <w:lang w:val="en-US" w:eastAsia="zh-CN" w:bidi="ar-SA"/>
        </w:rPr>
        <w:t>月</w:t>
      </w:r>
      <w:r>
        <w:rPr>
          <w:rFonts w:hint="eastAsia" w:ascii="仿宋_GB2312" w:eastAsia="仿宋_GB2312" w:cstheme="minorBidi"/>
          <w:b w:val="0"/>
          <w:bCs w:val="0"/>
          <w:kern w:val="2"/>
          <w:sz w:val="28"/>
          <w:szCs w:val="28"/>
          <w:lang w:val="en-US" w:eastAsia="zh-CN" w:bidi="ar-SA"/>
        </w:rPr>
        <w:t>13</w:t>
      </w:r>
      <w:r>
        <w:rPr>
          <w:rFonts w:hint="eastAsia" w:ascii="仿宋_GB2312" w:hAnsi="Times New Roman" w:eastAsia="仿宋_GB2312" w:cstheme="minorBidi"/>
          <w:b w:val="0"/>
          <w:bCs w:val="0"/>
          <w:kern w:val="2"/>
          <w:sz w:val="28"/>
          <w:szCs w:val="28"/>
          <w:lang w:val="en-US" w:eastAsia="zh-CN" w:bidi="ar-SA"/>
        </w:rPr>
        <w:t>日</w:t>
      </w:r>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DejaVu Sans">
    <w:altName w:val="Segoe Print"/>
    <w:panose1 w:val="020B0603030804020204"/>
    <w:charset w:val="00"/>
    <w:family w:val="auto"/>
    <w:pitch w:val="default"/>
    <w:sig w:usb0="00000000" w:usb1="00000000" w:usb2="0A246029" w:usb3="0400200C" w:csb0="600001FF" w:csb1="DFFF0000"/>
  </w:font>
  <w:font w:name="方正书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文星标宋">
    <w:altName w:val="微软雅黑"/>
    <w:panose1 w:val="02010604000101010101"/>
    <w:charset w:val="86"/>
    <w:family w:val="auto"/>
    <w:pitch w:val="default"/>
    <w:sig w:usb0="00000000" w:usb1="00000000" w:usb2="00000000" w:usb3="00000000" w:csb0="00040001" w:csb1="00000000"/>
  </w:font>
  <w:font w:name="FangSong_GB2312">
    <w:altName w:val="仿宋_GB2312"/>
    <w:panose1 w:val="02010609030101010101"/>
    <w:charset w:val="86"/>
    <w:family w:val="swiss"/>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Verdana">
    <w:panose1 w:val="020B0604030504040204"/>
    <w:charset w:val="00"/>
    <w:family w:val="auto"/>
    <w:pitch w:val="default"/>
    <w:sig w:usb0="A10006FF" w:usb1="4000205B" w:usb2="00000010" w:usb3="00000000" w:csb0="2000019F" w:csb1="00000000"/>
  </w:font>
  <w:font w:name="Segoe UI">
    <w:panose1 w:val="020B0502040204020203"/>
    <w:charset w:val="00"/>
    <w:family w:val="auto"/>
    <w:pitch w:val="default"/>
    <w:sig w:usb0="E10022FF" w:usb1="C000E47F" w:usb2="00000029" w:usb3="00000000" w:csb0="200001DF" w:csb1="20000000"/>
  </w:font>
  <w:font w:name="仿宋GB-2312">
    <w:altName w:val="仿宋"/>
    <w:panose1 w:val="00000000000000000000"/>
    <w:charset w:val="00"/>
    <w:family w:val="auto"/>
    <w:pitch w:val="default"/>
    <w:sig w:usb0="00000000" w:usb1="00000000" w:usb2="00000000" w:usb3="00000000" w:csb0="00000000" w:csb1="00000000"/>
  </w:font>
  <w:font w:name="楷体GB-2312">
    <w:altName w:val="宋体"/>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 w:name="Liberation Sans">
    <w:altName w:val="宋体"/>
    <w:panose1 w:val="00000000000000000000"/>
    <w:charset w:val="00"/>
    <w:family w:val="swiss"/>
    <w:pitch w:val="default"/>
    <w:sig w:usb0="00000000" w:usb1="00000000" w:usb2="00000000" w:usb3="00000000" w:csb0="00040001" w:csb1="00000000"/>
  </w:font>
  <w:font w:name="Noto Sans CJK SC Regular">
    <w:altName w:val="宋体"/>
    <w:panose1 w:val="020B0500000000000000"/>
    <w:charset w:val="86"/>
    <w:family w:val="auto"/>
    <w:pitch w:val="default"/>
    <w:sig w:usb0="00000000" w:usb1="00000000" w:usb2="00000016" w:usb3="00000000" w:csb0="602E0107" w:csb1="00000000"/>
  </w:font>
  <w:font w:name="Nimbus Roman No9 L">
    <w:altName w:val="Segoe Print"/>
    <w:panose1 w:val="00000000000000000000"/>
    <w:charset w:val="00"/>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0000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Microsoft JhengHei">
    <w:panose1 w:val="020B0604030504040204"/>
    <w:charset w:val="88"/>
    <w:family w:val="swiss"/>
    <w:pitch w:val="default"/>
    <w:sig w:usb0="00000087" w:usb1="28AF4000" w:usb2="00000016" w:usb3="00000000" w:csb0="00100009" w:csb1="0000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ˎ̥">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Segoe UI Symbol">
    <w:panose1 w:val="020B0502040204020203"/>
    <w:charset w:val="00"/>
    <w:family w:val="swiss"/>
    <w:pitch w:val="default"/>
    <w:sig w:usb0="8000006F" w:usb1="1200FBEF" w:usb2="0004C000" w:usb3="00000000" w:csb0="00000001" w:csb1="40000000"/>
  </w:font>
  <w:font w:name="华文中宋">
    <w:panose1 w:val="02010600040101010101"/>
    <w:charset w:val="86"/>
    <w:family w:val="auto"/>
    <w:pitch w:val="default"/>
    <w:sig w:usb0="00000287" w:usb1="080F0000" w:usb2="00000000" w:usb3="00000000" w:csb0="0004009F" w:csb1="DFD7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FC1E8B"/>
    <w:multiLevelType w:val="singleLevel"/>
    <w:tmpl w:val="63FC1E8B"/>
    <w:lvl w:ilvl="0" w:tentative="0">
      <w:start w:val="2"/>
      <w:numFmt w:val="chineseCounting"/>
      <w:suff w:val="nothing"/>
      <w:lvlText w:val="（%1）"/>
      <w:lvlJc w:val="left"/>
    </w:lvl>
  </w:abstractNum>
  <w:abstractNum w:abstractNumId="1">
    <w:nsid w:val="63FC25DE"/>
    <w:multiLevelType w:val="singleLevel"/>
    <w:tmpl w:val="63FC25DE"/>
    <w:lvl w:ilvl="0" w:tentative="0">
      <w:start w:val="4"/>
      <w:numFmt w:val="chineseCounting"/>
      <w:suff w:val="nothing"/>
      <w:lvlText w:val="（%1）"/>
      <w:lvlJc w:val="left"/>
    </w:lvl>
  </w:abstractNum>
  <w:abstractNum w:abstractNumId="2">
    <w:nsid w:val="65D592D4"/>
    <w:multiLevelType w:val="singleLevel"/>
    <w:tmpl w:val="65D592D4"/>
    <w:lvl w:ilvl="0" w:tentative="0">
      <w:start w:val="2"/>
      <w:numFmt w:val="chineseCounting"/>
      <w:suff w:val="nothing"/>
      <w:lvlText w:val="（%1）"/>
      <w:lvlJc w:val="left"/>
    </w:lvl>
  </w:abstractNum>
  <w:abstractNum w:abstractNumId="3">
    <w:nsid w:val="68CA7AAD"/>
    <w:multiLevelType w:val="singleLevel"/>
    <w:tmpl w:val="68CA7AAD"/>
    <w:lvl w:ilvl="0" w:tentative="0">
      <w:start w:val="1"/>
      <w:numFmt w:val="decimal"/>
      <w:suff w:val="nothing"/>
      <w:lvlText w:val="%1、"/>
      <w:lvlJc w:val="left"/>
    </w:lvl>
  </w:abstractNum>
  <w:abstractNum w:abstractNumId="4">
    <w:nsid w:val="68D3A5B6"/>
    <w:multiLevelType w:val="singleLevel"/>
    <w:tmpl w:val="68D3A5B6"/>
    <w:lvl w:ilvl="0" w:tentative="0">
      <w:start w:val="1"/>
      <w:numFmt w:val="decimal"/>
      <w:suff w:val="nothing"/>
      <w:lvlText w:val="%1."/>
      <w:lvlJc w:val="left"/>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CD5A8F"/>
    <w:rsid w:val="05064694"/>
    <w:rsid w:val="0788044E"/>
    <w:rsid w:val="0AF12DEC"/>
    <w:rsid w:val="0B337138"/>
    <w:rsid w:val="0BDC729E"/>
    <w:rsid w:val="0CC1309F"/>
    <w:rsid w:val="0E6F6F4A"/>
    <w:rsid w:val="0F2514B3"/>
    <w:rsid w:val="12270F56"/>
    <w:rsid w:val="14AB3FAD"/>
    <w:rsid w:val="16FE1BE5"/>
    <w:rsid w:val="18192DDA"/>
    <w:rsid w:val="18453A0B"/>
    <w:rsid w:val="187B4204"/>
    <w:rsid w:val="18CE08FB"/>
    <w:rsid w:val="1A955EB6"/>
    <w:rsid w:val="1CDC2F30"/>
    <w:rsid w:val="1CE27D68"/>
    <w:rsid w:val="22E27B39"/>
    <w:rsid w:val="22EC45FB"/>
    <w:rsid w:val="236360B7"/>
    <w:rsid w:val="23881DDC"/>
    <w:rsid w:val="24D46995"/>
    <w:rsid w:val="2968535D"/>
    <w:rsid w:val="29AA4BD8"/>
    <w:rsid w:val="2AB1118F"/>
    <w:rsid w:val="2B3664A6"/>
    <w:rsid w:val="2D1877A7"/>
    <w:rsid w:val="2F075857"/>
    <w:rsid w:val="31591344"/>
    <w:rsid w:val="328F02DF"/>
    <w:rsid w:val="34097FD5"/>
    <w:rsid w:val="35151E06"/>
    <w:rsid w:val="357A3513"/>
    <w:rsid w:val="3E6510E5"/>
    <w:rsid w:val="40E32AC2"/>
    <w:rsid w:val="432C1132"/>
    <w:rsid w:val="44210031"/>
    <w:rsid w:val="44437B42"/>
    <w:rsid w:val="46CF348A"/>
    <w:rsid w:val="4738704E"/>
    <w:rsid w:val="480B25B1"/>
    <w:rsid w:val="49566B24"/>
    <w:rsid w:val="497F5B50"/>
    <w:rsid w:val="4B5062CB"/>
    <w:rsid w:val="4CA95B35"/>
    <w:rsid w:val="4CBC2FDE"/>
    <w:rsid w:val="4CF60901"/>
    <w:rsid w:val="4F762E07"/>
    <w:rsid w:val="519A7D14"/>
    <w:rsid w:val="55836D99"/>
    <w:rsid w:val="56115ECE"/>
    <w:rsid w:val="56B57389"/>
    <w:rsid w:val="570369D5"/>
    <w:rsid w:val="594B41C3"/>
    <w:rsid w:val="596D137E"/>
    <w:rsid w:val="59AE1629"/>
    <w:rsid w:val="5EB0771C"/>
    <w:rsid w:val="5EE824BB"/>
    <w:rsid w:val="5F034E03"/>
    <w:rsid w:val="5F5711DE"/>
    <w:rsid w:val="5FD47009"/>
    <w:rsid w:val="613C41FE"/>
    <w:rsid w:val="61884603"/>
    <w:rsid w:val="6195275B"/>
    <w:rsid w:val="64CC22B8"/>
    <w:rsid w:val="661B068D"/>
    <w:rsid w:val="6A777539"/>
    <w:rsid w:val="6B2B0ECE"/>
    <w:rsid w:val="6C11724A"/>
    <w:rsid w:val="6DC9175F"/>
    <w:rsid w:val="6E3E7F9A"/>
    <w:rsid w:val="6EFB132C"/>
    <w:rsid w:val="728F2D22"/>
    <w:rsid w:val="73FD7977"/>
    <w:rsid w:val="743F7441"/>
    <w:rsid w:val="74A1149B"/>
    <w:rsid w:val="758B508E"/>
    <w:rsid w:val="763E680C"/>
    <w:rsid w:val="7A791F18"/>
    <w:rsid w:val="7B1F606C"/>
    <w:rsid w:val="7BB91859"/>
    <w:rsid w:val="7C133AFD"/>
    <w:rsid w:val="7CFB4183"/>
    <w:rsid w:val="7E2316AF"/>
    <w:rsid w:val="7F2E0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5">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100" w:firstLineChars="100"/>
    </w:pPr>
  </w:style>
  <w:style w:type="paragraph" w:styleId="3">
    <w:name w:val="Body Text"/>
    <w:basedOn w:val="1"/>
    <w:next w:val="4"/>
    <w:qFormat/>
    <w:uiPriority w:val="0"/>
    <w:rPr>
      <w:b/>
      <w:bCs/>
      <w:sz w:val="36"/>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Indent"/>
    <w:basedOn w:val="1"/>
    <w:qFormat/>
    <w:uiPriority w:val="0"/>
    <w:pPr>
      <w:spacing w:after="120"/>
      <w:ind w:left="420" w:leftChars="200" w:firstLine="200" w:firstLineChars="200"/>
    </w:pPr>
    <w:rPr>
      <w:rFonts w:ascii="Calibri" w:hAnsi="Calibri" w:cs="Calibri"/>
      <w:szCs w:val="21"/>
    </w:rPr>
  </w:style>
  <w:style w:type="paragraph" w:styleId="7">
    <w:name w:val="Body Text Indent 2"/>
    <w:basedOn w:val="1"/>
    <w:qFormat/>
    <w:uiPriority w:val="0"/>
    <w:pPr>
      <w:ind w:firstLine="600" w:firstLineChars="200"/>
    </w:pPr>
    <w:rPr>
      <w:rFonts w:ascii="Calibri" w:hAnsi="Calibri" w:eastAsia="仿宋_GB2312" w:cs="Times New Roman"/>
      <w:sz w:val="30"/>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2024-02-21T02:37:00Z</dcterms:created>
  <dc:creator>user</dc:creator>
  <cp:lastModifiedBy>user</cp:lastModifiedBy>
  <cp:lastPrinted>2025-09-19T09:09:00Z</cp:lastPrinted>
  <dcterms:modified xsi:type="dcterms:W3CDTF">2025-09-30T07:45:29Z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