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一、部门基本情况</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eastAsia="zh-CN"/>
        </w:rPr>
        <w:t>（</w:t>
      </w:r>
      <w:r>
        <w:rPr>
          <w:rFonts w:hint="eastAsia" w:ascii="仿宋_GB2312" w:eastAsia="仿宋_GB2312"/>
          <w:kern w:val="0"/>
          <w:sz w:val="28"/>
          <w:szCs w:val="28"/>
          <w:lang w:val="en-US" w:eastAsia="zh-CN"/>
        </w:rPr>
        <w:t>一）主要职能</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北京市大兴区天宫院街道办事处是区人民政府的派出机关，受区人民政府领导。依据法律、法规的规定，在街道工委的直接领导下开展工作，在本辖区内行使政府公共服务职能、社会管理职能、城市建设管理职能和促进社会稳定职能，其主要职责是：</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1、贯彻执行法律、法规、规章和市、区政府的决定、命令，依法管理基层公共事务。</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2、承担辖区市容环境卫生、绿化美化的管理工作，推进街巷长、河长制工作，组织、协调城市管理综合执法和环境秩序综合治理工作，推进城市精细化管理。</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3、协助依法履行安全生产、消防安全、食品安全、环境保护、劳动保障、流动人口及出租房屋监督管理工作，承担辖区应急、防汛和防灾减灾工作。</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4、参与制定并组织实施社区建设规划和公共服务设施规划，组织辖区单位、居民和志愿者队伍为社区发展服务。</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5、负责社区居民委员会建设，指导社区居民委员会工作，培育、发展社区社会组织，指导、监督社区业主委员会。</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6、推进居民自治，及时处理并向上级政府反映居民的意见和要求。动员社会力量参与社区治理，推动形成社区共治合力。</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7、组织开展群众性文化、体育、科普活动，开展法治宣传和社会公德教育，推动社区公益事业发展。</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8、组织开展公共服务，落实人力社保、民政、卫生健康、教育、住房保障、便民服务等政策，维护老年人、妇女、未成年人、残疾人等合法权益。</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9、承办区政府交办的其他事项。</w:t>
      </w:r>
    </w:p>
    <w:p>
      <w:pPr>
        <w:tabs>
          <w:tab w:val="center" w:pos="6979"/>
        </w:tabs>
        <w:spacing w:line="580" w:lineRule="exact"/>
        <w:ind w:firstLine="570"/>
        <w:rPr>
          <w:rFonts w:hint="eastAsia"/>
          <w:lang w:val="en-US" w:eastAsia="zh-CN"/>
        </w:rPr>
      </w:pPr>
      <w:r>
        <w:rPr>
          <w:rFonts w:hint="eastAsia" w:ascii="仿宋_GB2312" w:eastAsia="仿宋_GB2312"/>
          <w:kern w:val="0"/>
          <w:sz w:val="28"/>
          <w:szCs w:val="28"/>
          <w:lang w:val="en-US" w:eastAsia="zh-CN"/>
        </w:rPr>
        <w:t>（二）北京市大兴区天宫院街道办事处本级为行政单位，内设6个办公室，</w:t>
      </w:r>
      <w:r>
        <w:rPr>
          <w:rFonts w:hint="eastAsia" w:ascii="仿宋_GB2312" w:eastAsia="仿宋_GB2312"/>
          <w:sz w:val="28"/>
          <w:szCs w:val="28"/>
          <w:lang w:val="en-US" w:eastAsia="zh-CN"/>
        </w:rPr>
        <w:t>分别是：社区建设</w:t>
      </w:r>
      <w:r>
        <w:rPr>
          <w:rFonts w:hint="eastAsia" w:ascii="仿宋_GB2312" w:eastAsia="仿宋_GB2312"/>
          <w:kern w:val="0"/>
          <w:sz w:val="28"/>
          <w:szCs w:val="28"/>
          <w:lang w:val="en-US" w:eastAsia="zh-CN"/>
        </w:rPr>
        <w:t>办公室、党群工作办公室、民生保障办公室、综合办公室、平安建设办公室、城市管理办公室；1个监察组，1个天宫院街道综合行政执法队，4个事业单位，</w:t>
      </w:r>
      <w:r>
        <w:rPr>
          <w:rFonts w:hint="eastAsia" w:ascii="仿宋_GB2312" w:eastAsia="仿宋_GB2312"/>
          <w:sz w:val="28"/>
          <w:szCs w:val="28"/>
          <w:lang w:val="en-US" w:eastAsia="zh-CN"/>
        </w:rPr>
        <w:t>分别是：物流基地管理服务中心、便民服务中心、市民诉求处置中心、市民活动中心；</w:t>
      </w:r>
      <w:r>
        <w:rPr>
          <w:rFonts w:hint="eastAsia" w:ascii="仿宋_GB2312" w:eastAsia="仿宋_GB2312"/>
          <w:kern w:val="0"/>
          <w:sz w:val="28"/>
          <w:szCs w:val="28"/>
          <w:lang w:val="en-US" w:eastAsia="zh-CN"/>
        </w:rPr>
        <w:t>18个社区居民委员会，</w:t>
      </w:r>
      <w:r>
        <w:rPr>
          <w:rFonts w:hint="eastAsia" w:ascii="仿宋_GB2312" w:eastAsia="仿宋_GB2312"/>
          <w:sz w:val="28"/>
          <w:szCs w:val="28"/>
          <w:lang w:val="en-US" w:eastAsia="zh-CN"/>
        </w:rPr>
        <w:t>分别是：海子角、海东、海西、海南、海北、矿林庄、天宫院、天宫院西里、天宫院中里、天宫院南里、天宫院北里、融汇、兴宇、兴宇西里、天堂河、新源时代、新源时代中里、新源时代西里。</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30583.55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6672.07</w:t>
      </w:r>
      <w:r>
        <w:rPr>
          <w:rFonts w:hint="eastAsia" w:ascii="仿宋_GB2312" w:eastAsia="仿宋_GB2312"/>
          <w:sz w:val="28"/>
          <w:szCs w:val="28"/>
        </w:rPr>
        <w:t>万元，增长</w:t>
      </w:r>
      <w:r>
        <w:rPr>
          <w:rFonts w:hint="eastAsia" w:ascii="仿宋_GB2312" w:eastAsia="仿宋_GB2312"/>
          <w:sz w:val="28"/>
          <w:szCs w:val="28"/>
          <w:lang w:val="en-US" w:eastAsia="zh-CN"/>
        </w:rPr>
        <w:t>27.9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29971.92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6060.43</w:t>
      </w:r>
      <w:r>
        <w:rPr>
          <w:rFonts w:hint="eastAsia" w:ascii="仿宋_GB2312" w:eastAsia="仿宋_GB2312"/>
          <w:sz w:val="28"/>
          <w:szCs w:val="28"/>
        </w:rPr>
        <w:t>万元，增长</w:t>
      </w:r>
      <w:r>
        <w:rPr>
          <w:rFonts w:hint="eastAsia" w:ascii="仿宋_GB2312" w:eastAsia="仿宋_GB2312"/>
          <w:sz w:val="28"/>
          <w:szCs w:val="28"/>
          <w:lang w:val="en-US" w:eastAsia="zh-CN"/>
        </w:rPr>
        <w:t>25.35</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29912.99</w:t>
      </w:r>
      <w:r>
        <w:rPr>
          <w:rFonts w:hint="eastAsia" w:ascii="仿宋_GB2312" w:eastAsia="仿宋_GB2312"/>
          <w:sz w:val="28"/>
          <w:szCs w:val="28"/>
        </w:rPr>
        <w:t>万元，占收入合计的</w:t>
      </w:r>
      <w:r>
        <w:rPr>
          <w:rFonts w:hint="eastAsia" w:ascii="仿宋_GB2312" w:eastAsia="仿宋_GB2312"/>
          <w:sz w:val="28"/>
          <w:szCs w:val="28"/>
          <w:lang w:eastAsia="zh-CN"/>
        </w:rPr>
        <w:t>99.8%。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26068.72</w:t>
      </w:r>
      <w:r>
        <w:rPr>
          <w:rFonts w:hint="eastAsia" w:ascii="仿宋_GB2312" w:eastAsia="仿宋_GB2312"/>
          <w:sz w:val="28"/>
          <w:szCs w:val="28"/>
        </w:rPr>
        <w:t>万元，占收入合计的</w:t>
      </w:r>
      <w:r>
        <w:rPr>
          <w:rFonts w:hint="eastAsia" w:ascii="仿宋_GB2312" w:eastAsia="仿宋_GB2312"/>
          <w:sz w:val="28"/>
          <w:szCs w:val="28"/>
          <w:lang w:val="en-US" w:eastAsia="zh-CN"/>
        </w:rPr>
        <w:t>86.98</w:t>
      </w:r>
      <w:r>
        <w:rPr>
          <w:rFonts w:hint="eastAsia" w:ascii="仿宋_GB2312" w:eastAsia="仿宋_GB2312"/>
          <w:sz w:val="28"/>
          <w:szCs w:val="28"/>
        </w:rPr>
        <w:t>%</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3844.27</w:t>
      </w:r>
      <w:r>
        <w:rPr>
          <w:rFonts w:hint="eastAsia" w:ascii="仿宋_GB2312" w:eastAsia="仿宋_GB2312"/>
          <w:sz w:val="28"/>
          <w:szCs w:val="28"/>
        </w:rPr>
        <w:t>万元，占收入合计的</w:t>
      </w:r>
      <w:r>
        <w:rPr>
          <w:rFonts w:hint="eastAsia" w:ascii="仿宋_GB2312" w:eastAsia="仿宋_GB2312"/>
          <w:sz w:val="28"/>
          <w:szCs w:val="28"/>
          <w:lang w:val="en-US" w:eastAsia="zh-CN"/>
        </w:rPr>
        <w:t>12.83</w:t>
      </w:r>
      <w:r>
        <w:rPr>
          <w:rFonts w:hint="eastAsia" w:ascii="仿宋_GB2312" w:eastAsia="仿宋_GB2312"/>
          <w:sz w:val="28"/>
          <w:szCs w:val="28"/>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58.93</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0.2</w:t>
      </w:r>
      <w:r>
        <w:rPr>
          <w:rFonts w:hint="eastAsia" w:ascii="仿宋_GB2312" w:eastAsia="仿宋_GB2312"/>
          <w:sz w:val="28"/>
          <w:szCs w:val="28"/>
          <w:highlight w:val="none"/>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30573.55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6662.07</w:t>
      </w:r>
      <w:r>
        <w:rPr>
          <w:rFonts w:hint="eastAsia" w:ascii="仿宋_GB2312" w:eastAsia="仿宋_GB2312"/>
          <w:sz w:val="28"/>
          <w:szCs w:val="28"/>
        </w:rPr>
        <w:t>万元，增长</w:t>
      </w:r>
      <w:r>
        <w:rPr>
          <w:rFonts w:hint="eastAsia" w:ascii="仿宋_GB2312" w:eastAsia="仿宋_GB2312"/>
          <w:sz w:val="28"/>
          <w:szCs w:val="28"/>
          <w:lang w:val="en-US" w:eastAsia="zh-CN"/>
        </w:rPr>
        <w:t>27.86</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3838.44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12.55</w:t>
      </w:r>
      <w:r>
        <w:rPr>
          <w:rFonts w:hint="eastAsia" w:ascii="仿宋_GB2312" w:eastAsia="仿宋_GB2312"/>
          <w:sz w:val="28"/>
          <w:szCs w:val="28"/>
          <w:highlight w:val="none"/>
        </w:rPr>
        <w:t>%；项目支出</w:t>
      </w:r>
      <w:r>
        <w:rPr>
          <w:rFonts w:ascii="仿宋_GB2312" w:eastAsia="仿宋_GB2312"/>
          <w:sz w:val="28"/>
          <w:szCs w:val="28"/>
          <w:highlight w:val="none"/>
        </w:rPr>
        <w:t>26735.12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87.45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30524.62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6613.13</w:t>
      </w:r>
      <w:r>
        <w:rPr>
          <w:rFonts w:hint="eastAsia" w:ascii="仿宋_GB2312" w:eastAsia="仿宋_GB2312"/>
          <w:sz w:val="28"/>
          <w:szCs w:val="28"/>
        </w:rPr>
        <w:t>万元，增长</w:t>
      </w:r>
      <w:r>
        <w:rPr>
          <w:rFonts w:hint="eastAsia" w:ascii="仿宋_GB2312" w:eastAsia="仿宋_GB2312"/>
          <w:sz w:val="28"/>
          <w:szCs w:val="28"/>
          <w:lang w:val="en-US" w:eastAsia="zh-CN"/>
        </w:rPr>
        <w:t>27.66</w:t>
      </w:r>
      <w:r>
        <w:rPr>
          <w:rFonts w:hint="eastAsia" w:ascii="仿宋_GB2312" w:eastAsia="仿宋_GB2312"/>
          <w:sz w:val="28"/>
          <w:szCs w:val="28"/>
        </w:rPr>
        <w:t>%。主要原因：</w:t>
      </w:r>
      <w:r>
        <w:rPr>
          <w:rFonts w:hint="eastAsia" w:ascii="仿宋_GB2312" w:eastAsia="仿宋_GB2312"/>
          <w:sz w:val="28"/>
          <w:szCs w:val="28"/>
          <w:lang w:val="en-US" w:eastAsia="zh-CN"/>
        </w:rPr>
        <w:t>社会保障和就业支出、城乡社区支出增加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26680.35</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6730.7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22.05</w:t>
      </w:r>
      <w:r>
        <w:rPr>
          <w:rFonts w:hint="eastAsia" w:ascii="仿宋_GB2312" w:eastAsia="仿宋_GB2312"/>
          <w:sz w:val="28"/>
          <w:szCs w:val="28"/>
        </w:rPr>
        <w:t>%；国防支出</w:t>
      </w:r>
      <w:r>
        <w:rPr>
          <w:rFonts w:hint="eastAsia" w:ascii="仿宋_GB2312" w:eastAsia="仿宋_GB2312"/>
          <w:sz w:val="28"/>
          <w:szCs w:val="28"/>
          <w:lang w:val="en-US" w:eastAsia="zh-CN"/>
        </w:rPr>
        <w:t>10.22万元，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0.03%；公共安全支出2.26万元，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0.01%;文化旅游体育与传媒支出607.62万元，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1.99%；社会保障和就业支出5352.86万元，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17.54</w:t>
      </w:r>
      <w:r>
        <w:rPr>
          <w:rFonts w:hint="eastAsia" w:ascii="仿宋_GB2312" w:eastAsia="仿宋_GB2312"/>
          <w:sz w:val="28"/>
          <w:szCs w:val="28"/>
          <w:lang w:val="en-US" w:eastAsia="zh-CN"/>
        </w:rPr>
        <w:tab/>
      </w:r>
      <w:r>
        <w:rPr>
          <w:rFonts w:hint="eastAsia" w:ascii="仿宋_GB2312" w:eastAsia="仿宋_GB2312"/>
          <w:sz w:val="28"/>
          <w:szCs w:val="28"/>
          <w:lang w:val="en-US" w:eastAsia="zh-CN"/>
        </w:rPr>
        <w:t>%；卫生健康支出614.2万元，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2.01%；节能环保支出299.93万元，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0.98%；城乡社区支出10039.1万元，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32.89%；农林水支出46.55万元，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0.15%；交通运输支出22万元，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0.07%；住房保障支出2873.48万元，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9.41%；灾害防治及应急管理支出81.44万元，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0.27%</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6038.5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6730.7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111.46</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“人大事务”（款）202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21.1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人大事务支出无增减变动</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“政府办公厅（室）及相关机构事务”（款）202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5061.7万元，</w:t>
      </w:r>
      <w:r>
        <w:rPr>
          <w:rFonts w:hint="eastAsia" w:ascii="仿宋_GB2312" w:eastAsia="仿宋_GB2312"/>
          <w:sz w:val="28"/>
          <w:szCs w:val="28"/>
        </w:rPr>
        <w:t>2024年度决算</w:t>
      </w:r>
      <w:r>
        <w:rPr>
          <w:rFonts w:hint="eastAsia" w:ascii="仿宋_GB2312" w:eastAsia="仿宋_GB2312"/>
          <w:sz w:val="28"/>
          <w:szCs w:val="28"/>
          <w:lang w:val="en-US" w:eastAsia="zh-CN"/>
        </w:rPr>
        <w:t>5707.69万元，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112.76%。</w:t>
      </w:r>
      <w:r>
        <w:rPr>
          <w:rFonts w:hint="eastAsia" w:ascii="仿宋_GB2312" w:eastAsia="仿宋_GB2312"/>
          <w:sz w:val="28"/>
          <w:szCs w:val="28"/>
        </w:rPr>
        <w:t>主要原因：一般行政管理事务</w:t>
      </w:r>
      <w:r>
        <w:rPr>
          <w:rFonts w:hint="eastAsia" w:ascii="仿宋_GB2312" w:eastAsia="仿宋_GB2312"/>
          <w:sz w:val="28"/>
          <w:szCs w:val="28"/>
          <w:lang w:val="en-US" w:eastAsia="zh-CN"/>
        </w:rPr>
        <w:t>支出增加。</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“统计信息事务”（款）202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131.28万元，</w:t>
      </w:r>
      <w:r>
        <w:rPr>
          <w:rFonts w:hint="eastAsia" w:ascii="仿宋_GB2312" w:eastAsia="仿宋_GB2312"/>
          <w:sz w:val="28"/>
          <w:szCs w:val="28"/>
        </w:rPr>
        <w:t>2024年度决算</w:t>
      </w:r>
      <w:r>
        <w:rPr>
          <w:rFonts w:hint="eastAsia" w:ascii="仿宋_GB2312" w:eastAsia="仿宋_GB2312"/>
          <w:sz w:val="28"/>
          <w:szCs w:val="28"/>
          <w:lang w:val="en-US" w:eastAsia="zh-CN"/>
        </w:rPr>
        <w:t>127.65万元，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97.23%。</w:t>
      </w:r>
      <w:r>
        <w:rPr>
          <w:rFonts w:hint="eastAsia" w:ascii="仿宋_GB2312" w:eastAsia="仿宋_GB2312"/>
          <w:sz w:val="28"/>
          <w:szCs w:val="28"/>
        </w:rPr>
        <w:t>主要原因：专项普查活动</w:t>
      </w:r>
      <w:r>
        <w:rPr>
          <w:rFonts w:hint="eastAsia" w:ascii="仿宋_GB2312" w:eastAsia="仿宋_GB2312"/>
          <w:sz w:val="28"/>
          <w:szCs w:val="28"/>
          <w:lang w:val="en-US" w:eastAsia="zh-CN"/>
        </w:rPr>
        <w:t>支出减少。</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“纪检监察事务”（款）202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w:t>
      </w:r>
      <w:r>
        <w:rPr>
          <w:rFonts w:hint="eastAsia" w:ascii="仿宋_GB2312" w:eastAsia="仿宋_GB2312"/>
          <w:sz w:val="28"/>
          <w:szCs w:val="28"/>
          <w:lang w:val="en-US" w:eastAsia="zh-CN"/>
        </w:rPr>
        <w:t>52.72万元。</w:t>
      </w:r>
      <w:r>
        <w:rPr>
          <w:rFonts w:hint="eastAsia" w:ascii="仿宋_GB2312" w:eastAsia="仿宋_GB2312"/>
          <w:sz w:val="28"/>
          <w:szCs w:val="28"/>
        </w:rPr>
        <w:t>主要原因：其他纪检监察事务支出</w:t>
      </w:r>
      <w:r>
        <w:rPr>
          <w:rFonts w:hint="eastAsia" w:ascii="仿宋_GB2312" w:eastAsia="仿宋_GB2312"/>
          <w:sz w:val="28"/>
          <w:szCs w:val="28"/>
          <w:lang w:val="en-US" w:eastAsia="zh-CN"/>
        </w:rPr>
        <w:t>增加。</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“组织事务”（款）202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781.8万元，</w:t>
      </w:r>
      <w:r>
        <w:rPr>
          <w:rFonts w:hint="eastAsia" w:ascii="仿宋_GB2312" w:eastAsia="仿宋_GB2312"/>
          <w:sz w:val="28"/>
          <w:szCs w:val="28"/>
        </w:rPr>
        <w:t>2024年度决算</w:t>
      </w:r>
      <w:r>
        <w:rPr>
          <w:rFonts w:hint="eastAsia" w:ascii="仿宋_GB2312" w:eastAsia="仿宋_GB2312"/>
          <w:sz w:val="28"/>
          <w:szCs w:val="28"/>
          <w:lang w:val="en-US" w:eastAsia="zh-CN"/>
        </w:rPr>
        <w:t>781.44万元，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99.95%。</w:t>
      </w:r>
      <w:r>
        <w:rPr>
          <w:rFonts w:hint="eastAsia" w:ascii="仿宋_GB2312" w:eastAsia="仿宋_GB2312"/>
          <w:sz w:val="28"/>
          <w:szCs w:val="28"/>
        </w:rPr>
        <w:t>主要原因：一般行政管理事务</w:t>
      </w:r>
      <w:r>
        <w:rPr>
          <w:rFonts w:hint="eastAsia" w:ascii="仿宋_GB2312" w:eastAsia="仿宋_GB2312"/>
          <w:sz w:val="28"/>
          <w:szCs w:val="28"/>
          <w:lang w:eastAsia="zh-CN"/>
        </w:rPr>
        <w:t>（</w:t>
      </w:r>
      <w:r>
        <w:rPr>
          <w:rFonts w:hint="eastAsia" w:ascii="仿宋_GB2312" w:eastAsia="仿宋_GB2312"/>
          <w:sz w:val="28"/>
          <w:szCs w:val="28"/>
          <w:lang w:val="en-US" w:eastAsia="zh-CN"/>
        </w:rPr>
        <w:t>组织事务）支出减少。</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“其他共产党事务支出”（款）202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42.61万元，</w:t>
      </w:r>
      <w:r>
        <w:rPr>
          <w:rFonts w:hint="eastAsia" w:ascii="仿宋_GB2312" w:eastAsia="仿宋_GB2312"/>
          <w:sz w:val="28"/>
          <w:szCs w:val="28"/>
        </w:rPr>
        <w:t>2024年度决算</w:t>
      </w:r>
      <w:r>
        <w:rPr>
          <w:rFonts w:hint="eastAsia" w:ascii="仿宋_GB2312" w:eastAsia="仿宋_GB2312"/>
          <w:sz w:val="28"/>
          <w:szCs w:val="28"/>
          <w:lang w:val="en-US" w:eastAsia="zh-CN"/>
        </w:rPr>
        <w:t>32.61万元，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76.53%。</w:t>
      </w:r>
      <w:r>
        <w:rPr>
          <w:rFonts w:hint="eastAsia" w:ascii="仿宋_GB2312" w:eastAsia="仿宋_GB2312"/>
          <w:sz w:val="28"/>
          <w:szCs w:val="28"/>
        </w:rPr>
        <w:t>主要原因：</w:t>
      </w:r>
      <w:r>
        <w:rPr>
          <w:rFonts w:hint="eastAsia" w:ascii="仿宋_GB2312" w:eastAsia="仿宋_GB2312"/>
          <w:sz w:val="28"/>
          <w:szCs w:val="28"/>
          <w:lang w:val="en-US" w:eastAsia="zh-CN"/>
        </w:rPr>
        <w:t>其他共产党事务项目支出减少。</w:t>
      </w:r>
    </w:p>
    <w:p>
      <w:pPr>
        <w:spacing w:line="580" w:lineRule="exact"/>
        <w:ind w:firstLine="560" w:firstLineChars="200"/>
        <w:rPr>
          <w:rFonts w:hint="eastAsia"/>
        </w:rPr>
      </w:pPr>
      <w:r>
        <w:rPr>
          <w:rFonts w:hint="eastAsia" w:ascii="仿宋_GB2312" w:eastAsia="仿宋_GB2312"/>
          <w:sz w:val="28"/>
          <w:szCs w:val="28"/>
        </w:rPr>
        <w:t>“社会工作事务”（款）202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w:t>
      </w:r>
      <w:r>
        <w:rPr>
          <w:rFonts w:hint="eastAsia" w:ascii="仿宋_GB2312" w:eastAsia="仿宋_GB2312"/>
          <w:sz w:val="28"/>
          <w:szCs w:val="28"/>
          <w:lang w:val="en-US" w:eastAsia="zh-CN"/>
        </w:rPr>
        <w:t>7.5万元。</w:t>
      </w:r>
      <w:r>
        <w:rPr>
          <w:rFonts w:hint="eastAsia" w:ascii="仿宋_GB2312" w:eastAsia="仿宋_GB2312"/>
          <w:sz w:val="28"/>
          <w:szCs w:val="28"/>
        </w:rPr>
        <w:t>主要原因：社会建设资金（一般）</w:t>
      </w:r>
      <w:r>
        <w:rPr>
          <w:rFonts w:hint="eastAsia" w:ascii="仿宋_GB2312" w:eastAsia="仿宋_GB2312"/>
          <w:sz w:val="28"/>
          <w:szCs w:val="28"/>
          <w:lang w:val="en-US" w:eastAsia="zh-CN"/>
        </w:rPr>
        <w:t>项目支出增加。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2、“国防支出”(类)202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10.22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145.95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“国防动员”（款）202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7万元，</w:t>
      </w:r>
      <w:r>
        <w:rPr>
          <w:rFonts w:hint="eastAsia" w:ascii="仿宋_GB2312" w:eastAsia="仿宋_GB2312"/>
          <w:sz w:val="28"/>
          <w:szCs w:val="28"/>
        </w:rPr>
        <w:t>2024年度决算</w:t>
      </w:r>
      <w:r>
        <w:rPr>
          <w:rFonts w:hint="eastAsia" w:ascii="仿宋_GB2312" w:eastAsia="仿宋_GB2312"/>
          <w:sz w:val="28"/>
          <w:szCs w:val="28"/>
          <w:lang w:val="en-US" w:eastAsia="zh-CN"/>
        </w:rPr>
        <w:t>10.22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145.95</w:t>
      </w:r>
      <w:r>
        <w:rPr>
          <w:rFonts w:hint="eastAsia" w:ascii="仿宋_GB2312" w:eastAsia="仿宋_GB2312"/>
          <w:sz w:val="28"/>
          <w:szCs w:val="28"/>
        </w:rPr>
        <w:t>%。主要原因：其他国防动员</w:t>
      </w:r>
      <w:r>
        <w:rPr>
          <w:rFonts w:hint="eastAsia" w:ascii="仿宋_GB2312" w:eastAsia="仿宋_GB2312"/>
          <w:sz w:val="28"/>
          <w:szCs w:val="28"/>
          <w:lang w:val="en-US" w:eastAsia="zh-CN"/>
        </w:rPr>
        <w:t>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“公共安全支出”(类)202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2.26万元，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2.26万元，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司法</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2.26万元，</w:t>
      </w:r>
      <w:r>
        <w:rPr>
          <w:rFonts w:hint="eastAsia" w:ascii="仿宋_GB2312" w:eastAsia="仿宋_GB2312"/>
          <w:sz w:val="28"/>
          <w:szCs w:val="28"/>
        </w:rPr>
        <w:t>2024年度决算</w:t>
      </w:r>
      <w:r>
        <w:rPr>
          <w:rFonts w:hint="eastAsia" w:ascii="仿宋_GB2312" w:eastAsia="仿宋_GB2312"/>
          <w:sz w:val="28"/>
          <w:szCs w:val="28"/>
          <w:lang w:val="en-US" w:eastAsia="zh-CN"/>
        </w:rPr>
        <w:t>2.26万元，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99.8%</w:t>
      </w:r>
      <w:r>
        <w:rPr>
          <w:rFonts w:hint="eastAsia" w:ascii="仿宋_GB2312" w:eastAsia="仿宋_GB2312"/>
          <w:sz w:val="28"/>
          <w:szCs w:val="28"/>
        </w:rPr>
        <w:t>。主要原因：基层司法业务</w:t>
      </w:r>
      <w:r>
        <w:rPr>
          <w:rFonts w:hint="eastAsia" w:ascii="仿宋_GB2312" w:eastAsia="仿宋_GB2312"/>
          <w:sz w:val="28"/>
          <w:szCs w:val="28"/>
          <w:lang w:val="en-US" w:eastAsia="zh-CN"/>
        </w:rPr>
        <w:t>支出减少。</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4、</w:t>
      </w:r>
      <w:r>
        <w:rPr>
          <w:rFonts w:hint="eastAsia" w:ascii="仿宋_GB2312" w:eastAsia="仿宋_GB2312"/>
          <w:sz w:val="28"/>
          <w:szCs w:val="28"/>
        </w:rPr>
        <w:t>“文化旅游体育与传媒支出”(类)202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317.44万元，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607.62万元，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191.41%。其中：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文化和旅游</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317.44万元，</w:t>
      </w:r>
      <w:r>
        <w:rPr>
          <w:rFonts w:hint="eastAsia" w:ascii="仿宋_GB2312" w:eastAsia="仿宋_GB2312"/>
          <w:sz w:val="28"/>
          <w:szCs w:val="28"/>
        </w:rPr>
        <w:t>2024年度决算</w:t>
      </w:r>
      <w:r>
        <w:rPr>
          <w:rFonts w:hint="eastAsia" w:ascii="仿宋_GB2312" w:eastAsia="仿宋_GB2312"/>
          <w:sz w:val="28"/>
          <w:szCs w:val="28"/>
          <w:lang w:val="en-US" w:eastAsia="zh-CN"/>
        </w:rPr>
        <w:t>607.62万元，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191.41%</w:t>
      </w:r>
      <w:r>
        <w:rPr>
          <w:rFonts w:hint="eastAsia" w:ascii="仿宋_GB2312" w:eastAsia="仿宋_GB2312"/>
          <w:sz w:val="28"/>
          <w:szCs w:val="28"/>
        </w:rPr>
        <w:t>。主要原因：综合文化中心（室）管理服务</w:t>
      </w:r>
      <w:r>
        <w:rPr>
          <w:rFonts w:hint="eastAsia" w:ascii="仿宋_GB2312" w:eastAsia="仿宋_GB2312"/>
          <w:sz w:val="28"/>
          <w:szCs w:val="28"/>
          <w:lang w:val="en-US" w:eastAsia="zh-CN"/>
        </w:rPr>
        <w:t>项目支出增加。</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5、</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 xml:space="preserve">年度年初预算 </w:t>
      </w:r>
      <w:r>
        <w:rPr>
          <w:rFonts w:hint="eastAsia" w:ascii="仿宋_GB2312" w:eastAsia="仿宋_GB2312"/>
          <w:sz w:val="28"/>
          <w:szCs w:val="28"/>
          <w:lang w:val="en-US" w:eastAsia="zh-CN"/>
        </w:rPr>
        <w:t>6004.31万元，</w:t>
      </w:r>
      <w:r>
        <w:rPr>
          <w:rFonts w:hint="eastAsia" w:ascii="仿宋_GB2312" w:eastAsia="仿宋_GB2312"/>
          <w:sz w:val="28"/>
          <w:szCs w:val="28"/>
        </w:rPr>
        <w:t>2024年度决算</w:t>
      </w:r>
      <w:r>
        <w:rPr>
          <w:rFonts w:hint="eastAsia" w:ascii="仿宋_GB2312" w:eastAsia="仿宋_GB2312"/>
          <w:sz w:val="28"/>
          <w:szCs w:val="28"/>
          <w:lang w:val="en-US" w:eastAsia="zh-CN"/>
        </w:rPr>
        <w:t>5352.86万元，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89.15%。其中：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民政管理事务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4963.51万元，</w:t>
      </w:r>
      <w:r>
        <w:rPr>
          <w:rFonts w:hint="eastAsia" w:ascii="仿宋_GB2312" w:eastAsia="仿宋_GB2312"/>
          <w:sz w:val="28"/>
          <w:szCs w:val="28"/>
        </w:rPr>
        <w:t>2024年度决算</w:t>
      </w:r>
      <w:r>
        <w:rPr>
          <w:rFonts w:hint="eastAsia" w:ascii="仿宋_GB2312" w:eastAsia="仿宋_GB2312"/>
          <w:sz w:val="28"/>
          <w:szCs w:val="28"/>
          <w:lang w:val="en-US" w:eastAsia="zh-CN"/>
        </w:rPr>
        <w:t>4284.82万元，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86.33%</w:t>
      </w:r>
      <w:r>
        <w:rPr>
          <w:rFonts w:hint="eastAsia" w:ascii="仿宋_GB2312" w:eastAsia="仿宋_GB2312"/>
          <w:sz w:val="28"/>
          <w:szCs w:val="28"/>
        </w:rPr>
        <w:t>。主要原因：基层政权建设和社区治理</w:t>
      </w:r>
      <w:r>
        <w:rPr>
          <w:rFonts w:hint="eastAsia" w:ascii="仿宋_GB2312" w:eastAsia="仿宋_GB2312"/>
          <w:sz w:val="28"/>
          <w:szCs w:val="28"/>
          <w:lang w:val="en-US" w:eastAsia="zh-CN"/>
        </w:rPr>
        <w:t>支出减少。</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402.38万元，</w:t>
      </w:r>
      <w:r>
        <w:rPr>
          <w:rFonts w:hint="eastAsia" w:ascii="仿宋_GB2312" w:eastAsia="仿宋_GB2312"/>
          <w:sz w:val="28"/>
          <w:szCs w:val="28"/>
        </w:rPr>
        <w:t>2024年度决算</w:t>
      </w:r>
      <w:r>
        <w:rPr>
          <w:rFonts w:hint="eastAsia" w:ascii="仿宋_GB2312" w:eastAsia="仿宋_GB2312"/>
          <w:sz w:val="28"/>
          <w:szCs w:val="28"/>
          <w:lang w:val="en-US" w:eastAsia="zh-CN"/>
        </w:rPr>
        <w:t>401.96万元，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w:t>
      </w:r>
      <w:r>
        <w:rPr>
          <w:rFonts w:hint="eastAsia" w:ascii="仿宋_GB2312" w:eastAsia="仿宋_GB2312"/>
          <w:sz w:val="28"/>
          <w:szCs w:val="28"/>
        </w:rPr>
        <w:t>。主要原因：</w:t>
      </w:r>
      <w:r>
        <w:rPr>
          <w:rFonts w:hint="eastAsia" w:ascii="仿宋_GB2312" w:eastAsia="仿宋_GB2312"/>
          <w:sz w:val="28"/>
          <w:szCs w:val="28"/>
          <w:lang w:val="en-US" w:eastAsia="zh-CN"/>
        </w:rPr>
        <w:t>受人员变动影响行政单位离退休支出减少。</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就业补助</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288万元，</w:t>
      </w:r>
      <w:r>
        <w:rPr>
          <w:rFonts w:hint="eastAsia" w:ascii="仿宋_GB2312" w:eastAsia="仿宋_GB2312"/>
          <w:sz w:val="28"/>
          <w:szCs w:val="28"/>
        </w:rPr>
        <w:t>2024年度决算</w:t>
      </w:r>
      <w:r>
        <w:rPr>
          <w:rFonts w:hint="eastAsia" w:ascii="仿宋_GB2312" w:eastAsia="仿宋_GB2312"/>
          <w:sz w:val="28"/>
          <w:szCs w:val="28"/>
          <w:lang w:val="en-US" w:eastAsia="zh-CN"/>
        </w:rPr>
        <w:t>173.8万元，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60.35%</w:t>
      </w:r>
      <w:r>
        <w:rPr>
          <w:rFonts w:hint="eastAsia" w:ascii="仿宋_GB2312" w:eastAsia="仿宋_GB2312"/>
          <w:sz w:val="28"/>
          <w:szCs w:val="28"/>
        </w:rPr>
        <w:t>。主要原因：</w:t>
      </w:r>
      <w:r>
        <w:rPr>
          <w:rFonts w:hint="eastAsia" w:ascii="仿宋_GB2312" w:eastAsia="仿宋_GB2312"/>
          <w:sz w:val="28"/>
          <w:szCs w:val="28"/>
          <w:lang w:val="en-US" w:eastAsia="zh-CN"/>
        </w:rPr>
        <w:t>公益性岗位补贴支出减少。</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抚恤</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44.46万元，</w:t>
      </w:r>
      <w:r>
        <w:rPr>
          <w:rFonts w:hint="eastAsia" w:ascii="仿宋_GB2312" w:eastAsia="仿宋_GB2312"/>
          <w:sz w:val="28"/>
          <w:szCs w:val="28"/>
        </w:rPr>
        <w:t>2024年度决算</w:t>
      </w:r>
      <w:r>
        <w:rPr>
          <w:rFonts w:hint="eastAsia" w:ascii="仿宋_GB2312" w:eastAsia="仿宋_GB2312"/>
          <w:sz w:val="28"/>
          <w:szCs w:val="28"/>
          <w:lang w:val="en-US" w:eastAsia="zh-CN"/>
        </w:rPr>
        <w:t>28.94万元，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65.09%</w:t>
      </w:r>
      <w:r>
        <w:rPr>
          <w:rFonts w:hint="eastAsia" w:ascii="仿宋_GB2312" w:eastAsia="仿宋_GB2312"/>
          <w:sz w:val="28"/>
          <w:szCs w:val="28"/>
        </w:rPr>
        <w:t>。主要原因：</w:t>
      </w:r>
      <w:r>
        <w:rPr>
          <w:rFonts w:hint="eastAsia" w:ascii="仿宋_GB2312" w:eastAsia="仿宋_GB2312"/>
          <w:sz w:val="28"/>
          <w:szCs w:val="28"/>
          <w:lang w:val="en-US" w:eastAsia="zh-CN"/>
        </w:rPr>
        <w:t>义务兵优待支出减少。</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社会福利</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w:t>
      </w:r>
      <w:r>
        <w:rPr>
          <w:rFonts w:hint="eastAsia" w:ascii="仿宋_GB2312" w:eastAsia="仿宋_GB2312"/>
          <w:sz w:val="28"/>
          <w:szCs w:val="28"/>
          <w:lang w:val="en-US" w:eastAsia="zh-CN"/>
        </w:rPr>
        <w:t>57.85万元。</w:t>
      </w:r>
      <w:r>
        <w:rPr>
          <w:rFonts w:hint="eastAsia" w:ascii="仿宋_GB2312" w:eastAsia="仿宋_GB2312"/>
          <w:sz w:val="28"/>
          <w:szCs w:val="28"/>
        </w:rPr>
        <w:t>主要原因：</w:t>
      </w:r>
      <w:r>
        <w:rPr>
          <w:rFonts w:hint="eastAsia" w:ascii="仿宋_GB2312" w:eastAsia="仿宋_GB2312"/>
          <w:sz w:val="28"/>
          <w:szCs w:val="28"/>
          <w:lang w:val="en-US" w:eastAsia="zh-CN"/>
        </w:rPr>
        <w:t>成年孤儿安置补助经费和家庭照护床位建设补助支出增加。</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残疾人事业</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83.8万元，</w:t>
      </w:r>
      <w:r>
        <w:rPr>
          <w:rFonts w:hint="eastAsia" w:ascii="仿宋_GB2312" w:eastAsia="仿宋_GB2312"/>
          <w:sz w:val="28"/>
          <w:szCs w:val="28"/>
        </w:rPr>
        <w:t>2024年度决算</w:t>
      </w:r>
      <w:r>
        <w:rPr>
          <w:rFonts w:hint="eastAsia" w:ascii="仿宋_GB2312" w:eastAsia="仿宋_GB2312"/>
          <w:sz w:val="28"/>
          <w:szCs w:val="28"/>
          <w:lang w:val="en-US" w:eastAsia="zh-CN"/>
        </w:rPr>
        <w:t>83.56万元，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99.72%</w:t>
      </w:r>
      <w:r>
        <w:rPr>
          <w:rFonts w:hint="eastAsia" w:ascii="仿宋_GB2312" w:eastAsia="仿宋_GB2312"/>
          <w:sz w:val="28"/>
          <w:szCs w:val="28"/>
        </w:rPr>
        <w:t>。主要原因：</w:t>
      </w:r>
      <w:r>
        <w:rPr>
          <w:rFonts w:hint="eastAsia" w:ascii="仿宋_GB2312" w:eastAsia="仿宋_GB2312"/>
          <w:sz w:val="28"/>
          <w:szCs w:val="28"/>
          <w:lang w:val="en-US" w:eastAsia="zh-CN"/>
        </w:rPr>
        <w:t>残疾人工作经费支出略减。</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最低生活保障</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9万元，</w:t>
      </w:r>
      <w:r>
        <w:rPr>
          <w:rFonts w:hint="eastAsia" w:ascii="仿宋_GB2312" w:eastAsia="仿宋_GB2312"/>
          <w:sz w:val="28"/>
          <w:szCs w:val="28"/>
        </w:rPr>
        <w:t>2024年度决算</w:t>
      </w:r>
      <w:r>
        <w:rPr>
          <w:rFonts w:hint="eastAsia" w:ascii="仿宋_GB2312" w:eastAsia="仿宋_GB2312"/>
          <w:sz w:val="28"/>
          <w:szCs w:val="28"/>
          <w:lang w:val="en-US" w:eastAsia="zh-CN"/>
        </w:rPr>
        <w:t>3.73万元，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41.46%</w:t>
      </w:r>
      <w:r>
        <w:rPr>
          <w:rFonts w:hint="eastAsia" w:ascii="仿宋_GB2312" w:eastAsia="仿宋_GB2312"/>
          <w:sz w:val="28"/>
          <w:szCs w:val="28"/>
        </w:rPr>
        <w:t>。主要原因：</w:t>
      </w:r>
      <w:r>
        <w:rPr>
          <w:rFonts w:hint="eastAsia" w:ascii="仿宋_GB2312" w:eastAsia="仿宋_GB2312"/>
          <w:sz w:val="28"/>
          <w:szCs w:val="28"/>
          <w:lang w:val="en-US" w:eastAsia="zh-CN"/>
        </w:rPr>
        <w:t>社会救助支出减少。</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临时救助</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6万元，</w:t>
      </w:r>
      <w:r>
        <w:rPr>
          <w:rFonts w:hint="eastAsia" w:ascii="仿宋_GB2312" w:eastAsia="仿宋_GB2312"/>
          <w:sz w:val="28"/>
          <w:szCs w:val="28"/>
        </w:rPr>
        <w:t>2024年度决算</w:t>
      </w:r>
      <w:r>
        <w:rPr>
          <w:rFonts w:hint="eastAsia" w:ascii="仿宋_GB2312" w:eastAsia="仿宋_GB2312"/>
          <w:sz w:val="28"/>
          <w:szCs w:val="28"/>
          <w:lang w:val="en-US" w:eastAsia="zh-CN"/>
        </w:rPr>
        <w:t>1.49万元，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24.76%</w:t>
      </w:r>
      <w:r>
        <w:rPr>
          <w:rFonts w:hint="eastAsia" w:ascii="仿宋_GB2312" w:eastAsia="仿宋_GB2312"/>
          <w:sz w:val="28"/>
          <w:szCs w:val="28"/>
        </w:rPr>
        <w:t>。主要原因：</w:t>
      </w:r>
      <w:r>
        <w:rPr>
          <w:rFonts w:hint="eastAsia" w:ascii="仿宋_GB2312" w:eastAsia="仿宋_GB2312"/>
          <w:sz w:val="28"/>
          <w:szCs w:val="28"/>
          <w:lang w:val="en-US" w:eastAsia="zh-CN"/>
        </w:rPr>
        <w:t>临时救助项目支出减少。</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其他生活救助</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3万元，</w:t>
      </w:r>
      <w:r>
        <w:rPr>
          <w:rFonts w:hint="eastAsia" w:ascii="仿宋_GB2312" w:eastAsia="仿宋_GB2312"/>
          <w:sz w:val="28"/>
          <w:szCs w:val="28"/>
        </w:rPr>
        <w:t>2024年度决算</w:t>
      </w:r>
      <w:r>
        <w:rPr>
          <w:rFonts w:hint="eastAsia" w:ascii="仿宋_GB2312" w:eastAsia="仿宋_GB2312"/>
          <w:sz w:val="28"/>
          <w:szCs w:val="28"/>
          <w:lang w:val="en-US" w:eastAsia="zh-CN"/>
        </w:rPr>
        <w:t>1.6万元，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53.33%</w:t>
      </w:r>
      <w:r>
        <w:rPr>
          <w:rFonts w:hint="eastAsia" w:ascii="仿宋_GB2312" w:eastAsia="仿宋_GB2312"/>
          <w:sz w:val="28"/>
          <w:szCs w:val="28"/>
        </w:rPr>
        <w:t>。主要原因：</w:t>
      </w:r>
      <w:r>
        <w:rPr>
          <w:rFonts w:hint="eastAsia" w:ascii="仿宋_GB2312" w:eastAsia="仿宋_GB2312"/>
          <w:sz w:val="28"/>
          <w:szCs w:val="28"/>
          <w:lang w:val="en-US" w:eastAsia="zh-CN"/>
        </w:rPr>
        <w:t>社会救助支出减少。</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退役军人管理事务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17.76万元，</w:t>
      </w:r>
      <w:r>
        <w:rPr>
          <w:rFonts w:hint="eastAsia" w:ascii="仿宋_GB2312" w:eastAsia="仿宋_GB2312"/>
          <w:sz w:val="28"/>
          <w:szCs w:val="28"/>
        </w:rPr>
        <w:t>2024年度决算</w:t>
      </w:r>
      <w:r>
        <w:rPr>
          <w:rFonts w:hint="eastAsia" w:ascii="仿宋_GB2312" w:eastAsia="仿宋_GB2312"/>
          <w:sz w:val="28"/>
          <w:szCs w:val="28"/>
          <w:lang w:val="en-US" w:eastAsia="zh-CN"/>
        </w:rPr>
        <w:t>16.57万元，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93.32%</w:t>
      </w:r>
      <w:r>
        <w:rPr>
          <w:rFonts w:hint="eastAsia" w:ascii="仿宋_GB2312" w:eastAsia="仿宋_GB2312"/>
          <w:sz w:val="28"/>
          <w:szCs w:val="28"/>
        </w:rPr>
        <w:t>。主要原因：</w:t>
      </w:r>
      <w:r>
        <w:rPr>
          <w:rFonts w:hint="eastAsia" w:ascii="仿宋_GB2312" w:eastAsia="仿宋_GB2312"/>
          <w:sz w:val="28"/>
          <w:szCs w:val="28"/>
          <w:lang w:val="en-US" w:eastAsia="zh-CN"/>
        </w:rPr>
        <w:t>退役军人保障经费支出减少。</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其他社会保障和就业支出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186.4万元，</w:t>
      </w:r>
      <w:r>
        <w:rPr>
          <w:rFonts w:hint="eastAsia" w:ascii="仿宋_GB2312" w:eastAsia="仿宋_GB2312"/>
          <w:sz w:val="28"/>
          <w:szCs w:val="28"/>
        </w:rPr>
        <w:t>2024年度决算</w:t>
      </w:r>
      <w:r>
        <w:rPr>
          <w:rFonts w:hint="eastAsia" w:ascii="仿宋_GB2312" w:eastAsia="仿宋_GB2312"/>
          <w:sz w:val="28"/>
          <w:szCs w:val="28"/>
          <w:lang w:val="en-US" w:eastAsia="zh-CN"/>
        </w:rPr>
        <w:t>298.54万元，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160.16%</w:t>
      </w:r>
      <w:r>
        <w:rPr>
          <w:rFonts w:hint="eastAsia" w:ascii="仿宋_GB2312" w:eastAsia="仿宋_GB2312"/>
          <w:sz w:val="28"/>
          <w:szCs w:val="28"/>
        </w:rPr>
        <w:t>。主要原因：</w:t>
      </w:r>
      <w:r>
        <w:rPr>
          <w:rFonts w:hint="eastAsia" w:ascii="仿宋_GB2312" w:eastAsia="仿宋_GB2312"/>
          <w:sz w:val="28"/>
          <w:szCs w:val="28"/>
          <w:lang w:val="en-US" w:eastAsia="zh-CN"/>
        </w:rPr>
        <w:t>民生保障工作、社会建设资金等支出增加。</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6.</w:t>
      </w:r>
      <w:r>
        <w:rPr>
          <w:rFonts w:hint="eastAsia" w:ascii="仿宋_GB2312" w:eastAsia="仿宋_GB2312"/>
          <w:sz w:val="28"/>
          <w:szCs w:val="28"/>
        </w:rPr>
        <w:t>“卫生健康支出”(类)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453.4万元，</w:t>
      </w:r>
      <w:r>
        <w:rPr>
          <w:rFonts w:hint="eastAsia" w:ascii="仿宋_GB2312" w:eastAsia="仿宋_GB2312"/>
          <w:sz w:val="28"/>
          <w:szCs w:val="28"/>
        </w:rPr>
        <w:t>2024年度决算</w:t>
      </w:r>
      <w:r>
        <w:rPr>
          <w:rFonts w:hint="eastAsia" w:ascii="仿宋_GB2312" w:eastAsia="仿宋_GB2312"/>
          <w:sz w:val="28"/>
          <w:szCs w:val="28"/>
          <w:lang w:val="en-US" w:eastAsia="zh-CN"/>
        </w:rPr>
        <w:t>614.2万元，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135.47%。其中：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基层医疗卫生机构</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100万元，</w:t>
      </w:r>
      <w:r>
        <w:rPr>
          <w:rFonts w:hint="eastAsia" w:ascii="仿宋_GB2312" w:eastAsia="仿宋_GB2312"/>
          <w:sz w:val="28"/>
          <w:szCs w:val="28"/>
        </w:rPr>
        <w:t>2024年度决算</w:t>
      </w:r>
      <w:r>
        <w:rPr>
          <w:rFonts w:hint="eastAsia" w:ascii="仿宋_GB2312" w:eastAsia="仿宋_GB2312"/>
          <w:sz w:val="28"/>
          <w:szCs w:val="28"/>
          <w:lang w:val="en-US" w:eastAsia="zh-CN"/>
        </w:rPr>
        <w:t>100万元，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。主要原因：公共卫生经费</w:t>
      </w:r>
      <w:r>
        <w:rPr>
          <w:rFonts w:hint="eastAsia" w:ascii="仿宋_GB2312" w:eastAsia="仿宋_GB2312"/>
          <w:sz w:val="28"/>
          <w:szCs w:val="28"/>
          <w:lang w:val="en-US" w:eastAsia="zh-CN"/>
        </w:rPr>
        <w:t>无增减变动。</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公共卫生</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w:t>
      </w:r>
      <w:r>
        <w:rPr>
          <w:rFonts w:hint="eastAsia" w:ascii="仿宋_GB2312" w:eastAsia="仿宋_GB2312"/>
          <w:sz w:val="28"/>
          <w:szCs w:val="28"/>
          <w:lang w:val="en-US" w:eastAsia="zh-CN"/>
        </w:rPr>
        <w:t>47.57万元。</w:t>
      </w:r>
      <w:r>
        <w:rPr>
          <w:rFonts w:hint="eastAsia" w:ascii="仿宋_GB2312" w:eastAsia="仿宋_GB2312"/>
          <w:sz w:val="28"/>
          <w:szCs w:val="28"/>
        </w:rPr>
        <w:t>主要原因：</w:t>
      </w:r>
      <w:r>
        <w:rPr>
          <w:rFonts w:hint="eastAsia" w:ascii="仿宋_GB2312" w:eastAsia="仿宋_GB2312"/>
          <w:sz w:val="28"/>
          <w:szCs w:val="28"/>
          <w:lang w:val="en-US" w:eastAsia="zh-CN"/>
        </w:rPr>
        <w:t>常态化核酸检测费用支出增加。</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计划生育事务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24.8万元，</w:t>
      </w:r>
      <w:r>
        <w:rPr>
          <w:rFonts w:hint="eastAsia" w:ascii="仿宋_GB2312" w:eastAsia="仿宋_GB2312"/>
          <w:sz w:val="28"/>
          <w:szCs w:val="28"/>
        </w:rPr>
        <w:t>2024年度决算</w:t>
      </w:r>
      <w:r>
        <w:rPr>
          <w:rFonts w:hint="eastAsia" w:ascii="仿宋_GB2312" w:eastAsia="仿宋_GB2312"/>
          <w:sz w:val="28"/>
          <w:szCs w:val="28"/>
          <w:lang w:val="en-US" w:eastAsia="zh-CN"/>
        </w:rPr>
        <w:t>138.06万元，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556.68%</w:t>
      </w:r>
      <w:r>
        <w:rPr>
          <w:rFonts w:hint="eastAsia" w:ascii="仿宋_GB2312" w:eastAsia="仿宋_GB2312"/>
          <w:sz w:val="28"/>
          <w:szCs w:val="28"/>
        </w:rPr>
        <w:t>。主要原因：</w:t>
      </w:r>
      <w:r>
        <w:rPr>
          <w:rFonts w:hint="eastAsia" w:ascii="仿宋_GB2312" w:eastAsia="仿宋_GB2312"/>
          <w:sz w:val="28"/>
          <w:szCs w:val="28"/>
          <w:lang w:val="en-US" w:eastAsia="zh-CN"/>
        </w:rPr>
        <w:t>独生子女伤残死亡家庭特别扶助资金、一次性经济帮助资金支出增加。</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324.9万元，</w:t>
      </w:r>
      <w:r>
        <w:rPr>
          <w:rFonts w:hint="eastAsia" w:ascii="仿宋_GB2312" w:eastAsia="仿宋_GB2312"/>
          <w:sz w:val="28"/>
          <w:szCs w:val="28"/>
        </w:rPr>
        <w:t>2024年度决算</w:t>
      </w:r>
      <w:r>
        <w:rPr>
          <w:rFonts w:hint="eastAsia" w:ascii="仿宋_GB2312" w:eastAsia="仿宋_GB2312"/>
          <w:sz w:val="28"/>
          <w:szCs w:val="28"/>
          <w:lang w:val="en-US" w:eastAsia="zh-CN"/>
        </w:rPr>
        <w:t>324.9万元，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行政事业单位医疗</w:t>
      </w:r>
      <w:r>
        <w:rPr>
          <w:rFonts w:hint="eastAsia" w:ascii="仿宋_GB2312" w:eastAsia="仿宋_GB2312"/>
          <w:sz w:val="28"/>
          <w:szCs w:val="28"/>
        </w:rPr>
        <w:t>保障</w:t>
      </w:r>
      <w:r>
        <w:rPr>
          <w:rFonts w:hint="eastAsia" w:ascii="仿宋_GB2312" w:eastAsia="仿宋_GB2312"/>
          <w:sz w:val="28"/>
          <w:szCs w:val="28"/>
          <w:lang w:val="en-US" w:eastAsia="zh-CN"/>
        </w:rPr>
        <w:t>支出无增减变动。</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优抚对象医疗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3.7万元，</w:t>
      </w:r>
      <w:r>
        <w:rPr>
          <w:rFonts w:hint="eastAsia" w:ascii="仿宋_GB2312" w:eastAsia="仿宋_GB2312"/>
          <w:sz w:val="28"/>
          <w:szCs w:val="28"/>
        </w:rPr>
        <w:t>2024年度决算</w:t>
      </w:r>
      <w:r>
        <w:rPr>
          <w:rFonts w:hint="eastAsia" w:ascii="仿宋_GB2312" w:eastAsia="仿宋_GB2312"/>
          <w:sz w:val="28"/>
          <w:szCs w:val="28"/>
          <w:lang w:val="en-US" w:eastAsia="zh-CN"/>
        </w:rPr>
        <w:t>3.67万元，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w:t>
      </w:r>
      <w:r>
        <w:rPr>
          <w:rFonts w:hint="eastAsia" w:ascii="仿宋_GB2312" w:eastAsia="仿宋_GB2312"/>
          <w:sz w:val="28"/>
          <w:szCs w:val="28"/>
        </w:rPr>
        <w:t>。主要原因：</w:t>
      </w:r>
      <w:r>
        <w:rPr>
          <w:rFonts w:hint="eastAsia" w:ascii="仿宋_GB2312" w:eastAsia="仿宋_GB2312"/>
          <w:sz w:val="28"/>
          <w:szCs w:val="28"/>
          <w:lang w:val="en-US" w:eastAsia="zh-CN"/>
        </w:rPr>
        <w:t>优抚对象医疗补助支出略减。</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7.</w:t>
      </w:r>
      <w:r>
        <w:rPr>
          <w:rFonts w:hint="eastAsia" w:ascii="仿宋_GB2312" w:eastAsia="仿宋_GB2312"/>
          <w:sz w:val="28"/>
          <w:szCs w:val="28"/>
        </w:rPr>
        <w:t>“节能环保支出”(类)202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279.57万元，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299.93万元，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107.28%。其中：</w:t>
      </w:r>
    </w:p>
    <w:p>
      <w:pPr>
        <w:pStyle w:val="2"/>
        <w:rPr>
          <w:rFonts w:hint="eastAsia"/>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污染防治</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sz w:val="28"/>
          <w:szCs w:val="28"/>
          <w:lang w:val="en-US" w:eastAsia="zh-CN"/>
        </w:rPr>
        <w:t>279.57万元，</w:t>
      </w:r>
      <w:r>
        <w:rPr>
          <w:rFonts w:hint="eastAsia" w:ascii="仿宋_GB2312" w:eastAsia="仿宋_GB2312"/>
          <w:sz w:val="28"/>
          <w:szCs w:val="28"/>
        </w:rPr>
        <w:t>2024年度决算</w:t>
      </w:r>
      <w:r>
        <w:rPr>
          <w:rFonts w:hint="eastAsia" w:ascii="仿宋_GB2312" w:eastAsia="仿宋_GB2312"/>
          <w:sz w:val="28"/>
          <w:szCs w:val="28"/>
          <w:lang w:val="en-US" w:eastAsia="zh-CN"/>
        </w:rPr>
        <w:t>299.93万元，</w:t>
      </w:r>
      <w:r>
        <w:rPr>
          <w:rFonts w:hint="eastAsia" w:ascii="仿宋_GB2312" w:eastAsia="仿宋_GB2312"/>
          <w:sz w:val="28"/>
          <w:szCs w:val="28"/>
          <w:lang w:eastAsia="zh-CN"/>
        </w:rPr>
        <w:t>完成年初预算的</w:t>
      </w:r>
      <w:r>
        <w:rPr>
          <w:rFonts w:hint="eastAsia" w:ascii="仿宋_GB2312"/>
          <w:sz w:val="28"/>
          <w:szCs w:val="28"/>
          <w:lang w:val="en-US" w:eastAsia="zh-CN"/>
        </w:rPr>
        <w:t>10</w:t>
      </w:r>
      <w:r>
        <w:rPr>
          <w:rFonts w:hint="eastAsia" w:ascii="仿宋_GB2312" w:eastAsia="仿宋_GB2312"/>
          <w:sz w:val="28"/>
          <w:szCs w:val="28"/>
          <w:lang w:val="en-US" w:eastAsia="zh-CN"/>
        </w:rPr>
        <w:t>7.28%</w:t>
      </w:r>
      <w:r>
        <w:rPr>
          <w:rFonts w:hint="eastAsia" w:ascii="仿宋_GB2312" w:eastAsia="仿宋_GB2312"/>
          <w:sz w:val="28"/>
          <w:szCs w:val="28"/>
        </w:rPr>
        <w:t>。主要原因：</w:t>
      </w:r>
      <w:r>
        <w:rPr>
          <w:rFonts w:hint="eastAsia" w:ascii="仿宋_GB2312" w:eastAsia="仿宋_GB2312"/>
          <w:sz w:val="28"/>
          <w:szCs w:val="28"/>
          <w:lang w:val="en-US" w:eastAsia="zh-CN"/>
        </w:rPr>
        <w:t>大气精细化治理、京南物流基地重点扬尘大院空气质量监测与视频监控等项目支出增加。</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w:t>
      </w:r>
      <w:r>
        <w:rPr>
          <w:rFonts w:hint="eastAsia" w:ascii="仿宋_GB2312" w:eastAsia="仿宋_GB2312"/>
          <w:sz w:val="28"/>
          <w:szCs w:val="28"/>
        </w:rPr>
        <w:t>“城乡社区支出”(类)202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3868万元，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10039.1万元，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259.54%。其中：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城乡社区管理事务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3121.9万元，</w:t>
      </w:r>
      <w:r>
        <w:rPr>
          <w:rFonts w:hint="eastAsia" w:ascii="仿宋_GB2312" w:eastAsia="仿宋_GB2312"/>
          <w:sz w:val="28"/>
          <w:szCs w:val="28"/>
        </w:rPr>
        <w:t>2024年度决算</w:t>
      </w:r>
      <w:r>
        <w:rPr>
          <w:rFonts w:hint="eastAsia" w:ascii="仿宋_GB2312" w:eastAsia="仿宋_GB2312"/>
          <w:sz w:val="28"/>
          <w:szCs w:val="28"/>
          <w:lang w:val="en-US" w:eastAsia="zh-CN"/>
        </w:rPr>
        <w:t>7819.12万元，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250.46%</w:t>
      </w:r>
      <w:r>
        <w:rPr>
          <w:rFonts w:hint="eastAsia" w:ascii="仿宋_GB2312" w:eastAsia="仿宋_GB2312"/>
          <w:sz w:val="28"/>
          <w:szCs w:val="28"/>
        </w:rPr>
        <w:t>。主要原因：</w:t>
      </w:r>
      <w:r>
        <w:rPr>
          <w:rFonts w:hint="eastAsia" w:ascii="仿宋_GB2312" w:eastAsia="仿宋_GB2312"/>
          <w:sz w:val="28"/>
          <w:szCs w:val="28"/>
          <w:lang w:val="en-US" w:eastAsia="zh-CN"/>
        </w:rPr>
        <w:t>城市建设工作、社会化管理网格化服务、热线+网格管理服务等项目支出增加。</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城乡社区规划与管理</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w:t>
      </w:r>
      <w:r>
        <w:rPr>
          <w:rFonts w:hint="eastAsia" w:ascii="仿宋_GB2312" w:eastAsia="仿宋_GB2312"/>
          <w:sz w:val="28"/>
          <w:szCs w:val="28"/>
          <w:lang w:val="en-US" w:eastAsia="zh-CN"/>
        </w:rPr>
        <w:t>10万元。</w:t>
      </w:r>
      <w:r>
        <w:rPr>
          <w:rFonts w:hint="eastAsia" w:ascii="仿宋_GB2312" w:eastAsia="仿宋_GB2312"/>
          <w:sz w:val="28"/>
          <w:szCs w:val="28"/>
        </w:rPr>
        <w:t>主要原因：</w:t>
      </w:r>
      <w:r>
        <w:rPr>
          <w:rFonts w:hint="eastAsia" w:ascii="仿宋_GB2312" w:eastAsia="仿宋_GB2312"/>
          <w:sz w:val="28"/>
          <w:szCs w:val="28"/>
          <w:lang w:val="en-US" w:eastAsia="zh-CN"/>
        </w:rPr>
        <w:t>2024年度责任规划师项目支出增加。</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城乡社区公共设施</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40.89万元，</w:t>
      </w:r>
      <w:r>
        <w:rPr>
          <w:rFonts w:hint="eastAsia" w:ascii="仿宋_GB2312" w:eastAsia="仿宋_GB2312"/>
          <w:sz w:val="28"/>
          <w:szCs w:val="28"/>
        </w:rPr>
        <w:t>2024年度决算</w:t>
      </w:r>
      <w:r>
        <w:rPr>
          <w:rFonts w:hint="eastAsia" w:ascii="仿宋_GB2312" w:eastAsia="仿宋_GB2312"/>
          <w:sz w:val="28"/>
          <w:szCs w:val="28"/>
          <w:lang w:val="en-US" w:eastAsia="zh-CN"/>
        </w:rPr>
        <w:t>40.89万元，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。主要原因：大兴区微空间更新改造</w:t>
      </w:r>
      <w:r>
        <w:rPr>
          <w:rFonts w:hint="eastAsia" w:ascii="仿宋_GB2312" w:eastAsia="仿宋_GB2312"/>
          <w:sz w:val="28"/>
          <w:szCs w:val="28"/>
          <w:lang w:val="en-US" w:eastAsia="zh-CN"/>
        </w:rPr>
        <w:t>支出无增减变动。</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城乡社区环境卫生</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299.47万元，</w:t>
      </w:r>
      <w:r>
        <w:rPr>
          <w:rFonts w:hint="eastAsia" w:ascii="仿宋_GB2312" w:eastAsia="仿宋_GB2312"/>
          <w:sz w:val="28"/>
          <w:szCs w:val="28"/>
        </w:rPr>
        <w:t>2024年度决算</w:t>
      </w:r>
      <w:r>
        <w:rPr>
          <w:rFonts w:hint="eastAsia" w:ascii="仿宋_GB2312" w:eastAsia="仿宋_GB2312"/>
          <w:sz w:val="28"/>
          <w:szCs w:val="28"/>
          <w:lang w:val="en-US" w:eastAsia="zh-CN"/>
        </w:rPr>
        <w:t>1447.52万元，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483.37%</w:t>
      </w:r>
      <w:r>
        <w:rPr>
          <w:rFonts w:hint="eastAsia" w:ascii="仿宋_GB2312" w:eastAsia="仿宋_GB2312"/>
          <w:sz w:val="28"/>
          <w:szCs w:val="28"/>
        </w:rPr>
        <w:t>。主要原因：环境卫生提升服务</w:t>
      </w:r>
      <w:r>
        <w:rPr>
          <w:rFonts w:hint="eastAsia" w:ascii="仿宋_GB2312" w:eastAsia="仿宋_GB2312"/>
          <w:sz w:val="28"/>
          <w:szCs w:val="28"/>
          <w:lang w:eastAsia="zh-CN"/>
        </w:rPr>
        <w:t>、背街小巷环境精细化治理</w:t>
      </w:r>
      <w:r>
        <w:rPr>
          <w:rFonts w:hint="eastAsia" w:ascii="仿宋_GB2312" w:eastAsia="仿宋_GB2312"/>
          <w:sz w:val="28"/>
          <w:szCs w:val="28"/>
          <w:lang w:val="en-US" w:eastAsia="zh-CN"/>
        </w:rPr>
        <w:t>等项目支出增加。</w:t>
      </w:r>
    </w:p>
    <w:p>
      <w:pPr>
        <w:pStyle w:val="2"/>
        <w:rPr>
          <w:rFonts w:hint="eastAsia"/>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其他城乡社区支出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sz w:val="28"/>
          <w:szCs w:val="28"/>
          <w:lang w:val="en-US" w:eastAsia="zh-CN"/>
        </w:rPr>
        <w:t>405.74万元，</w:t>
      </w:r>
      <w:r>
        <w:rPr>
          <w:rFonts w:hint="eastAsia" w:ascii="仿宋_GB2312" w:eastAsia="仿宋_GB2312"/>
          <w:sz w:val="28"/>
          <w:szCs w:val="28"/>
        </w:rPr>
        <w:t>2024年度决算</w:t>
      </w:r>
      <w:r>
        <w:rPr>
          <w:rFonts w:hint="eastAsia" w:ascii="仿宋_GB2312" w:eastAsia="仿宋_GB2312"/>
          <w:sz w:val="28"/>
          <w:szCs w:val="28"/>
          <w:lang w:val="en-US" w:eastAsia="zh-CN"/>
        </w:rPr>
        <w:t>721.56万元，</w:t>
      </w:r>
      <w:r>
        <w:rPr>
          <w:rFonts w:hint="eastAsia" w:ascii="仿宋_GB2312" w:eastAsia="仿宋_GB2312"/>
          <w:sz w:val="28"/>
          <w:szCs w:val="28"/>
          <w:lang w:eastAsia="zh-CN"/>
        </w:rPr>
        <w:t>完成年初预算的</w:t>
      </w:r>
      <w:r>
        <w:rPr>
          <w:rFonts w:hint="eastAsia" w:ascii="仿宋_GB2312"/>
          <w:sz w:val="28"/>
          <w:szCs w:val="28"/>
          <w:lang w:val="en-US" w:eastAsia="zh-CN"/>
        </w:rPr>
        <w:t>1</w:t>
      </w:r>
      <w:r>
        <w:rPr>
          <w:rFonts w:hint="eastAsia" w:ascii="仿宋_GB2312" w:eastAsia="仿宋_GB2312"/>
          <w:sz w:val="28"/>
          <w:szCs w:val="28"/>
          <w:lang w:val="en-US" w:eastAsia="zh-CN"/>
        </w:rPr>
        <w:t>77.84%</w:t>
      </w:r>
      <w:r>
        <w:rPr>
          <w:rFonts w:hint="eastAsia" w:ascii="仿宋_GB2312" w:eastAsia="仿宋_GB2312"/>
          <w:sz w:val="28"/>
          <w:szCs w:val="28"/>
        </w:rPr>
        <w:t>。主要原因：</w:t>
      </w:r>
      <w:r>
        <w:rPr>
          <w:rFonts w:hint="eastAsia" w:ascii="仿宋_GB2312" w:eastAsia="仿宋_GB2312"/>
          <w:sz w:val="28"/>
          <w:szCs w:val="28"/>
          <w:lang w:val="en-US" w:eastAsia="zh-CN"/>
        </w:rPr>
        <w:t>疏解整治促提</w:t>
      </w:r>
      <w:r>
        <w:rPr>
          <w:rFonts w:hint="eastAsia" w:ascii="仿宋_GB2312" w:eastAsia="仿宋_GB2312"/>
          <w:sz w:val="28"/>
          <w:szCs w:val="28"/>
          <w:highlight w:val="none"/>
          <w:lang w:val="en-US" w:eastAsia="zh-CN"/>
        </w:rPr>
        <w:t>升项目支出增加。</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w:t>
      </w:r>
      <w:r>
        <w:rPr>
          <w:rFonts w:hint="eastAsia" w:ascii="仿宋_GB2312" w:eastAsia="仿宋_GB2312"/>
          <w:sz w:val="28"/>
          <w:szCs w:val="28"/>
        </w:rPr>
        <w:t>“农林水支出”(类)202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47.6万元，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46.55万元，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97.79%。其中：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农业农村</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18万元，</w:t>
      </w:r>
      <w:r>
        <w:rPr>
          <w:rFonts w:hint="eastAsia" w:ascii="仿宋_GB2312" w:eastAsia="仿宋_GB2312"/>
          <w:sz w:val="28"/>
          <w:szCs w:val="28"/>
        </w:rPr>
        <w:t>2024年度决算</w:t>
      </w:r>
      <w:r>
        <w:rPr>
          <w:rFonts w:hint="eastAsia" w:ascii="仿宋_GB2312" w:eastAsia="仿宋_GB2312"/>
          <w:sz w:val="28"/>
          <w:szCs w:val="28"/>
          <w:lang w:val="en-US" w:eastAsia="zh-CN"/>
        </w:rPr>
        <w:t>16.95万元，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94.15%</w:t>
      </w:r>
      <w:r>
        <w:rPr>
          <w:rFonts w:hint="eastAsia" w:ascii="仿宋_GB2312" w:eastAsia="仿宋_GB2312"/>
          <w:sz w:val="28"/>
          <w:szCs w:val="28"/>
        </w:rPr>
        <w:t>。主要原因：</w:t>
      </w:r>
      <w:r>
        <w:rPr>
          <w:rFonts w:hint="eastAsia" w:ascii="仿宋_GB2312" w:eastAsia="仿宋_GB2312"/>
          <w:sz w:val="28"/>
          <w:szCs w:val="28"/>
          <w:lang w:val="en-US" w:eastAsia="zh-CN"/>
        </w:rPr>
        <w:t>白蛾防控项目支出减少。</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水利</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29.6万元，</w:t>
      </w:r>
      <w:r>
        <w:rPr>
          <w:rFonts w:hint="eastAsia" w:ascii="仿宋_GB2312" w:eastAsia="仿宋_GB2312"/>
          <w:sz w:val="28"/>
          <w:szCs w:val="28"/>
        </w:rPr>
        <w:t>2024年度决算</w:t>
      </w:r>
      <w:r>
        <w:rPr>
          <w:rFonts w:hint="eastAsia" w:ascii="仿宋_GB2312" w:eastAsia="仿宋_GB2312"/>
          <w:sz w:val="28"/>
          <w:szCs w:val="28"/>
          <w:lang w:val="en-US" w:eastAsia="zh-CN"/>
        </w:rPr>
        <w:t>29.6万元，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。主要原因：河长制资金</w:t>
      </w:r>
      <w:r>
        <w:rPr>
          <w:rFonts w:hint="eastAsia" w:ascii="仿宋_GB2312" w:eastAsia="仿宋_GB2312"/>
          <w:sz w:val="28"/>
          <w:szCs w:val="28"/>
          <w:lang w:val="en-US" w:eastAsia="zh-CN"/>
        </w:rPr>
        <w:t>无增减变动。</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w:t>
      </w:r>
      <w:r>
        <w:rPr>
          <w:rFonts w:hint="eastAsia" w:ascii="仿宋_GB2312" w:eastAsia="仿宋_GB2312"/>
          <w:sz w:val="28"/>
          <w:szCs w:val="28"/>
        </w:rPr>
        <w:t>“交通运输支出”(类)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22万元，</w:t>
      </w:r>
      <w:r>
        <w:rPr>
          <w:rFonts w:hint="eastAsia" w:ascii="仿宋_GB2312" w:eastAsia="仿宋_GB2312"/>
          <w:sz w:val="28"/>
          <w:szCs w:val="28"/>
        </w:rPr>
        <w:t>2024年度决算</w:t>
      </w:r>
      <w:r>
        <w:rPr>
          <w:rFonts w:hint="eastAsia" w:ascii="仿宋_GB2312" w:eastAsia="仿宋_GB2312"/>
          <w:sz w:val="28"/>
          <w:szCs w:val="28"/>
          <w:lang w:val="en-US" w:eastAsia="zh-CN"/>
        </w:rPr>
        <w:t>22万元，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铁路运输</w:t>
      </w:r>
      <w:r>
        <w:rPr>
          <w:rFonts w:hint="eastAsia" w:ascii="仿宋_GB2312" w:eastAsia="仿宋_GB2312"/>
          <w:sz w:val="28"/>
          <w:szCs w:val="28"/>
        </w:rPr>
        <w:t>”（款）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22万元，</w:t>
      </w:r>
      <w:r>
        <w:rPr>
          <w:rFonts w:hint="eastAsia" w:ascii="仿宋_GB2312" w:eastAsia="仿宋_GB2312"/>
          <w:sz w:val="28"/>
          <w:szCs w:val="28"/>
        </w:rPr>
        <w:t>2024年度决算</w:t>
      </w:r>
      <w:r>
        <w:rPr>
          <w:rFonts w:hint="eastAsia" w:ascii="仿宋_GB2312" w:eastAsia="仿宋_GB2312"/>
          <w:sz w:val="28"/>
          <w:szCs w:val="28"/>
          <w:lang w:val="en-US" w:eastAsia="zh-CN"/>
        </w:rPr>
        <w:t>22万元，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。主要原因：铁路护路</w:t>
      </w:r>
      <w:r>
        <w:rPr>
          <w:rFonts w:hint="eastAsia" w:ascii="仿宋_GB2312" w:eastAsia="仿宋_GB2312"/>
          <w:sz w:val="28"/>
          <w:szCs w:val="28"/>
          <w:lang w:val="en-US" w:eastAsia="zh-CN"/>
        </w:rPr>
        <w:t>资金无增减变动。</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11、</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2873.48万元。其中：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保障性安居工程支出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w:t>
      </w:r>
      <w:r>
        <w:rPr>
          <w:rFonts w:hint="eastAsia" w:ascii="仿宋_GB2312" w:eastAsia="仿宋_GB2312"/>
          <w:sz w:val="28"/>
          <w:szCs w:val="28"/>
          <w:lang w:val="en-US" w:eastAsia="zh-CN"/>
        </w:rPr>
        <w:t>2577.67万元</w:t>
      </w:r>
      <w:r>
        <w:rPr>
          <w:rFonts w:hint="eastAsia" w:ascii="仿宋_GB2312" w:eastAsia="仿宋_GB2312"/>
          <w:sz w:val="28"/>
          <w:szCs w:val="28"/>
        </w:rPr>
        <w:t>。主要原因：</w:t>
      </w:r>
      <w:r>
        <w:rPr>
          <w:rFonts w:hint="eastAsia" w:ascii="仿宋_GB2312" w:eastAsia="仿宋_GB2312"/>
          <w:sz w:val="28"/>
          <w:szCs w:val="28"/>
          <w:lang w:val="en-US" w:eastAsia="zh-CN"/>
        </w:rPr>
        <w:t>老旧小区综合整治项目支出增加。</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val="en-US"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w:t>
      </w:r>
      <w:r>
        <w:rPr>
          <w:rFonts w:hint="eastAsia" w:ascii="仿宋_GB2312" w:eastAsia="仿宋_GB2312"/>
          <w:sz w:val="28"/>
          <w:szCs w:val="28"/>
          <w:lang w:val="en-US" w:eastAsia="zh-CN"/>
        </w:rPr>
        <w:t>295.81万元</w:t>
      </w:r>
      <w:r>
        <w:rPr>
          <w:rFonts w:hint="eastAsia" w:ascii="仿宋_GB2312" w:eastAsia="仿宋_GB2312"/>
          <w:sz w:val="28"/>
          <w:szCs w:val="28"/>
        </w:rPr>
        <w:t>。主要原因：</w:t>
      </w:r>
      <w:r>
        <w:rPr>
          <w:rFonts w:hint="eastAsia" w:ascii="仿宋_GB2312" w:eastAsia="仿宋_GB2312"/>
          <w:sz w:val="28"/>
          <w:szCs w:val="28"/>
          <w:lang w:val="en-US" w:eastAsia="zh-CN"/>
        </w:rPr>
        <w:t>住房改革支出增加。</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12、</w:t>
      </w:r>
      <w:r>
        <w:rPr>
          <w:rFonts w:hint="eastAsia" w:ascii="仿宋_GB2312" w:eastAsia="仿宋_GB2312"/>
          <w:sz w:val="28"/>
          <w:szCs w:val="28"/>
        </w:rPr>
        <w:t>“灾害防治及应急管理支出”(类)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30万元，</w:t>
      </w:r>
      <w:r>
        <w:rPr>
          <w:rFonts w:hint="eastAsia" w:ascii="仿宋_GB2312" w:eastAsia="仿宋_GB2312"/>
          <w:sz w:val="28"/>
          <w:szCs w:val="28"/>
        </w:rPr>
        <w:t>2024年度决算</w:t>
      </w:r>
      <w:r>
        <w:rPr>
          <w:rFonts w:hint="eastAsia" w:ascii="仿宋_GB2312" w:eastAsia="仿宋_GB2312"/>
          <w:sz w:val="28"/>
          <w:szCs w:val="28"/>
          <w:lang w:val="en-US" w:eastAsia="zh-CN"/>
        </w:rPr>
        <w:t>81.44万元，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271.46%。其中：</w:t>
      </w:r>
    </w:p>
    <w:p>
      <w:pPr>
        <w:spacing w:line="580" w:lineRule="exact"/>
        <w:ind w:firstLine="560" w:firstLineChars="200"/>
      </w:pPr>
      <w:r>
        <w:rPr>
          <w:rFonts w:hint="eastAsia" w:ascii="仿宋_GB2312" w:eastAsia="仿宋_GB2312"/>
          <w:sz w:val="28"/>
          <w:szCs w:val="28"/>
        </w:rPr>
        <w:t>“</w:t>
      </w:r>
      <w:r>
        <w:rPr>
          <w:rFonts w:hint="eastAsia" w:ascii="仿宋_GB2312" w:eastAsia="仿宋_GB2312"/>
          <w:sz w:val="28"/>
          <w:szCs w:val="28"/>
          <w:lang w:val="en-US" w:eastAsia="zh-CN"/>
        </w:rPr>
        <w:t>应急管理事务</w:t>
      </w:r>
      <w:r>
        <w:rPr>
          <w:rFonts w:hint="eastAsia" w:ascii="仿宋_GB2312" w:eastAsia="仿宋_GB2312"/>
          <w:sz w:val="28"/>
          <w:szCs w:val="28"/>
        </w:rPr>
        <w:t>”（款） 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30万元，</w:t>
      </w:r>
      <w:r>
        <w:rPr>
          <w:rFonts w:hint="eastAsia" w:ascii="仿宋_GB2312" w:eastAsia="仿宋_GB2312"/>
          <w:sz w:val="28"/>
          <w:szCs w:val="28"/>
        </w:rPr>
        <w:t>2024年度决算</w:t>
      </w:r>
      <w:r>
        <w:rPr>
          <w:rFonts w:hint="eastAsia" w:ascii="仿宋_GB2312" w:eastAsia="仿宋_GB2312"/>
          <w:sz w:val="28"/>
          <w:szCs w:val="28"/>
          <w:lang w:val="en-US" w:eastAsia="zh-CN"/>
        </w:rPr>
        <w:t>81.44万元，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271.46%</w:t>
      </w:r>
      <w:r>
        <w:rPr>
          <w:rFonts w:hint="eastAsia" w:ascii="仿宋_GB2312" w:eastAsia="仿宋_GB2312"/>
          <w:sz w:val="28"/>
          <w:szCs w:val="28"/>
        </w:rPr>
        <w:t>。主要原因：</w:t>
      </w:r>
      <w:r>
        <w:rPr>
          <w:rFonts w:hint="eastAsia" w:ascii="仿宋_GB2312" w:eastAsia="仿宋_GB2312"/>
          <w:sz w:val="28"/>
          <w:szCs w:val="28"/>
          <w:lang w:val="en-US" w:eastAsia="zh-CN"/>
        </w:rPr>
        <w:t>应急管理工作项目支出增加。</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3844.27</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3794.27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12.43</w:t>
      </w:r>
      <w:r>
        <w:rPr>
          <w:rFonts w:hint="eastAsia" w:ascii="仿宋_GB2312" w:eastAsia="仿宋_GB2312"/>
          <w:sz w:val="28"/>
          <w:szCs w:val="28"/>
        </w:rPr>
        <w:t>%；其他支出</w:t>
      </w:r>
      <w:r>
        <w:rPr>
          <w:rFonts w:hint="eastAsia" w:ascii="仿宋_GB2312" w:eastAsia="仿宋_GB2312"/>
          <w:sz w:val="28"/>
          <w:szCs w:val="28"/>
          <w:lang w:val="en-US" w:eastAsia="zh-CN"/>
        </w:rPr>
        <w:t>50万元，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0.16%</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47.92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3794.27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7917.36</w:t>
      </w:r>
      <w:r>
        <w:rPr>
          <w:rFonts w:hint="eastAsia" w:ascii="仿宋_GB2312" w:eastAsia="仿宋_GB2312"/>
          <w:sz w:val="28"/>
          <w:szCs w:val="28"/>
        </w:rPr>
        <w:t>%。其中：</w:t>
      </w:r>
    </w:p>
    <w:p>
      <w:pPr>
        <w:spacing w:line="580" w:lineRule="exact"/>
        <w:ind w:firstLine="560" w:firstLineChars="200"/>
        <w:rPr>
          <w:rFonts w:hint="eastAsia"/>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47.92万元，</w:t>
      </w:r>
      <w:r>
        <w:rPr>
          <w:rFonts w:hint="eastAsia" w:ascii="仿宋_GB2312" w:eastAsia="仿宋_GB2312"/>
          <w:sz w:val="28"/>
          <w:szCs w:val="28"/>
        </w:rPr>
        <w:t>2024年度决算</w:t>
      </w:r>
      <w:r>
        <w:rPr>
          <w:rFonts w:hint="eastAsia" w:ascii="仿宋_GB2312" w:eastAsia="仿宋_GB2312"/>
          <w:sz w:val="28"/>
          <w:szCs w:val="28"/>
          <w:lang w:val="en-US" w:eastAsia="zh-CN"/>
        </w:rPr>
        <w:t>3794.27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7917.36</w:t>
      </w:r>
      <w:r>
        <w:rPr>
          <w:rFonts w:hint="eastAsia" w:ascii="仿宋_GB2312" w:eastAsia="仿宋_GB2312"/>
          <w:sz w:val="28"/>
          <w:szCs w:val="28"/>
        </w:rPr>
        <w:t>%。主要原因：城市建设</w:t>
      </w:r>
      <w:r>
        <w:rPr>
          <w:rFonts w:hint="eastAsia" w:ascii="仿宋_GB2312" w:eastAsia="仿宋_GB2312"/>
          <w:sz w:val="28"/>
          <w:szCs w:val="28"/>
          <w:lang w:eastAsia="zh-CN"/>
        </w:rPr>
        <w:t>、农业生产发展</w:t>
      </w:r>
      <w:r>
        <w:rPr>
          <w:rFonts w:hint="eastAsia" w:ascii="仿宋_GB2312" w:eastAsia="仿宋_GB2312"/>
          <w:sz w:val="28"/>
          <w:szCs w:val="28"/>
          <w:lang w:val="en-US" w:eastAsia="zh-CN"/>
        </w:rPr>
        <w:t>及农业农村生态环境支出增加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2、“其他支出”（类）202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50万元，</w:t>
      </w:r>
      <w:r>
        <w:rPr>
          <w:rFonts w:hint="eastAsia" w:ascii="仿宋_GB2312" w:eastAsia="仿宋_GB2312"/>
          <w:sz w:val="28"/>
          <w:szCs w:val="28"/>
        </w:rPr>
        <w:t>2024年度决算</w:t>
      </w:r>
      <w:r>
        <w:rPr>
          <w:rFonts w:hint="eastAsia" w:ascii="仿宋_GB2312" w:eastAsia="仿宋_GB2312"/>
          <w:sz w:val="28"/>
          <w:szCs w:val="28"/>
          <w:lang w:val="en-US" w:eastAsia="zh-CN"/>
        </w:rPr>
        <w:t>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val="en-US"/>
        </w:rPr>
      </w:pPr>
      <w:r>
        <w:rPr>
          <w:rFonts w:hint="eastAsia" w:ascii="仿宋_GB2312" w:eastAsia="仿宋_GB2312"/>
          <w:sz w:val="28"/>
          <w:szCs w:val="28"/>
        </w:rPr>
        <w:t>“彩票公益金安排的支出”（款）202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50万元，</w:t>
      </w:r>
      <w:r>
        <w:rPr>
          <w:rFonts w:hint="eastAsia" w:ascii="仿宋_GB2312" w:eastAsia="仿宋_GB2312"/>
          <w:sz w:val="28"/>
          <w:szCs w:val="28"/>
        </w:rPr>
        <w:t>2024年度决算</w:t>
      </w:r>
      <w:r>
        <w:rPr>
          <w:rFonts w:hint="eastAsia" w:ascii="仿宋_GB2312" w:eastAsia="仿宋_GB2312"/>
          <w:sz w:val="28"/>
          <w:szCs w:val="28"/>
          <w:lang w:val="en-US" w:eastAsia="zh-CN"/>
        </w:rPr>
        <w:t>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%。主要原因：北京市全民健身示范街道及体育特色乡镇扶持资金</w:t>
      </w:r>
      <w:r>
        <w:rPr>
          <w:rFonts w:hint="eastAsia" w:ascii="仿宋_GB2312" w:eastAsia="仿宋_GB2312"/>
          <w:sz w:val="28"/>
          <w:szCs w:val="28"/>
          <w:lang w:val="en-US" w:eastAsia="zh-CN"/>
        </w:rPr>
        <w:t>无增减变动。</w:t>
      </w:r>
    </w:p>
    <w:p>
      <w:pPr>
        <w:spacing w:line="580" w:lineRule="exact"/>
        <w:ind w:firstLine="560" w:firstLineChars="200"/>
        <w:rPr>
          <w:rFonts w:ascii="仿宋_GB2312" w:eastAsia="仿宋_GB2312"/>
          <w:sz w:val="28"/>
          <w:szCs w:val="28"/>
        </w:rPr>
      </w:pP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3838.44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办公费、水费、电费、工会经费、福利费、公务用车运行维护费、其他交通费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21.74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4.45</w:t>
      </w:r>
      <w:r>
        <w:rPr>
          <w:rFonts w:hint="eastAsia" w:ascii="仿宋_GB2312" w:eastAsia="仿宋_GB2312"/>
          <w:sz w:val="28"/>
          <w:szCs w:val="28"/>
        </w:rPr>
        <w:t>万元增加</w:t>
      </w:r>
      <w:r>
        <w:rPr>
          <w:rFonts w:hint="eastAsia" w:ascii="仿宋_GB2312" w:eastAsia="仿宋_GB2312"/>
          <w:sz w:val="28"/>
          <w:szCs w:val="28"/>
          <w:lang w:val="en-US" w:eastAsia="zh-CN"/>
        </w:rPr>
        <w:t>17.29</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未发生因公出国事项</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未发生公务接待事项。</w:t>
      </w:r>
    </w:p>
    <w:p>
      <w:pPr>
        <w:spacing w:line="560" w:lineRule="exact"/>
        <w:ind w:firstLine="560" w:firstLineChars="200"/>
        <w:rPr>
          <w:rFonts w:hint="eastAsia"/>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21.74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4.45</w:t>
      </w:r>
      <w:r>
        <w:rPr>
          <w:rFonts w:hint="eastAsia" w:ascii="仿宋_GB2312" w:eastAsia="仿宋_GB2312"/>
          <w:sz w:val="28"/>
          <w:szCs w:val="28"/>
        </w:rPr>
        <w:t>万元增加</w:t>
      </w:r>
      <w:r>
        <w:rPr>
          <w:rFonts w:hint="eastAsia" w:ascii="仿宋_GB2312" w:eastAsia="仿宋_GB2312"/>
          <w:sz w:val="28"/>
          <w:szCs w:val="28"/>
          <w:lang w:val="en-US" w:eastAsia="zh-CN"/>
        </w:rPr>
        <w:t>17.29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17.98</w:t>
      </w:r>
      <w:r>
        <w:rPr>
          <w:rFonts w:hint="eastAsia" w:ascii="仿宋_GB2312" w:eastAsia="仿宋_GB2312"/>
          <w:sz w:val="28"/>
          <w:szCs w:val="28"/>
        </w:rPr>
        <w:t>万元，主要原因：</w:t>
      </w:r>
      <w:r>
        <w:rPr>
          <w:rFonts w:hint="eastAsia" w:ascii="仿宋_GB2312" w:eastAsia="仿宋_GB2312"/>
          <w:sz w:val="28"/>
          <w:szCs w:val="28"/>
          <w:lang w:val="en-US" w:eastAsia="zh-CN"/>
        </w:rPr>
        <w:t>因工作需要新购新能源汽车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w:t>
      </w:r>
      <w:r>
        <w:rPr>
          <w:rFonts w:hint="eastAsia" w:ascii="仿宋_GB2312" w:eastAsia="仿宋_GB2312"/>
          <w:sz w:val="28"/>
          <w:szCs w:val="28"/>
          <w:lang w:eastAsia="zh-CN"/>
        </w:rPr>
        <w:t>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3.76</w:t>
      </w:r>
      <w:r>
        <w:rPr>
          <w:rFonts w:hint="eastAsia" w:ascii="仿宋_GB2312" w:eastAsia="仿宋_GB2312"/>
          <w:sz w:val="28"/>
          <w:szCs w:val="28"/>
        </w:rPr>
        <w:t>万元，主要原因：街道继续完善用车管理制度，严禁公车私用，</w:t>
      </w:r>
      <w:r>
        <w:rPr>
          <w:rFonts w:hint="eastAsia" w:ascii="仿宋_GB2312" w:eastAsia="仿宋_GB2312"/>
          <w:sz w:val="28"/>
          <w:szCs w:val="28"/>
          <w:lang w:val="en-US" w:eastAsia="zh-CN"/>
        </w:rPr>
        <w:t>厉</w:t>
      </w:r>
      <w:r>
        <w:rPr>
          <w:rFonts w:hint="eastAsia" w:ascii="仿宋_GB2312" w:eastAsia="仿宋_GB2312"/>
          <w:sz w:val="28"/>
          <w:szCs w:val="28"/>
        </w:rPr>
        <w:t>行勤俭节约。202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6</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204.28</w:t>
      </w:r>
      <w:r>
        <w:rPr>
          <w:rFonts w:hint="eastAsia" w:ascii="仿宋_GB2312" w:eastAsia="仿宋_GB2312"/>
          <w:sz w:val="28"/>
          <w:szCs w:val="28"/>
        </w:rPr>
        <w:t>万元，比上年增加</w:t>
      </w:r>
      <w:r>
        <w:rPr>
          <w:rFonts w:hint="eastAsia" w:ascii="仿宋_GB2312" w:eastAsia="仿宋_GB2312"/>
          <w:sz w:val="28"/>
          <w:szCs w:val="28"/>
          <w:lang w:val="en-US" w:eastAsia="zh-CN"/>
        </w:rPr>
        <w:t>7.14</w:t>
      </w:r>
      <w:r>
        <w:rPr>
          <w:rFonts w:hint="eastAsia" w:ascii="仿宋_GB2312" w:eastAsia="仿宋_GB2312"/>
          <w:sz w:val="28"/>
          <w:szCs w:val="28"/>
        </w:rPr>
        <w:t>万元，增加原因</w:t>
      </w:r>
      <w:r>
        <w:rPr>
          <w:rFonts w:hint="eastAsia" w:ascii="仿宋_GB2312" w:eastAsia="仿宋_GB2312"/>
          <w:sz w:val="28"/>
          <w:szCs w:val="28"/>
          <w:lang w:eastAsia="zh-CN"/>
        </w:rPr>
        <w:t>：</w:t>
      </w:r>
      <w:r>
        <w:rPr>
          <w:rFonts w:hint="eastAsia" w:ascii="仿宋_GB2312" w:eastAsia="仿宋_GB2312"/>
          <w:sz w:val="28"/>
          <w:szCs w:val="28"/>
          <w:lang w:val="en-US" w:eastAsia="zh-CN"/>
        </w:rPr>
        <w:t>受人员增加影响工会经费支出增加</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4070</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33.77</w:t>
      </w:r>
      <w:r>
        <w:rPr>
          <w:rFonts w:hint="eastAsia" w:ascii="仿宋_GB2312" w:eastAsia="仿宋_GB2312"/>
          <w:sz w:val="28"/>
          <w:szCs w:val="28"/>
        </w:rPr>
        <w:t>万元，政府采购工程支出</w:t>
      </w:r>
      <w:r>
        <w:rPr>
          <w:rFonts w:hint="eastAsia" w:ascii="仿宋_GB2312" w:eastAsia="仿宋_GB2312"/>
          <w:sz w:val="28"/>
          <w:szCs w:val="28"/>
          <w:lang w:val="en-US" w:eastAsia="zh-CN"/>
        </w:rPr>
        <w:t>120.95</w:t>
      </w:r>
      <w:r>
        <w:rPr>
          <w:rFonts w:hint="eastAsia" w:ascii="仿宋_GB2312" w:eastAsia="仿宋_GB2312"/>
          <w:sz w:val="28"/>
          <w:szCs w:val="28"/>
        </w:rPr>
        <w:t>，政府采购服务支出</w:t>
      </w:r>
      <w:r>
        <w:rPr>
          <w:rFonts w:hint="eastAsia" w:ascii="仿宋_GB2312" w:eastAsia="仿宋_GB2312"/>
          <w:sz w:val="28"/>
          <w:szCs w:val="28"/>
          <w:lang w:val="en-US" w:eastAsia="zh-CN"/>
        </w:rPr>
        <w:t>3915.28</w:t>
      </w:r>
      <w:r>
        <w:rPr>
          <w:rFonts w:hint="eastAsia" w:ascii="仿宋_GB2312" w:eastAsia="仿宋_GB2312"/>
          <w:sz w:val="28"/>
          <w:szCs w:val="28"/>
        </w:rPr>
        <w:t>万元。授予中小企业合同金额</w:t>
      </w:r>
      <w:r>
        <w:rPr>
          <w:rFonts w:ascii="仿宋_GB2312" w:eastAsia="仿宋_GB2312"/>
          <w:sz w:val="28"/>
          <w:szCs w:val="28"/>
        </w:rPr>
        <w:t>4069.13</w:t>
      </w:r>
      <w:r>
        <w:rPr>
          <w:rFonts w:hint="eastAsia" w:ascii="仿宋_GB2312" w:eastAsia="仿宋_GB2312"/>
          <w:sz w:val="28"/>
          <w:szCs w:val="28"/>
        </w:rPr>
        <w:t>万元，占政府采购支出总额的</w:t>
      </w:r>
      <w:r>
        <w:rPr>
          <w:rFonts w:hint="eastAsia" w:ascii="仿宋_GB2312" w:eastAsia="仿宋_GB2312"/>
          <w:sz w:val="28"/>
          <w:szCs w:val="28"/>
          <w:lang w:eastAsia="zh-CN"/>
        </w:rPr>
        <w:t>99.98</w:t>
      </w:r>
      <w:r>
        <w:rPr>
          <w:rFonts w:hint="eastAsia" w:ascii="仿宋_GB2312" w:eastAsia="仿宋_GB2312"/>
          <w:sz w:val="28"/>
          <w:szCs w:val="28"/>
        </w:rPr>
        <w:t>%，其中：授予小微企业合同金额</w:t>
      </w:r>
      <w:r>
        <w:rPr>
          <w:rFonts w:ascii="仿宋_GB2312" w:eastAsia="仿宋_GB2312"/>
          <w:sz w:val="28"/>
          <w:szCs w:val="28"/>
        </w:rPr>
        <w:t>2332.91</w:t>
      </w:r>
      <w:r>
        <w:rPr>
          <w:rFonts w:hint="eastAsia" w:ascii="仿宋_GB2312" w:eastAsia="仿宋_GB2312"/>
          <w:sz w:val="28"/>
          <w:szCs w:val="28"/>
        </w:rPr>
        <w:t>万元，占政府采购支出总额的</w:t>
      </w:r>
      <w:r>
        <w:rPr>
          <w:rFonts w:ascii="仿宋_GB2312" w:eastAsia="仿宋_GB2312"/>
          <w:sz w:val="28"/>
          <w:szCs w:val="28"/>
        </w:rPr>
        <w:t>57.32</w:t>
      </w:r>
      <w:r>
        <w:rPr>
          <w:rFonts w:hint="eastAsia" w:ascii="仿宋_GB2312" w:eastAsia="仿宋_GB2312"/>
          <w:sz w:val="28"/>
          <w:szCs w:val="28"/>
        </w:rPr>
        <w:t>%。</w:t>
      </w:r>
      <w:r>
        <w:rPr>
          <w:rFonts w:hint="eastAsia" w:ascii="仿宋_GB2312" w:eastAsia="仿宋_GB2312"/>
          <w:sz w:val="28"/>
          <w:szCs w:val="28"/>
          <w:lang w:val="en-US" w:eastAsia="zh-CN"/>
        </w:rPr>
        <w:t xml:space="preserve">   </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12月31日，北京市大兴区天宫院街道办事处</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7</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政府购买服务决算3862.29</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7. 社会保障和就业支出（类）行政事业单位养老支出（款）行政单位离退休（项）：反映用于行政单位（包括实行公务员管理的事业单位）开支的离退休经费。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8.一般公共服务支出（类）人大事务（款）代表工作（项）：反映人大代表开展各类视察等方面的支出。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9.一般公共服务支出（类）人大事务（款）其他人大事务支出（项）：反映上述项目以外的其他人大事务支出。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10.一般公共服务支出（类）政府办公厅（室）及相关机构事务（款）行政运行（项）：反映行政单位（包括实行公务员管理的事业单位）的基本支出。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11.一般公共服务支出（类）政府办公厅（室）及相关机构事务（款）一般行政管理事务（项）：反映行政单位（包括实行公务员管理的事业单位）未单独设置项级科目的其他项目支出。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12.一般公共服务支出（类）政府办公厅（室）及相关机构事务（款）事业运行（项）：反映事业单位的基本支出，不包括行政单位（包括实行公务员管理的事业单位）后勤服务中心、医务室等附属事业单位。</w:t>
      </w:r>
    </w:p>
    <w:p>
      <w:pPr>
        <w:pStyle w:val="2"/>
        <w:rPr>
          <w:rFonts w:hint="eastAsia"/>
          <w:highlight w:val="yellow"/>
          <w:lang w:val="en-US" w:eastAsia="zh-CN"/>
        </w:rPr>
      </w:pPr>
      <w:r>
        <w:rPr>
          <w:rFonts w:hint="eastAsia" w:ascii="仿宋_GB2312"/>
          <w:sz w:val="28"/>
          <w:szCs w:val="28"/>
          <w:lang w:val="en-US" w:eastAsia="zh-CN"/>
        </w:rPr>
        <w:t>13.</w:t>
      </w:r>
      <w:r>
        <w:rPr>
          <w:rFonts w:hint="eastAsia" w:ascii="仿宋_GB2312" w:eastAsia="仿宋_GB2312"/>
          <w:sz w:val="28"/>
          <w:szCs w:val="28"/>
          <w:lang w:val="en-US" w:eastAsia="zh-CN"/>
        </w:rPr>
        <w:t>一般公共服务支出（类）政府办公厅（室）及相关机构事务（款）其他政府办公厅</w:t>
      </w:r>
      <w:r>
        <w:rPr>
          <w:rFonts w:hint="eastAsia" w:ascii="仿宋_GB2312" w:eastAsia="仿宋_GB2312"/>
          <w:sz w:val="28"/>
          <w:szCs w:val="28"/>
          <w:highlight w:val="none"/>
          <w:lang w:val="en-US" w:eastAsia="zh-CN"/>
        </w:rPr>
        <w:t>（室）及相关机构事务支出</w:t>
      </w:r>
      <w:r>
        <w:rPr>
          <w:rFonts w:hint="eastAsia" w:ascii="仿宋_GB2312"/>
          <w:sz w:val="28"/>
          <w:szCs w:val="28"/>
          <w:highlight w:val="none"/>
          <w:lang w:val="en-US" w:eastAsia="zh-CN"/>
        </w:rPr>
        <w:t>（项）：反映除上述项目以外的其他政府办公厅（室）及相关机构事务支出。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14.一般公共服务支出（类）统计信息事务（款）专项普查活动（项）：反映统计部门开展人口普查、经济普查、农业普查、投入产出调查等周期性普查工作的支出。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15.一般公共服务支出（类）统计信息事务（款）统计抽样调查（项）：反映统计抽样调查队开展各类统计调查工作的支出。</w:t>
      </w:r>
    </w:p>
    <w:p>
      <w:pPr>
        <w:pStyle w:val="2"/>
        <w:rPr>
          <w:rFonts w:hint="eastAsia" w:ascii="仿宋_GB2312"/>
          <w:sz w:val="28"/>
          <w:szCs w:val="28"/>
          <w:highlight w:val="none"/>
          <w:lang w:val="en-US" w:eastAsia="zh-CN"/>
        </w:rPr>
      </w:pPr>
      <w:r>
        <w:rPr>
          <w:rFonts w:hint="eastAsia" w:ascii="仿宋_GB2312"/>
          <w:sz w:val="28"/>
          <w:szCs w:val="28"/>
          <w:lang w:val="en-US" w:eastAsia="zh-CN"/>
        </w:rPr>
        <w:t>16.</w:t>
      </w:r>
      <w:r>
        <w:rPr>
          <w:rFonts w:hint="eastAsia" w:ascii="仿宋_GB2312" w:eastAsia="仿宋_GB2312"/>
          <w:sz w:val="28"/>
          <w:szCs w:val="28"/>
          <w:lang w:val="en-US" w:eastAsia="zh-CN"/>
        </w:rPr>
        <w:t>一般公共服务支出（类）统计信息事务（款）其他统计信息事务支出</w:t>
      </w:r>
      <w:r>
        <w:rPr>
          <w:rFonts w:hint="eastAsia" w:ascii="仿宋_GB2312" w:eastAsia="仿宋_GB2312"/>
          <w:sz w:val="28"/>
          <w:szCs w:val="28"/>
          <w:highlight w:val="none"/>
          <w:lang w:val="en-US" w:eastAsia="zh-CN"/>
        </w:rPr>
        <w:t>（项）：</w:t>
      </w:r>
      <w:r>
        <w:rPr>
          <w:rFonts w:hint="eastAsia" w:ascii="仿宋_GB2312"/>
          <w:sz w:val="28"/>
          <w:szCs w:val="28"/>
          <w:highlight w:val="none"/>
          <w:lang w:val="en-US" w:eastAsia="zh-CN"/>
        </w:rPr>
        <w:t>反映除上述项目以外的其他统计信息事务支出。</w:t>
      </w:r>
    </w:p>
    <w:p>
      <w:pPr>
        <w:pStyle w:val="2"/>
        <w:rPr>
          <w:rFonts w:hint="eastAsia"/>
          <w:lang w:val="en-US" w:eastAsia="zh-CN"/>
        </w:rPr>
      </w:pPr>
      <w:r>
        <w:rPr>
          <w:rFonts w:hint="eastAsia" w:ascii="仿宋_GB2312"/>
          <w:sz w:val="28"/>
          <w:szCs w:val="28"/>
          <w:lang w:val="en-US" w:eastAsia="zh-CN"/>
        </w:rPr>
        <w:t>17.</w:t>
      </w:r>
      <w:r>
        <w:rPr>
          <w:rFonts w:hint="eastAsia" w:ascii="仿宋_GB2312" w:eastAsia="仿宋_GB2312"/>
          <w:sz w:val="28"/>
          <w:szCs w:val="28"/>
          <w:lang w:val="en-US" w:eastAsia="zh-CN"/>
        </w:rPr>
        <w:t>一般公共服务支出（类）纪检监察事务（款）其他纪检监察事务支出</w:t>
      </w:r>
      <w:r>
        <w:rPr>
          <w:rFonts w:hint="eastAsia" w:ascii="仿宋_GB2312" w:eastAsia="仿宋_GB2312"/>
          <w:sz w:val="28"/>
          <w:szCs w:val="28"/>
          <w:highlight w:val="none"/>
          <w:lang w:val="en-US" w:eastAsia="zh-CN"/>
        </w:rPr>
        <w:t>（项）：</w:t>
      </w:r>
      <w:r>
        <w:rPr>
          <w:rFonts w:hint="eastAsia" w:ascii="仿宋_GB2312"/>
          <w:sz w:val="28"/>
          <w:szCs w:val="28"/>
          <w:highlight w:val="none"/>
          <w:lang w:val="en-US" w:eastAsia="zh-CN"/>
        </w:rPr>
        <w:t>反映除上述项目以外其他纪检监察事务方面的支出。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18.一般公共服务支出（类）组织事务（款）一般行政管理事务（项）：反映行政单位（包括实行公务员管理的事业单位）未单独设置项级科目的其他项目支出。</w:t>
      </w:r>
    </w:p>
    <w:p>
      <w:pPr>
        <w:pStyle w:val="2"/>
        <w:rPr>
          <w:rFonts w:hint="eastAsia" w:ascii="仿宋_GB2312" w:eastAsia="仿宋_GB2312"/>
          <w:sz w:val="28"/>
          <w:szCs w:val="28"/>
          <w:lang w:val="en-US" w:eastAsia="zh-CN"/>
        </w:rPr>
      </w:pPr>
      <w:r>
        <w:rPr>
          <w:rFonts w:hint="eastAsia" w:ascii="仿宋_GB2312" w:eastAsia="仿宋_GB2312"/>
          <w:sz w:val="28"/>
          <w:szCs w:val="28"/>
          <w:lang w:val="en-US" w:eastAsia="zh-CN"/>
        </w:rPr>
        <w:t>1</w:t>
      </w:r>
      <w:r>
        <w:rPr>
          <w:rFonts w:hint="eastAsia" w:ascii="仿宋_GB2312"/>
          <w:sz w:val="28"/>
          <w:szCs w:val="28"/>
          <w:lang w:val="en-US" w:eastAsia="zh-CN"/>
        </w:rPr>
        <w:t>9</w:t>
      </w:r>
      <w:r>
        <w:rPr>
          <w:rFonts w:hint="eastAsia" w:ascii="仿宋_GB2312" w:eastAsia="仿宋_GB2312"/>
          <w:sz w:val="28"/>
          <w:szCs w:val="28"/>
          <w:lang w:val="en-US" w:eastAsia="zh-CN"/>
        </w:rPr>
        <w:t>.一般公共服务支出（类）组织事务（款）其他组织事务支出（项）：反映</w:t>
      </w:r>
      <w:r>
        <w:rPr>
          <w:rFonts w:hint="eastAsia" w:ascii="仿宋_GB2312"/>
          <w:sz w:val="28"/>
          <w:szCs w:val="28"/>
          <w:lang w:val="en-US" w:eastAsia="zh-CN"/>
        </w:rPr>
        <w:t>除上述项目以外其他用于中国共产党组织部门的事务支出</w:t>
      </w:r>
      <w:r>
        <w:rPr>
          <w:rFonts w:hint="eastAsia" w:ascii="仿宋_GB2312" w:eastAsia="仿宋_GB2312"/>
          <w:sz w:val="28"/>
          <w:szCs w:val="28"/>
          <w:lang w:val="en-US" w:eastAsia="zh-CN"/>
        </w:rPr>
        <w:t>。</w:t>
      </w:r>
    </w:p>
    <w:p>
      <w:pPr>
        <w:pStyle w:val="2"/>
        <w:rPr>
          <w:rFonts w:hint="eastAsia" w:ascii="仿宋_GB2312" w:eastAsia="仿宋_GB2312"/>
          <w:color w:val="auto"/>
          <w:sz w:val="28"/>
          <w:szCs w:val="28"/>
          <w:lang w:val="en-US" w:eastAsia="zh-CN"/>
        </w:rPr>
      </w:pPr>
      <w:r>
        <w:rPr>
          <w:rFonts w:hint="eastAsia" w:ascii="仿宋_GB2312"/>
          <w:sz w:val="28"/>
          <w:szCs w:val="28"/>
          <w:lang w:val="en-US" w:eastAsia="zh-CN"/>
        </w:rPr>
        <w:t>20</w:t>
      </w:r>
      <w:r>
        <w:rPr>
          <w:rFonts w:hint="eastAsia" w:ascii="仿宋_GB2312" w:eastAsia="仿宋_GB2312"/>
          <w:sz w:val="28"/>
          <w:szCs w:val="28"/>
          <w:lang w:val="en-US" w:eastAsia="zh-CN"/>
        </w:rPr>
        <w:t>.一般公共服务支出（类）其他共产党事务支出（款）：反映</w:t>
      </w:r>
      <w:r>
        <w:rPr>
          <w:rFonts w:hint="eastAsia" w:ascii="仿宋_GB2312"/>
          <w:sz w:val="28"/>
          <w:szCs w:val="28"/>
          <w:lang w:val="en-US" w:eastAsia="zh-CN"/>
        </w:rPr>
        <w:t>上述款项以外其他用于中国共产党事务的支出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21.一般公共服务支出（类）社会工作事务（款）一般行政管理事务（项）：反映行政单位（包括实行公务员管理的事业单位）未单独设置项级科目的其他项目支出。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22.国防支出（类）国防动员（款）其他国防动员支出（项）：反映除上述项目以外其他用于国防动员方面的支出。</w:t>
      </w:r>
    </w:p>
    <w:p>
      <w:pPr>
        <w:pStyle w:val="2"/>
        <w:rPr>
          <w:rFonts w:hint="eastAsia"/>
          <w:lang w:val="en-US" w:eastAsia="zh-CN"/>
        </w:rPr>
      </w:pPr>
      <w:r>
        <w:rPr>
          <w:rFonts w:hint="eastAsia" w:ascii="仿宋_GB2312"/>
          <w:sz w:val="28"/>
          <w:szCs w:val="28"/>
          <w:lang w:val="en-US" w:eastAsia="zh-CN"/>
        </w:rPr>
        <w:t>23.</w:t>
      </w:r>
      <w:r>
        <w:rPr>
          <w:rFonts w:hint="eastAsia" w:ascii="仿宋_GB2312" w:eastAsia="仿宋_GB2312"/>
          <w:sz w:val="28"/>
          <w:szCs w:val="28"/>
          <w:lang w:val="en-US" w:eastAsia="zh-CN"/>
        </w:rPr>
        <w:t>公共安全支出（类）司法（款）基层司法业务（项）：</w:t>
      </w:r>
      <w:r>
        <w:rPr>
          <w:rFonts w:hint="eastAsia" w:ascii="仿宋_GB2312"/>
          <w:sz w:val="28"/>
          <w:szCs w:val="28"/>
          <w:lang w:val="en-US" w:eastAsia="zh-CN"/>
        </w:rPr>
        <w:t>反映各级司法行政部门用于基层业务的支出，包括基层工作指导费、调解费、安置帮教费、司法所经费和公共法律服务平台相关支出、人民陪审员选任管理费用、人民监督员选任管理费用等支出。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24.文化旅游体育与传媒支出（类）文化和旅游（款）文化和旅游市场管理（项）：反映文化和旅游执法检查等文化旅游市场管理方面的支出。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25.文化旅游体育与传媒支出（类）文化和旅游（款）其他文化和旅游支出（项）：反映除上述项目以外其他用于文化和旅游方面的支出。</w:t>
      </w:r>
    </w:p>
    <w:p>
      <w:pPr>
        <w:pStyle w:val="2"/>
        <w:rPr>
          <w:rFonts w:hint="eastAsia"/>
          <w:lang w:val="en-US" w:eastAsia="zh-CN"/>
        </w:rPr>
      </w:pPr>
      <w:r>
        <w:rPr>
          <w:rFonts w:hint="eastAsia" w:ascii="仿宋_GB2312"/>
          <w:sz w:val="28"/>
          <w:szCs w:val="28"/>
          <w:lang w:val="en-US" w:eastAsia="zh-CN"/>
        </w:rPr>
        <w:t>26.</w:t>
      </w:r>
      <w:r>
        <w:rPr>
          <w:rFonts w:hint="eastAsia" w:ascii="仿宋_GB2312" w:eastAsia="仿宋_GB2312"/>
          <w:sz w:val="28"/>
          <w:szCs w:val="28"/>
          <w:lang w:val="en-US" w:eastAsia="zh-CN"/>
        </w:rPr>
        <w:t>社会保障和就业支出（类）民政管理事务（款）基层政权建设和社区治理（项）：</w:t>
      </w:r>
      <w:r>
        <w:rPr>
          <w:rFonts w:hint="eastAsia" w:ascii="仿宋_GB2312"/>
          <w:sz w:val="28"/>
          <w:szCs w:val="28"/>
          <w:lang w:val="en-US" w:eastAsia="zh-CN"/>
        </w:rPr>
        <w:t>反映开展城乡社区治理、城乡社区服务（乡村便民服务）、村（居）民自治、村（居）务公开、乡镇（街道）服务能力建设等基层政权建设和社区治理工作的支出。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27.社会保障和就业支出（类）民政管理事务（款）其他民政管理事务支出（项）：反映除上述项目以外其他用于民政管理事务的支出。</w:t>
      </w:r>
    </w:p>
    <w:p>
      <w:pPr>
        <w:pStyle w:val="2"/>
        <w:rPr>
          <w:rFonts w:hint="eastAsia"/>
          <w:lang w:val="en-US" w:eastAsia="zh-CN"/>
        </w:rPr>
      </w:pPr>
      <w:r>
        <w:rPr>
          <w:rFonts w:hint="eastAsia" w:ascii="仿宋_GB2312" w:eastAsia="仿宋_GB2312"/>
          <w:sz w:val="28"/>
          <w:szCs w:val="28"/>
          <w:lang w:val="en-US" w:eastAsia="zh-CN"/>
        </w:rPr>
        <w:t>2</w:t>
      </w:r>
      <w:r>
        <w:rPr>
          <w:rFonts w:hint="eastAsia" w:ascii="仿宋_GB2312"/>
          <w:sz w:val="28"/>
          <w:szCs w:val="28"/>
          <w:lang w:val="en-US" w:eastAsia="zh-CN"/>
        </w:rPr>
        <w:t>8</w:t>
      </w:r>
      <w:r>
        <w:rPr>
          <w:rFonts w:hint="eastAsia" w:ascii="仿宋_GB2312" w:eastAsia="仿宋_GB2312"/>
          <w:sz w:val="28"/>
          <w:szCs w:val="28"/>
          <w:lang w:val="en-US" w:eastAsia="zh-CN"/>
        </w:rPr>
        <w:t>.社会保障和就业支出（类）行政事业单位养老支出（款）离退休人员管理机构（项）：</w:t>
      </w:r>
      <w:r>
        <w:rPr>
          <w:rFonts w:hint="eastAsia" w:ascii="仿宋_GB2312"/>
          <w:sz w:val="28"/>
          <w:szCs w:val="28"/>
          <w:lang w:val="en-US" w:eastAsia="zh-CN"/>
        </w:rPr>
        <w:t>反映各类离退休人员管理机构的支出。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29.社会保障和就业支出（类）行政事业单位养老支出（款）机关事业单位基本养老保险缴费支出（项）：反映机关事业单位实施养老保险制度由单位缴纳的基本养老保险费支出。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30.社会保障和就业支出（类）行政事业单位养老支出（款）机关事业单位职业年金缴费支出（项）：反映机关事业单位实施养老保险制度由单位实际缴纳的职业年金支出（含职业年金补记支出）。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31.社会保障和就业支出（类）行政事业单位养老支出（款）其他行政事业单位养老支出（项）：反映除上述项目以外其他用于行政事业单位养老方面的支出。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32.社会保障和就业支出（类）就业补助（款）职业培训补贴（项）：反映财政用于落实相关职业培训政策方面的补贴支出。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33.社会保障和就业支出（类）就业补助（款）公益性岗位补贴（项）：反映财政对符合条件的就业困难人员在公益性岗位就业给与的岗位补贴支出。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34.社会保障和就业支出（类）抚恤（款）义务兵优待</w:t>
      </w:r>
      <w:r>
        <w:rPr>
          <w:rFonts w:hint="eastAsia" w:ascii="仿宋_GB2312" w:eastAsia="仿宋_GB2312"/>
          <w:sz w:val="28"/>
          <w:szCs w:val="28"/>
          <w:lang w:val="en-US" w:eastAsia="zh-CN"/>
        </w:rPr>
        <w:t>（项）</w:t>
      </w:r>
      <w:r>
        <w:rPr>
          <w:rFonts w:hint="eastAsia" w:ascii="仿宋_GB2312" w:eastAsia="仿宋_GB2312"/>
          <w:color w:val="auto"/>
          <w:sz w:val="28"/>
          <w:szCs w:val="28"/>
          <w:lang w:val="en-US" w:eastAsia="zh-CN"/>
        </w:rPr>
        <w:t>：反映用于义务兵优待方面的支出。</w:t>
      </w:r>
    </w:p>
    <w:p>
      <w:pPr>
        <w:pStyle w:val="2"/>
        <w:rPr>
          <w:rFonts w:hint="eastAsia"/>
          <w:lang w:val="en-US" w:eastAsia="zh-CN"/>
        </w:rPr>
      </w:pPr>
      <w:r>
        <w:rPr>
          <w:rFonts w:hint="eastAsia" w:ascii="仿宋_GB2312" w:eastAsia="仿宋_GB2312"/>
          <w:color w:val="auto"/>
          <w:sz w:val="28"/>
          <w:szCs w:val="28"/>
          <w:lang w:val="en-US" w:eastAsia="zh-CN"/>
        </w:rPr>
        <w:t>3</w:t>
      </w:r>
      <w:r>
        <w:rPr>
          <w:rFonts w:hint="eastAsia" w:ascii="仿宋_GB2312"/>
          <w:color w:val="auto"/>
          <w:sz w:val="28"/>
          <w:szCs w:val="28"/>
          <w:lang w:val="en-US" w:eastAsia="zh-CN"/>
        </w:rPr>
        <w:t>5</w:t>
      </w:r>
      <w:r>
        <w:rPr>
          <w:rFonts w:hint="eastAsia" w:ascii="仿宋_GB2312" w:eastAsia="仿宋_GB2312"/>
          <w:color w:val="auto"/>
          <w:sz w:val="28"/>
          <w:szCs w:val="28"/>
          <w:lang w:val="en-US" w:eastAsia="zh-CN"/>
        </w:rPr>
        <w:t>.社会保障和就业支出（类）抚恤（款）其他优抚支出</w:t>
      </w:r>
      <w:r>
        <w:rPr>
          <w:rFonts w:hint="eastAsia" w:ascii="仿宋_GB2312" w:eastAsia="仿宋_GB2312"/>
          <w:sz w:val="28"/>
          <w:szCs w:val="28"/>
          <w:lang w:val="en-US" w:eastAsia="zh-CN"/>
        </w:rPr>
        <w:t>（项）</w:t>
      </w:r>
      <w:r>
        <w:rPr>
          <w:rFonts w:hint="eastAsia" w:ascii="仿宋_GB2312" w:eastAsia="仿宋_GB2312"/>
          <w:color w:val="auto"/>
          <w:sz w:val="28"/>
          <w:szCs w:val="28"/>
          <w:lang w:val="en-US" w:eastAsia="zh-CN"/>
        </w:rPr>
        <w:t>：</w:t>
      </w:r>
      <w:r>
        <w:rPr>
          <w:rFonts w:hint="eastAsia" w:ascii="仿宋_GB2312"/>
          <w:color w:val="auto"/>
          <w:sz w:val="28"/>
          <w:szCs w:val="28"/>
          <w:lang w:val="en-US" w:eastAsia="zh-CN"/>
        </w:rPr>
        <w:t>反映除上述项目以外其他用于优抚方面的支出，包括向优抚对象发放的价格临时补贴、老烈士子女、老党员定期生活补助等支出。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36.社会保障和就业支出（类）社会福利（款）儿童福利（项）：反映对儿童提供福利服务方面的支出。</w:t>
      </w:r>
    </w:p>
    <w:p>
      <w:pPr>
        <w:pStyle w:val="2"/>
        <w:rPr>
          <w:rFonts w:hint="eastAsia"/>
          <w:lang w:val="en-US" w:eastAsia="zh-CN"/>
        </w:rPr>
      </w:pPr>
      <w:r>
        <w:rPr>
          <w:rFonts w:hint="eastAsia" w:ascii="仿宋_GB2312" w:eastAsia="仿宋_GB2312"/>
          <w:sz w:val="28"/>
          <w:szCs w:val="28"/>
          <w:lang w:val="en-US" w:eastAsia="zh-CN"/>
        </w:rPr>
        <w:t>3</w:t>
      </w:r>
      <w:r>
        <w:rPr>
          <w:rFonts w:hint="eastAsia" w:ascii="仿宋_GB2312"/>
          <w:sz w:val="28"/>
          <w:szCs w:val="28"/>
          <w:lang w:val="en-US" w:eastAsia="zh-CN"/>
        </w:rPr>
        <w:t>7</w:t>
      </w:r>
      <w:r>
        <w:rPr>
          <w:rFonts w:hint="eastAsia" w:ascii="仿宋_GB2312" w:eastAsia="仿宋_GB2312"/>
          <w:sz w:val="28"/>
          <w:szCs w:val="28"/>
          <w:lang w:val="en-US" w:eastAsia="zh-CN"/>
        </w:rPr>
        <w:t>.社会保障和就业支出（类）社会福利（款）养老服务（项）：</w:t>
      </w:r>
      <w:r>
        <w:rPr>
          <w:rFonts w:hint="eastAsia" w:ascii="仿宋_GB2312"/>
          <w:sz w:val="28"/>
          <w:szCs w:val="28"/>
          <w:lang w:val="en-US" w:eastAsia="zh-CN"/>
        </w:rPr>
        <w:t>反映财政在养老服务方面的补助支出，包括支出居家养老服务、社区养老服务和机构养老服务的支出，对养老服务机构的运营、建设补助支出等，不包括对社会福利事业单位的补助支出。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38.社会保障和就业支出（类）残疾人事业（款）其他残疾人事业支出（项）：反映除上述项目以外其他用于残疾人事业方面的支出。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39.社会保障和就业支出（类）最低生活保障（款）城市最低生活保障金支出（项）：反映用于城市最低生活保障对象的最低生活保障金支出。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40.社会保障和就业支出（类）临时救助（款）临时救助支出（项）：反映用于城乡生活困难居民的临时救助支出。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41.社会保障和就业支出（类）其他生活救助（款）其他城市生活救助（项）：反映除最低生活保障、临时救助、特困人员救助供养外，用于城市生活困难居民生活救助的其他支出，包括用于除优抚对象、失业人员之外城市生活困难居民的价格临时补贴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42.社会保障和就业支出（类）退役军人管理事务（款）一般行政管理事务（项）：反映行政单位（包括实行公务员管理的事业单位）未单独设置项级科目的其他项目支出。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43.社会保障和就业支出（类）其他社会保障和就业支出（款）其他社会保障和就业支出（项）：反映除上述项目以外其他用于社会保障和就业方面的支出。</w:t>
      </w:r>
    </w:p>
    <w:p>
      <w:pPr>
        <w:pStyle w:val="2"/>
        <w:rPr>
          <w:rFonts w:hint="eastAsia"/>
          <w:lang w:val="en-US" w:eastAsia="zh-CN"/>
        </w:rPr>
      </w:pPr>
      <w:r>
        <w:rPr>
          <w:rFonts w:hint="eastAsia" w:ascii="仿宋_GB2312"/>
          <w:sz w:val="28"/>
          <w:szCs w:val="28"/>
          <w:lang w:val="en-US" w:eastAsia="zh-CN"/>
        </w:rPr>
        <w:t>44</w:t>
      </w:r>
      <w:r>
        <w:rPr>
          <w:rFonts w:hint="eastAsia" w:ascii="仿宋_GB2312" w:eastAsia="仿宋_GB2312"/>
          <w:sz w:val="28"/>
          <w:szCs w:val="28"/>
          <w:lang w:val="en-US" w:eastAsia="zh-CN"/>
        </w:rPr>
        <w:t>.卫生健康支出（类）基层医疗卫生机构（款）其他基层医疗卫生机构支出</w:t>
      </w:r>
      <w:r>
        <w:rPr>
          <w:rFonts w:hint="eastAsia" w:ascii="仿宋_GB2312" w:eastAsia="仿宋_GB2312"/>
          <w:color w:val="auto"/>
          <w:sz w:val="28"/>
          <w:szCs w:val="28"/>
          <w:lang w:val="en-US" w:eastAsia="zh-CN"/>
        </w:rPr>
        <w:t>（项）：</w:t>
      </w:r>
      <w:r>
        <w:rPr>
          <w:rFonts w:hint="eastAsia" w:ascii="仿宋_GB2312"/>
          <w:color w:val="auto"/>
          <w:sz w:val="28"/>
          <w:szCs w:val="28"/>
          <w:lang w:val="en-US" w:eastAsia="zh-CN"/>
        </w:rPr>
        <w:t>反映除上述项目以外的其他用于基层医疗卫生机构的支出。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45.卫生健康支出（类）公共卫生（款）突发公共卫生事件</w:t>
      </w:r>
      <w:r>
        <w:rPr>
          <w:rFonts w:hint="eastAsia" w:ascii="仿宋_GB2312" w:eastAsia="仿宋_GB2312"/>
          <w:color w:val="auto"/>
          <w:sz w:val="28"/>
          <w:szCs w:val="28"/>
          <w:lang w:val="en-US" w:eastAsia="zh-CN"/>
        </w:rPr>
        <w:t>应急处置（项）：反映用于突发</w:t>
      </w:r>
      <w:r>
        <w:rPr>
          <w:rFonts w:hint="eastAsia" w:ascii="仿宋_GB2312" w:eastAsia="仿宋_GB2312"/>
          <w:sz w:val="28"/>
          <w:szCs w:val="28"/>
          <w:lang w:val="en-US" w:eastAsia="zh-CN"/>
        </w:rPr>
        <w:t>公共卫生事件应急处置方面的支出。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46.卫生健康支出（类）计划生育事务（款）计划生育服务（项）：反映计划生育服务支出。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47.卫生健康支出（类）计划生育事务（款）其他计划生育事务支出（项）：反映除上述项目以外其他用于计划生育管理事务方面的支出。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48.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49.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50.卫生健康支出（类）行政事业单位医疗（款）公务员医疗补助（项）：反映财政部门安排的公务员医疗补助经费。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51.卫生健康支出（类）优抚对象医疗（款）优抚对象医疗补助（项）：反映按规定补助优抚对象的医疗经费。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52.节能环保支出（类）污染防治（款）大气（项）：反映政府在治理空气污染、汽车尾气、酸雨、二氧化硫、沙尘暴等方面的支出。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53.城乡社区支出（类）城乡社区管理事务（款）城管执法（项）：反映城市管理综合行政执法、加强城市市容和环境卫生管理等方面的支出。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54.城乡社区支出（类）城乡社区管理事务（款）其他城乡社区管理事务支出（项）：反映除上述项目以外其他用于城乡社区管理事务方面的支出。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55.城乡社区支出（类）城乡社区规划与管理（款）城乡社区规划与管理（项）：反映城乡社区、防灾减灾、历史名城规划制定与管理等方面的支出。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56.城乡社区支出（类）城乡社区公共设施（款）其他城乡社区公共设施支出（项）：反映除上述项目以外其他用于城乡社区公共设施方面的支出。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57.城乡社区支出（类）城乡社区环境卫生（款）城乡社区环境卫生（项）：反映城乡社区道路清扫、垃圾清运与处理、公厕建设与维护、园林绿化等方面的支出。</w:t>
      </w:r>
    </w:p>
    <w:p>
      <w:pPr>
        <w:pStyle w:val="2"/>
        <w:rPr>
          <w:rFonts w:hint="eastAsia"/>
          <w:lang w:val="en-US" w:eastAsia="zh-CN"/>
        </w:rPr>
      </w:pPr>
      <w:r>
        <w:rPr>
          <w:rFonts w:hint="eastAsia" w:ascii="仿宋_GB2312"/>
          <w:sz w:val="28"/>
          <w:szCs w:val="28"/>
          <w:lang w:val="en-US" w:eastAsia="zh-CN"/>
        </w:rPr>
        <w:t>58.</w:t>
      </w:r>
      <w:r>
        <w:rPr>
          <w:rFonts w:hint="eastAsia" w:ascii="仿宋_GB2312" w:eastAsia="仿宋_GB2312"/>
          <w:sz w:val="28"/>
          <w:szCs w:val="28"/>
          <w:lang w:val="en-US" w:eastAsia="zh-CN"/>
        </w:rPr>
        <w:t>城乡社区支出（类）国有土地使用权出让收入安排的支出（款）城市建设支出（项）：</w:t>
      </w:r>
      <w:r>
        <w:rPr>
          <w:rFonts w:hint="eastAsia" w:ascii="仿宋_GB2312"/>
          <w:sz w:val="28"/>
          <w:szCs w:val="28"/>
          <w:lang w:val="en-US" w:eastAsia="zh-CN"/>
        </w:rPr>
        <w:t>反映土地出让收入用于完善国有土地使用功能的配套设施建设和城市基础设施建设支出。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59.城乡社区支出（类）国有土地使用权出让收入安排的支出（款）农业生产发展支出（项）：反映土地出让收入用于高标准农田建设、农田水利建设、农村土地综合整治、耕地及永久基本农田保护支出、现代农业提升等方面的支出。</w:t>
      </w:r>
    </w:p>
    <w:p>
      <w:pPr>
        <w:pStyle w:val="2"/>
        <w:rPr>
          <w:rFonts w:hint="eastAsia"/>
          <w:lang w:val="en-US" w:eastAsia="zh-CN"/>
        </w:rPr>
      </w:pPr>
      <w:r>
        <w:rPr>
          <w:rFonts w:hint="eastAsia" w:ascii="仿宋_GB2312" w:eastAsia="仿宋_GB2312"/>
          <w:sz w:val="28"/>
          <w:szCs w:val="28"/>
          <w:lang w:val="en-US" w:eastAsia="zh-CN"/>
        </w:rPr>
        <w:t>6</w:t>
      </w:r>
      <w:r>
        <w:rPr>
          <w:rFonts w:hint="eastAsia" w:ascii="仿宋_GB2312"/>
          <w:sz w:val="28"/>
          <w:szCs w:val="28"/>
          <w:lang w:val="en-US" w:eastAsia="zh-CN"/>
        </w:rPr>
        <w:t>0</w:t>
      </w:r>
      <w:r>
        <w:rPr>
          <w:rFonts w:hint="eastAsia" w:ascii="仿宋_GB2312" w:eastAsia="仿宋_GB2312"/>
          <w:sz w:val="28"/>
          <w:szCs w:val="28"/>
          <w:lang w:val="en-US" w:eastAsia="zh-CN"/>
        </w:rPr>
        <w:t>.城乡社区支出（类）国有土地使用权出让收入安排的支出（款）农业农村生态环境支出（项）：</w:t>
      </w:r>
      <w:r>
        <w:rPr>
          <w:rFonts w:hint="eastAsia" w:ascii="仿宋_GB2312"/>
          <w:sz w:val="28"/>
          <w:szCs w:val="28"/>
          <w:lang w:val="en-US" w:eastAsia="zh-CN"/>
        </w:rPr>
        <w:t>反映土地出让收入用于农村人居环境整治、与农业农村直接相关的山水林田湖草生态保护修复等方面的支出。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61.城乡社区支出（类）其他城乡社区支出（款）其他城乡社区支出（项）：反映除上述项目以外其他用于城乡社区方面的支出。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62.农林水支出（类）农业农村（款）病虫害控制（项）：反映用于病虫鼠害及疫情监测、预报、预防、控制、检疫、防疫所需的仪器、设施、药物、疫苗、种苗，疫畜（禽、鱼、植物）防治、扑杀补偿及劳务补助、菌（毒）种保藏及动植物及其产品检疫、检测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63.农林水支出（类）水利（款）水资源节约管理与保护（项）：反映水资源节约、监管、配置、调度、保护和基础管理工作的支出。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64.农林水支出（类）水利（款）其他水利支出（项）：反映除上述项目以外其他用于水利方面的支出。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65.交通运输支出（类）铁路运输（款）铁路安全（项）：反映涉及铁路安全方面的支出。</w:t>
      </w:r>
    </w:p>
    <w:p>
      <w:pPr>
        <w:pStyle w:val="2"/>
        <w:rPr>
          <w:rFonts w:hint="eastAsia" w:ascii="仿宋_GB2312"/>
          <w:sz w:val="28"/>
          <w:szCs w:val="28"/>
          <w:lang w:val="en-US" w:eastAsia="zh-CN"/>
        </w:rPr>
      </w:pPr>
      <w:r>
        <w:rPr>
          <w:rFonts w:hint="eastAsia" w:ascii="仿宋_GB2312"/>
          <w:sz w:val="28"/>
          <w:szCs w:val="28"/>
          <w:lang w:val="en-US" w:eastAsia="zh-CN"/>
        </w:rPr>
        <w:t>66.</w:t>
      </w:r>
      <w:r>
        <w:rPr>
          <w:rFonts w:hint="eastAsia" w:ascii="仿宋_GB2312" w:eastAsia="仿宋_GB2312"/>
          <w:sz w:val="28"/>
          <w:szCs w:val="28"/>
          <w:lang w:val="en-US" w:eastAsia="zh-CN"/>
        </w:rPr>
        <w:t>住房保障支出（类）保障性安居工程支出（款）老旧小区改造（项）：</w:t>
      </w:r>
      <w:r>
        <w:rPr>
          <w:rFonts w:hint="eastAsia" w:ascii="仿宋_GB2312"/>
          <w:sz w:val="28"/>
          <w:szCs w:val="28"/>
          <w:lang w:val="en-US" w:eastAsia="zh-CN"/>
        </w:rPr>
        <w:t>反映用于老旧小区改造方面的支出。</w:t>
      </w:r>
    </w:p>
    <w:p>
      <w:pPr>
        <w:pStyle w:val="2"/>
        <w:rPr>
          <w:rFonts w:hint="eastAsia" w:ascii="仿宋_GB2312"/>
          <w:sz w:val="28"/>
          <w:szCs w:val="28"/>
          <w:lang w:val="en-US" w:eastAsia="zh-CN"/>
        </w:rPr>
      </w:pPr>
      <w:r>
        <w:rPr>
          <w:rFonts w:hint="eastAsia" w:ascii="仿宋_GB2312"/>
          <w:sz w:val="28"/>
          <w:szCs w:val="28"/>
          <w:lang w:val="en-US" w:eastAsia="zh-CN"/>
        </w:rPr>
        <w:t>67.</w:t>
      </w:r>
      <w:r>
        <w:rPr>
          <w:rFonts w:hint="eastAsia" w:ascii="仿宋_GB2312" w:eastAsia="仿宋_GB2312"/>
          <w:sz w:val="28"/>
          <w:szCs w:val="28"/>
          <w:lang w:val="en-US" w:eastAsia="zh-CN"/>
        </w:rPr>
        <w:t>住房保障支出（类）住房改革支出（款）购房补贴（项）：</w:t>
      </w:r>
      <w:r>
        <w:rPr>
          <w:rFonts w:hint="eastAsia" w:ascii="仿宋_GB2312"/>
          <w:sz w:val="28"/>
          <w:szCs w:val="28"/>
          <w:lang w:val="en-US" w:eastAsia="zh-CN"/>
        </w:rPr>
        <w:t>反映按房改政策规定，行政事业单位向符合条件职工（含离退休人员）、军队（含武警）向转役复员离退休人员发放的用于购买住房的补贴。</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68.灾害防治及应急管理支出（类）应急管理事务（款）其他应急管理支出（项）：反映除上述项目外的其他应急管理方面的支出。</w:t>
      </w:r>
    </w:p>
    <w:p>
      <w:pPr>
        <w:ind w:firstLine="420" w:firstLineChars="150"/>
        <w:rPr>
          <w:rFonts w:hint="eastAsia" w:ascii="黑体" w:eastAsia="黑体"/>
          <w:sz w:val="32"/>
          <w:szCs w:val="32"/>
        </w:rPr>
      </w:pPr>
      <w:r>
        <w:rPr>
          <w:rFonts w:hint="eastAsia" w:ascii="仿宋_GB2312" w:eastAsia="仿宋_GB2312"/>
          <w:sz w:val="28"/>
          <w:szCs w:val="28"/>
          <w:lang w:val="en-US" w:eastAsia="zh-CN"/>
        </w:rPr>
        <w:t>69.其他支出（类）彩票公益金安排的支出（款）用于体育事业的彩票公益金支出（项）：反映用于体育事业的彩票公益金支出。</w:t>
      </w: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（一）部门概况</w:t>
      </w:r>
    </w:p>
    <w:p>
      <w:pPr>
        <w:tabs>
          <w:tab w:val="center" w:pos="6979"/>
        </w:tabs>
        <w:spacing w:line="580" w:lineRule="exact"/>
        <w:ind w:firstLine="570"/>
        <w:rPr>
          <w:rFonts w:hint="eastAsia"/>
        </w:rPr>
      </w:pPr>
      <w:r>
        <w:rPr>
          <w:rFonts w:hint="eastAsia" w:ascii="仿宋_GB2312" w:eastAsia="仿宋_GB2312"/>
          <w:sz w:val="28"/>
          <w:szCs w:val="28"/>
          <w:lang w:val="en-US" w:eastAsia="zh-CN"/>
        </w:rPr>
        <w:t>1、</w:t>
      </w:r>
      <w:r>
        <w:rPr>
          <w:rFonts w:hint="eastAsia" w:ascii="仿宋_GB2312" w:eastAsia="仿宋_GB2312"/>
          <w:sz w:val="28"/>
          <w:szCs w:val="28"/>
        </w:rPr>
        <w:t>机构设置及职责工作任务情况</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1）机构设置</w:t>
      </w:r>
    </w:p>
    <w:p>
      <w:pPr>
        <w:tabs>
          <w:tab w:val="center" w:pos="6979"/>
        </w:tabs>
        <w:spacing w:line="580" w:lineRule="exact"/>
        <w:ind w:firstLine="570"/>
        <w:rPr>
          <w:rFonts w:hint="eastAsia"/>
          <w:lang w:val="en-US" w:eastAsia="zh-CN"/>
        </w:rPr>
      </w:pPr>
      <w:r>
        <w:rPr>
          <w:rFonts w:hint="eastAsia" w:ascii="仿宋_GB2312" w:eastAsia="仿宋_GB2312"/>
          <w:kern w:val="0"/>
          <w:sz w:val="28"/>
          <w:szCs w:val="28"/>
          <w:lang w:val="en-US" w:eastAsia="zh-CN"/>
        </w:rPr>
        <w:t>北京市大兴区天宫院街道办事处本级为行政单位，内设6个办公室，</w:t>
      </w:r>
      <w:r>
        <w:rPr>
          <w:rFonts w:hint="eastAsia" w:ascii="仿宋_GB2312" w:eastAsia="仿宋_GB2312"/>
          <w:sz w:val="28"/>
          <w:szCs w:val="28"/>
          <w:lang w:val="en-US" w:eastAsia="zh-CN"/>
        </w:rPr>
        <w:t>分别是：社区建设</w:t>
      </w:r>
      <w:r>
        <w:rPr>
          <w:rFonts w:hint="eastAsia" w:ascii="仿宋_GB2312" w:eastAsia="仿宋_GB2312"/>
          <w:kern w:val="0"/>
          <w:sz w:val="28"/>
          <w:szCs w:val="28"/>
          <w:lang w:val="en-US" w:eastAsia="zh-CN"/>
        </w:rPr>
        <w:t>办公室、党群工作办公室、民生保障办公室、综合办公室、平安建设办公室、城市管理办公室；1个监察组，1个天宫院街道综合行政执法队，4个事业单位，</w:t>
      </w:r>
      <w:r>
        <w:rPr>
          <w:rFonts w:hint="eastAsia" w:ascii="仿宋_GB2312" w:eastAsia="仿宋_GB2312"/>
          <w:sz w:val="28"/>
          <w:szCs w:val="28"/>
          <w:lang w:val="en-US" w:eastAsia="zh-CN"/>
        </w:rPr>
        <w:t>分别是：物流基地管理服务中心、便民服务中心、市民诉求处置中心、市民活动中心；</w:t>
      </w:r>
      <w:r>
        <w:rPr>
          <w:rFonts w:hint="eastAsia" w:ascii="仿宋_GB2312" w:eastAsia="仿宋_GB2312"/>
          <w:kern w:val="0"/>
          <w:sz w:val="28"/>
          <w:szCs w:val="28"/>
          <w:lang w:val="en-US" w:eastAsia="zh-CN"/>
        </w:rPr>
        <w:t>18个社区居民委员会，</w:t>
      </w:r>
      <w:r>
        <w:rPr>
          <w:rFonts w:hint="eastAsia" w:ascii="仿宋_GB2312" w:eastAsia="仿宋_GB2312"/>
          <w:sz w:val="28"/>
          <w:szCs w:val="28"/>
          <w:lang w:val="en-US" w:eastAsia="zh-CN"/>
        </w:rPr>
        <w:t>分别是：海子角、海东、海西、海南、海北、矿林庄、天宫院、天宫院西里、天宫院中里、天宫院南里、天宫院北里、融汇、兴宇、兴宇西里、天堂河、新源时代、新源时代中里、新源时代西里。</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（2）职责工作任务</w:t>
      </w:r>
    </w:p>
    <w:p>
      <w:pPr>
        <w:snapToGrid w:val="0"/>
        <w:spacing w:line="520" w:lineRule="exact"/>
        <w:ind w:firstLine="560" w:firstLineChars="200"/>
        <w:rPr>
          <w:rFonts w:hint="eastAsia"/>
          <w:lang w:val="en-US" w:eastAsia="zh-CN"/>
        </w:rPr>
      </w:pPr>
      <w:r>
        <w:rPr>
          <w:rFonts w:hint="eastAsia" w:ascii="仿宋_GB2312" w:eastAsia="仿宋_GB2312"/>
          <w:sz w:val="28"/>
          <w:szCs w:val="28"/>
          <w:lang w:val="en-US" w:eastAsia="zh-CN"/>
        </w:rPr>
        <w:t>北京市大兴区天宫院街道办事处是区人民政府的派出机关，受区人民政府领导。依据法律、法规的规定，在街道工委的直接领导下开展工作，在本辖区内行使政府公共服务职能、社会管理职能、城市建设管理职能和促进社会稳定职能，其主要职责是：贯彻执行法律、法规、规章和市、区政府的决定、命令，依法管理基层公共事务；承担辖区市容环境卫生、绿化美化的管理工作，推进街巷长、河长制工作，组织、协调城市管理综合执法和环境秩序综合治理工作，推进城市精细化管理；协助依法履行安全生产、消防安全、食品安全、环境保护、劳动保障、流动人口及出租房屋监督管理工作，承担辖区应急、防汛和防灾减灾工作；参与制定并组织实施社区建设规划和公共服务设施规划，组织辖区单位、居民和志愿者队伍为社区发展服务；负责社区居民委员会建设，指导社区居民委员会工作，培育、发展社区社会组织，指导、监督社区业主委员会；推进居民自治，及时处理并向上级政府反映居民的意见和要求。动员社会力量参与社区治理，推动形成社区共治合力；组织开展群众性文化、体育、科普活动，开展法治宣传和社会公德教育，推动社区公益事业发展；组织开展公共服务，落实人力社保、民政、卫生健康、教育、住房保障、便民服务等政策，维护老年人、妇女、未成年人、残疾人等合法权益；承办区政府交办的其他事项。</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部门整体绩效目标设立情况</w:t>
      </w:r>
    </w:p>
    <w:p>
      <w:pPr>
        <w:tabs>
          <w:tab w:val="center" w:pos="6979"/>
        </w:tabs>
        <w:spacing w:line="580" w:lineRule="exact"/>
        <w:ind w:firstLine="570"/>
        <w:rPr>
          <w:rFonts w:hint="eastAsia"/>
        </w:rPr>
      </w:pPr>
      <w:r>
        <w:rPr>
          <w:rFonts w:hint="eastAsia" w:ascii="仿宋_GB2312" w:eastAsia="仿宋_GB2312"/>
          <w:sz w:val="28"/>
          <w:szCs w:val="28"/>
          <w:lang w:val="en-US" w:eastAsia="zh-CN"/>
        </w:rPr>
        <w:t>项目立项依据充分、立项程序规范、绩效目标合理、绩效指标明确、预算编制科学、资金分配合理。</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（二）当年预算执行情况</w:t>
      </w:r>
    </w:p>
    <w:p>
      <w:pPr>
        <w:snapToGrid w:val="0"/>
        <w:spacing w:line="52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2024年全年预算</w:t>
      </w:r>
      <w:r>
        <w:rPr>
          <w:rFonts w:hint="eastAsia" w:ascii="仿宋_GB2312" w:eastAsia="仿宋_GB2312"/>
          <w:sz w:val="28"/>
          <w:szCs w:val="28"/>
          <w:highlight w:val="none"/>
          <w:lang w:val="en-US" w:eastAsia="zh-CN"/>
        </w:rPr>
        <w:t>数31530.13万元，其中，基本支出预算数3865.57万元，项目支出预算数27664.56万元，其</w:t>
      </w:r>
      <w:r>
        <w:rPr>
          <w:rFonts w:hint="eastAsia" w:ascii="仿宋_GB2312" w:eastAsia="仿宋_GB2312"/>
          <w:sz w:val="28"/>
          <w:szCs w:val="28"/>
          <w:lang w:val="en-US" w:eastAsia="zh-CN"/>
        </w:rPr>
        <w:t>他支出预算数0万元。资金总体支出30573.55万元，其中，基本支出3838.44万元，项目支出26735.12万元，其他支出0万元。预算执行率为99.16%。</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（三）整体绩效目标实现情况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任务一完成情况分析</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全年组织开展工委理论学习中心组学习26次，“自上而下”掀起党的二十届三中全会精神宣讲热潮，举办主题宣传教育活动8次，“街里街坊”和高校宣讲报告3次。在《学习强国》《大兴报》等刊发信息800余篇，主流舆论传播有声有色。以“天宫·赋能”行动为引领，开展“专家学者请进来”“干部示范培训班”“入职培训班”等培训27期，教育干部5700余人次。以“五元同心”理念为引领，持续推进天堂河社区改水、改电工程。持续擦亮“天宫当兴”党建品牌，用活、用好党群阵地。深化全市首家卡车司机驿站建设，获评全国“最美户外劳动者服务站点”，并被《前线》杂志报道。天街商圈建设“友好十条”，帮助新就业群体更好融入特大城市治理。</w:t>
      </w:r>
    </w:p>
    <w:p>
      <w:pPr>
        <w:spacing w:line="560" w:lineRule="exact"/>
        <w:ind w:firstLine="560" w:firstLineChars="200"/>
        <w:rPr>
          <w:rFonts w:hint="eastAsia"/>
        </w:rPr>
      </w:pPr>
      <w:r>
        <w:rPr>
          <w:rFonts w:hint="eastAsia" w:ascii="仿宋_GB2312" w:eastAsia="仿宋_GB2312"/>
          <w:sz w:val="28"/>
          <w:szCs w:val="28"/>
        </w:rPr>
        <w:t>坚持全面从严，抓实作风建设。聚焦作风建设年，开展“八小时以外”干部护航计划。把开展党纪学习教育作为重要政治任务，以“五学”法开展集中学习、专题研讨共8次，召开“以案为鉴、以案促改”警示教育大会暨党纪学习教育专题党课、参观天河监狱，多形式开展警示教育。</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rPr>
        <w:t>任务二实现情况分析</w:t>
      </w:r>
    </w:p>
    <w:p>
      <w:pPr>
        <w:spacing w:line="560" w:lineRule="exact"/>
        <w:ind w:firstLine="560" w:firstLineChars="200"/>
        <w:rPr>
          <w:rFonts w:hint="eastAsia"/>
          <w:lang w:eastAsia="zh-CN"/>
        </w:rPr>
      </w:pPr>
      <w:r>
        <w:rPr>
          <w:rFonts w:hint="eastAsia" w:ascii="仿宋_GB2312" w:eastAsia="仿宋_GB2312"/>
          <w:sz w:val="28"/>
          <w:szCs w:val="28"/>
          <w:lang w:eastAsia="zh-CN"/>
        </w:rPr>
        <w:t>实现财政收入1.35亿元，积极争取国家级和市级政策支持，推动京南物流基地城郊大仓建设，提升京南物流基地储备能力。聚焦京南物流基地转型升级，举办2024现代物流新质生产力发展专题活动，持续探索新模式、新技术、新业态，为“产业大兴”建设贡献“天宫院”力量。围绕“五个一”工程，组织各类政企交流活动9场，引入具有新质生产力特点的优质企业共11家。组建智库实现顶层设计，“一点天宫”新质生产力培育平台科技赋能，开展“企城天宫”营商品牌专场活动10场，吸引更多新质生产力企业走进天宫院，凝聚发展共识。</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3、任务三实现情况分析</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完善《天宫院街道12345“接诉即办”工作制度》，实现了紧急事件“未诉先办”零诉求。坚持“您扫我办 马上就办”工作机制，推动落实“三个一”工程。全力推进基层减负工作，制定实务指导手册，规范社区内部、外部标识牌子和荣誉展陈。以“三加”社会工作服务助推基层社区治理能力提升，形成“一中心十八站”的“街道—社区”二级开放式社会工作服务平台体系。</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成立全区首个街道文联，新时代文明实践所获评大兴区“双50”文明实践工程优秀阵地。开展非遗文化进商圈、诗词少年、跳蚤市集、“天宫之夜”等“文化润天宫”品牌系列活动19场，“科技兴天宫”等主题活动250场，惠及群众8.5万余名。“请进来”“走出去”文化交流学习活动62场次，20余支优秀文艺节目获评市区级荣誉。组织开展冰雪运动、龙舟赛、足球赛等赛事活动54场,促进文体商旅融合升级。打造“一中心四驿站五老年餐桌”养老服务体系，实施“邻里守望”帮扶行动，持续推进高龄失能老人养老照护床位建设，优化居家社区养老服务供给。成立京南首家儿童托育中心，提供寒假托管、父母课堂等多元化服务。打造“天宫暖心政务”品牌，为1543人次通过智能机办理相关业务。在兴宇社区成立天宫院辖区首家家医工作室，家庭医生签约率得到显著提高。</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完成物流大院道路硬化，制定“一院一策”方案，完成五条背街小巷精细化治理提升项目。开展“最美商户”评选活动，为39家优秀企业颁发流动红旗，对40家问题企业进行曝光整改。创新开展“消隐4+N”百日安全执法行动，检查覆盖企业1102家，整改各类问题736项。</w:t>
      </w:r>
    </w:p>
    <w:p>
      <w:pPr>
        <w:spacing w:line="560" w:lineRule="exact"/>
        <w:ind w:firstLine="560" w:firstLineChars="200"/>
        <w:rPr>
          <w:rFonts w:hint="eastAsia"/>
          <w:lang w:eastAsia="zh-CN"/>
        </w:rPr>
      </w:pPr>
      <w:r>
        <w:rPr>
          <w:rFonts w:hint="eastAsia" w:ascii="仿宋_GB2312" w:eastAsia="仿宋_GB2312"/>
          <w:sz w:val="28"/>
          <w:szCs w:val="28"/>
          <w:lang w:eastAsia="zh-CN"/>
        </w:rPr>
        <w:t>深入推进安全生产治本攻坚行动，大力开展安全隐患排查整治、违规电动三四轮车清理等系列专项行动。联合《第三调解室》节目组在“法晓屋”开展线上普法直播活动，持续推进辖区平安建设、法治建设，典型做法在《平安建设工作动态》上专栏刊登。</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（四）预算管理情况分析</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财务管理</w:t>
      </w:r>
    </w:p>
    <w:p>
      <w:pPr>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rPr>
        <w:t>1</w:t>
      </w:r>
      <w:r>
        <w:rPr>
          <w:rFonts w:hint="eastAsia" w:ascii="仿宋_GB2312" w:eastAsia="仿宋_GB2312"/>
          <w:sz w:val="28"/>
          <w:szCs w:val="28"/>
          <w:lang w:eastAsia="zh-CN"/>
        </w:rPr>
        <w:t>）</w:t>
      </w:r>
      <w:r>
        <w:rPr>
          <w:rFonts w:hint="eastAsia" w:ascii="仿宋_GB2312" w:eastAsia="仿宋_GB2312"/>
          <w:sz w:val="28"/>
          <w:szCs w:val="28"/>
        </w:rPr>
        <w:t>财务管理制度健全性</w:t>
      </w:r>
    </w:p>
    <w:p>
      <w:pPr>
        <w:ind w:firstLine="560" w:firstLineChars="200"/>
        <w:rPr>
          <w:rFonts w:hint="eastAsia" w:ascii="仿宋_GB2312" w:eastAsia="仿宋_GB2312"/>
          <w:b w:val="0"/>
          <w:bCs w:val="0"/>
          <w:kern w:val="2"/>
          <w:sz w:val="28"/>
          <w:szCs w:val="28"/>
          <w:lang w:val="en-US" w:eastAsia="zh-CN" w:bidi="ar-SA"/>
        </w:rPr>
      </w:pPr>
      <w:r>
        <w:rPr>
          <w:rFonts w:hint="eastAsia" w:ascii="仿宋_GB2312" w:eastAsia="仿宋_GB2312"/>
          <w:b w:val="0"/>
          <w:bCs w:val="0"/>
          <w:kern w:val="2"/>
          <w:sz w:val="28"/>
          <w:szCs w:val="28"/>
          <w:lang w:val="en-US" w:eastAsia="zh-CN" w:bidi="ar-SA"/>
        </w:rPr>
        <w:t>《预算管理制度》、《预算支出绩效考评管理办法》等各项制度健全；部门内部财务管理制度完善、合规；会计核算制度完整、合规。</w:t>
      </w:r>
    </w:p>
    <w:p>
      <w:pPr>
        <w:numPr>
          <w:ilvl w:val="0"/>
          <w:numId w:val="0"/>
        </w:numPr>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rPr>
        <w:t>资金使用合规性和安全性</w:t>
      </w:r>
    </w:p>
    <w:p>
      <w:pPr>
        <w:numPr>
          <w:ilvl w:val="0"/>
          <w:numId w:val="0"/>
        </w:numPr>
        <w:ind w:firstLine="560" w:firstLineChars="200"/>
        <w:rPr>
          <w:rFonts w:hint="eastAsia" w:ascii="仿宋_GB2312" w:eastAsia="仿宋_GB2312"/>
          <w:b w:val="0"/>
          <w:bCs w:val="0"/>
          <w:kern w:val="2"/>
          <w:sz w:val="28"/>
          <w:szCs w:val="28"/>
          <w:lang w:val="en-US" w:eastAsia="zh-CN" w:bidi="ar-SA"/>
        </w:rPr>
      </w:pPr>
      <w:r>
        <w:rPr>
          <w:rFonts w:hint="eastAsia" w:ascii="仿宋_GB2312" w:eastAsia="仿宋_GB2312"/>
          <w:b w:val="0"/>
          <w:bCs w:val="0"/>
          <w:kern w:val="2"/>
          <w:sz w:val="28"/>
          <w:szCs w:val="28"/>
          <w:lang w:val="en-US" w:eastAsia="zh-CN" w:bidi="ar-SA"/>
        </w:rPr>
        <w:t>符合国家财经法规和财务管理制度规定以及有关专项资金管理办法的规定；资金的拨付有完整的审批程序和手续；项目的重大开支经过集体研究决策；符合部门预算批复的用途；不存在截留、挤占、挪用情况；资金使用符合采购管理制度；资金使用符合公务卡结算相关制度和规定。</w:t>
      </w:r>
    </w:p>
    <w:p>
      <w:pPr>
        <w:numPr>
          <w:ilvl w:val="0"/>
          <w:numId w:val="0"/>
        </w:numPr>
        <w:ind w:firstLine="560" w:firstLineChars="200"/>
        <w:rPr>
          <w:rFonts w:hint="eastAsia"/>
        </w:rPr>
      </w:pPr>
      <w:r>
        <w:rPr>
          <w:rFonts w:hint="eastAsia" w:ascii="仿宋_GB2312" w:eastAsia="仿宋_GB2312"/>
          <w:sz w:val="28"/>
          <w:szCs w:val="28"/>
          <w:lang w:eastAsia="zh-CN"/>
        </w:rPr>
        <w:t>（</w:t>
      </w:r>
      <w:r>
        <w:rPr>
          <w:rFonts w:hint="eastAsia" w:ascii="仿宋_GB2312" w:eastAsia="仿宋_GB2312"/>
          <w:sz w:val="28"/>
          <w:szCs w:val="28"/>
          <w:lang w:val="en-US" w:eastAsia="zh-CN"/>
        </w:rPr>
        <w:t>3）</w:t>
      </w:r>
      <w:r>
        <w:rPr>
          <w:rFonts w:hint="eastAsia" w:ascii="仿宋_GB2312" w:eastAsia="仿宋_GB2312"/>
          <w:sz w:val="28"/>
          <w:szCs w:val="28"/>
        </w:rPr>
        <w:t>会计基础信息完善性</w:t>
      </w:r>
    </w:p>
    <w:p>
      <w:pPr>
        <w:numPr>
          <w:ilvl w:val="0"/>
          <w:numId w:val="0"/>
        </w:numPr>
        <w:ind w:firstLine="560" w:firstLineChars="200"/>
        <w:rPr>
          <w:rFonts w:hint="eastAsia"/>
        </w:rPr>
      </w:pPr>
      <w:r>
        <w:rPr>
          <w:rFonts w:hint="eastAsia" w:ascii="仿宋_GB2312" w:eastAsia="仿宋_GB2312"/>
          <w:b w:val="0"/>
          <w:bCs w:val="0"/>
          <w:kern w:val="2"/>
          <w:sz w:val="28"/>
          <w:szCs w:val="28"/>
          <w:lang w:val="en-US" w:eastAsia="zh-CN" w:bidi="ar-SA"/>
        </w:rPr>
        <w:t>基础数据信息和会计信息资料真实；基础数据信息和会计信息资料完整；基础数据信息和会计信息资料准确。</w:t>
      </w:r>
    </w:p>
    <w:p>
      <w:pPr>
        <w:numPr>
          <w:ilvl w:val="0"/>
          <w:numId w:val="0"/>
        </w:numPr>
        <w:tabs>
          <w:tab w:val="center" w:pos="6979"/>
        </w:tabs>
        <w:spacing w:line="580" w:lineRule="exact"/>
        <w:ind w:firstLine="560" w:firstLineChars="200"/>
        <w:rPr>
          <w:rFonts w:hint="eastAsia" w:ascii="仿宋_GB2312" w:eastAsia="仿宋_GB2312"/>
          <w:b w:val="0"/>
          <w:bCs w:val="0"/>
          <w:kern w:val="2"/>
          <w:sz w:val="28"/>
          <w:szCs w:val="28"/>
          <w:lang w:val="en-US" w:eastAsia="zh-CN" w:bidi="ar-SA"/>
        </w:rPr>
      </w:pPr>
      <w:r>
        <w:rPr>
          <w:rFonts w:hint="eastAsia" w:ascii="仿宋_GB2312" w:eastAsia="仿宋_GB2312"/>
          <w:sz w:val="28"/>
          <w:szCs w:val="28"/>
          <w:lang w:val="en-US" w:eastAsia="zh-CN"/>
        </w:rPr>
        <w:t>2、</w:t>
      </w:r>
      <w:r>
        <w:rPr>
          <w:rFonts w:hint="eastAsia" w:ascii="仿宋_GB2312" w:eastAsia="仿宋_GB2312"/>
          <w:sz w:val="28"/>
          <w:szCs w:val="28"/>
        </w:rPr>
        <w:t>资产管理</w:t>
      </w:r>
    </w:p>
    <w:p>
      <w:pPr>
        <w:numPr>
          <w:ilvl w:val="0"/>
          <w:numId w:val="0"/>
        </w:numPr>
        <w:tabs>
          <w:tab w:val="center" w:pos="6979"/>
        </w:tabs>
        <w:spacing w:line="580" w:lineRule="exact"/>
        <w:ind w:firstLine="560" w:firstLineChars="200"/>
        <w:rPr>
          <w:rFonts w:hint="eastAsia" w:ascii="仿宋_GB2312" w:eastAsia="仿宋_GB2312"/>
          <w:b w:val="0"/>
          <w:bCs w:val="0"/>
          <w:kern w:val="2"/>
          <w:sz w:val="28"/>
          <w:szCs w:val="28"/>
          <w:lang w:val="en-US" w:eastAsia="zh-CN" w:bidi="ar-SA"/>
        </w:rPr>
      </w:pPr>
      <w:r>
        <w:rPr>
          <w:rFonts w:hint="eastAsia" w:ascii="仿宋_GB2312" w:eastAsia="仿宋_GB2312"/>
          <w:b w:val="0"/>
          <w:bCs w:val="0"/>
          <w:kern w:val="2"/>
          <w:sz w:val="28"/>
          <w:szCs w:val="28"/>
          <w:lang w:val="en-US" w:eastAsia="zh-CN" w:bidi="ar-SA"/>
        </w:rPr>
        <w:t>没有因管理不当发生严重资产损失和丢失情况；不存在超标准配置资产；资产使用规范，不存在未经批准擅自出租、出借资产行为；资产处置是规范，不存在不按要求进行报批或资产不公开处置行为。</w:t>
      </w:r>
    </w:p>
    <w:p>
      <w:pPr>
        <w:numPr>
          <w:ilvl w:val="0"/>
          <w:numId w:val="0"/>
        </w:numPr>
        <w:tabs>
          <w:tab w:val="center" w:pos="6979"/>
        </w:tabs>
        <w:spacing w:line="580" w:lineRule="exact"/>
        <w:ind w:firstLine="560" w:firstLineChars="200"/>
        <w:rPr>
          <w:rFonts w:hint="eastAsia" w:ascii="仿宋_GB2312" w:eastAsia="仿宋_GB2312"/>
          <w:b w:val="0"/>
          <w:bCs w:val="0"/>
          <w:kern w:val="2"/>
          <w:sz w:val="28"/>
          <w:szCs w:val="28"/>
          <w:lang w:val="en-US" w:eastAsia="zh-CN" w:bidi="ar-SA"/>
        </w:rPr>
      </w:pPr>
      <w:r>
        <w:rPr>
          <w:rFonts w:hint="eastAsia" w:ascii="仿宋_GB2312" w:eastAsia="仿宋_GB2312"/>
          <w:sz w:val="28"/>
          <w:szCs w:val="28"/>
          <w:lang w:val="en-US" w:eastAsia="zh-CN"/>
        </w:rPr>
        <w:t>3、</w:t>
      </w:r>
      <w:r>
        <w:rPr>
          <w:rFonts w:hint="eastAsia" w:ascii="仿宋_GB2312" w:eastAsia="仿宋_GB2312"/>
          <w:sz w:val="28"/>
          <w:szCs w:val="28"/>
        </w:rPr>
        <w:t>绩效管理</w:t>
      </w:r>
    </w:p>
    <w:p>
      <w:pPr>
        <w:numPr>
          <w:ilvl w:val="0"/>
          <w:numId w:val="0"/>
        </w:numPr>
        <w:tabs>
          <w:tab w:val="center" w:pos="6979"/>
        </w:tabs>
        <w:spacing w:line="580" w:lineRule="exact"/>
        <w:ind w:firstLine="560" w:firstLineChars="200"/>
        <w:rPr>
          <w:rFonts w:hint="eastAsia" w:ascii="仿宋_GB2312" w:eastAsia="仿宋_GB2312"/>
          <w:b w:val="0"/>
          <w:bCs w:val="0"/>
          <w:kern w:val="2"/>
          <w:sz w:val="28"/>
          <w:szCs w:val="28"/>
          <w:lang w:val="en-US" w:eastAsia="zh-CN" w:bidi="ar-SA"/>
        </w:rPr>
      </w:pPr>
      <w:r>
        <w:rPr>
          <w:rFonts w:hint="eastAsia" w:ascii="仿宋_GB2312" w:eastAsia="仿宋_GB2312"/>
          <w:b w:val="0"/>
          <w:bCs w:val="0"/>
          <w:kern w:val="2"/>
          <w:sz w:val="28"/>
          <w:szCs w:val="28"/>
          <w:lang w:val="en-US" w:eastAsia="zh-CN" w:bidi="ar-SA"/>
        </w:rPr>
        <w:t>及时对绩效信息进行汇总分析整理；对绩效目标偏离情况及时进行矫正。</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部门预决算差异率</w:t>
      </w:r>
    </w:p>
    <w:p>
      <w:pPr>
        <w:spacing w:line="560" w:lineRule="exact"/>
        <w:ind w:firstLine="560" w:firstLineChars="200"/>
        <w:rPr>
          <w:rFonts w:hint="eastAsia"/>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w:t>
      </w:r>
      <w:r>
        <w:rPr>
          <w:rFonts w:hint="eastAsia" w:ascii="仿宋_GB2312" w:eastAsia="仿宋_GB2312"/>
          <w:sz w:val="28"/>
          <w:szCs w:val="28"/>
          <w:highlight w:val="none"/>
          <w:lang w:val="en-US" w:eastAsia="zh-CN"/>
        </w:rPr>
        <w:t>全年</w:t>
      </w:r>
      <w:r>
        <w:rPr>
          <w:rFonts w:hint="eastAsia" w:ascii="仿宋_GB2312" w:eastAsia="仿宋_GB2312"/>
          <w:sz w:val="28"/>
          <w:szCs w:val="28"/>
          <w:highlight w:val="none"/>
        </w:rPr>
        <w:t>预算数</w:t>
      </w:r>
      <w:r>
        <w:rPr>
          <w:rFonts w:hint="eastAsia" w:ascii="仿宋_GB2312" w:eastAsia="仿宋_GB2312"/>
          <w:sz w:val="28"/>
          <w:szCs w:val="28"/>
          <w:highlight w:val="none"/>
          <w:lang w:val="en-US" w:eastAsia="zh-CN"/>
        </w:rPr>
        <w:t>31530.13</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2024年部门决算数30573.55</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部门预决算差异率</w:t>
      </w:r>
      <w:r>
        <w:rPr>
          <w:rFonts w:hint="eastAsia" w:ascii="仿宋_GB2312" w:eastAsia="仿宋_GB2312"/>
          <w:sz w:val="28"/>
          <w:szCs w:val="28"/>
          <w:highlight w:val="none"/>
        </w:rPr>
        <w:t>为</w:t>
      </w:r>
      <w:r>
        <w:rPr>
          <w:rFonts w:hint="eastAsia" w:ascii="仿宋_GB2312" w:eastAsia="仿宋_GB2312"/>
          <w:sz w:val="28"/>
          <w:szCs w:val="28"/>
          <w:highlight w:val="none"/>
          <w:lang w:val="en-US" w:eastAsia="zh-CN"/>
        </w:rPr>
        <w:t>3.03</w:t>
      </w:r>
      <w:r>
        <w:rPr>
          <w:rFonts w:hint="eastAsia" w:ascii="仿宋_GB2312" w:eastAsia="仿宋_GB2312"/>
          <w:sz w:val="28"/>
          <w:szCs w:val="28"/>
          <w:highlight w:val="none"/>
        </w:rPr>
        <w:t>%。</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(五)总体评价结论</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评价得分情况</w:t>
      </w:r>
    </w:p>
    <w:p>
      <w:pPr>
        <w:tabs>
          <w:tab w:val="center" w:pos="6979"/>
        </w:tabs>
        <w:spacing w:line="580" w:lineRule="exact"/>
        <w:ind w:firstLine="560" w:firstLineChars="200"/>
        <w:rPr>
          <w:rFonts w:hint="eastAsia"/>
        </w:rPr>
      </w:pPr>
      <w:r>
        <w:rPr>
          <w:rFonts w:hint="eastAsia" w:ascii="仿宋_GB2312" w:eastAsia="仿宋_GB2312"/>
          <w:color w:val="auto"/>
          <w:sz w:val="28"/>
          <w:szCs w:val="28"/>
          <w:lang w:val="en-US" w:eastAsia="zh-CN"/>
        </w:rPr>
        <w:t>当年预算执行情况19.39分，整体绩效目标实现情况60分，预算管理情况19.2分；合计98.59</w:t>
      </w:r>
      <w:bookmarkStart w:id="28" w:name="_GoBack"/>
      <w:bookmarkEnd w:id="28"/>
      <w:r>
        <w:rPr>
          <w:rFonts w:hint="eastAsia" w:ascii="仿宋_GB2312" w:eastAsia="仿宋_GB2312"/>
          <w:color w:val="auto"/>
          <w:sz w:val="28"/>
          <w:szCs w:val="28"/>
          <w:lang w:val="en-US" w:eastAsia="zh-CN"/>
        </w:rPr>
        <w:t>分。</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存在的问题及原因分析</w:t>
      </w:r>
    </w:p>
    <w:p>
      <w:pPr>
        <w:numPr>
          <w:ilvl w:val="0"/>
          <w:numId w:val="0"/>
        </w:numPr>
        <w:tabs>
          <w:tab w:val="center" w:pos="6979"/>
        </w:tabs>
        <w:spacing w:line="580" w:lineRule="exact"/>
        <w:ind w:firstLine="560" w:firstLineChars="200"/>
        <w:rPr>
          <w:rFonts w:hint="eastAsia" w:ascii="仿宋_GB2312" w:eastAsia="仿宋_GB2312"/>
          <w:b w:val="0"/>
          <w:bCs w:val="0"/>
          <w:kern w:val="2"/>
          <w:sz w:val="28"/>
          <w:szCs w:val="28"/>
          <w:lang w:val="en-US" w:eastAsia="zh-CN" w:bidi="ar-SA"/>
        </w:rPr>
      </w:pPr>
      <w:r>
        <w:rPr>
          <w:rFonts w:hint="eastAsia" w:ascii="仿宋_GB2312" w:eastAsia="仿宋_GB2312"/>
          <w:b w:val="0"/>
          <w:bCs w:val="0"/>
          <w:kern w:val="2"/>
          <w:sz w:val="28"/>
          <w:szCs w:val="28"/>
          <w:lang w:val="en-US" w:eastAsia="zh-CN" w:bidi="ar-SA"/>
        </w:rPr>
        <w:t>一是基层财务工作繁重，专业人员短缺，特别是绩效评价工作逐步规范，工作要求和工作内容加重，人员专业性需加强培训。</w:t>
      </w:r>
    </w:p>
    <w:p>
      <w:pPr>
        <w:numPr>
          <w:ilvl w:val="0"/>
          <w:numId w:val="0"/>
        </w:numPr>
        <w:tabs>
          <w:tab w:val="center" w:pos="6979"/>
        </w:tabs>
        <w:spacing w:line="580" w:lineRule="exact"/>
        <w:ind w:firstLine="560" w:firstLineChars="200"/>
        <w:rPr>
          <w:rFonts w:hint="eastAsia"/>
        </w:rPr>
      </w:pPr>
      <w:r>
        <w:rPr>
          <w:rFonts w:hint="eastAsia" w:ascii="仿宋_GB2312" w:eastAsia="仿宋_GB2312"/>
          <w:b w:val="0"/>
          <w:bCs w:val="0"/>
          <w:kern w:val="2"/>
          <w:sz w:val="28"/>
          <w:szCs w:val="28"/>
          <w:lang w:val="en-US" w:eastAsia="zh-CN" w:bidi="ar-SA"/>
        </w:rPr>
        <w:t>二是和专业社会评价力量对接不够，开展预算事前绩效评估和政策类项目绩效评价还存在较大困难。</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（六）措施建议</w:t>
      </w:r>
    </w:p>
    <w:p>
      <w:pPr>
        <w:numPr>
          <w:ilvl w:val="0"/>
          <w:numId w:val="0"/>
        </w:numPr>
        <w:tabs>
          <w:tab w:val="center" w:pos="6979"/>
        </w:tabs>
        <w:spacing w:line="580" w:lineRule="exact"/>
        <w:ind w:firstLine="560" w:firstLineChars="200"/>
        <w:rPr>
          <w:rFonts w:hint="eastAsia" w:ascii="仿宋_GB2312" w:eastAsia="仿宋_GB2312"/>
          <w:b w:val="0"/>
          <w:bCs w:val="0"/>
          <w:kern w:val="2"/>
          <w:sz w:val="28"/>
          <w:szCs w:val="28"/>
          <w:lang w:val="en-US" w:eastAsia="zh-CN" w:bidi="ar-SA"/>
        </w:rPr>
      </w:pPr>
      <w:r>
        <w:rPr>
          <w:rFonts w:hint="eastAsia" w:ascii="仿宋_GB2312" w:eastAsia="仿宋_GB2312"/>
          <w:b w:val="0"/>
          <w:bCs w:val="0"/>
          <w:kern w:val="2"/>
          <w:sz w:val="28"/>
          <w:szCs w:val="28"/>
          <w:lang w:val="en-US" w:eastAsia="zh-CN" w:bidi="ar-SA"/>
        </w:rPr>
        <w:t>加强人员培训，同时引入专业的社会力量，提升人员综合素质与业务水平。进一步加强预算绩效管理，确保财政资源高效配置，增强财政可持续性。</w:t>
      </w:r>
    </w:p>
    <w:tbl>
      <w:tblPr>
        <w:tblStyle w:val="15"/>
        <w:tblW w:w="14174" w:type="dxa"/>
        <w:tblInd w:w="0" w:type="dxa"/>
        <w:tblLayout w:type="fixed"/>
        <w:tblCellMar>
          <w:top w:w="0" w:type="dxa"/>
          <w:left w:w="108" w:type="dxa"/>
          <w:bottom w:w="0" w:type="dxa"/>
          <w:right w:w="108" w:type="dxa"/>
        </w:tblCellMar>
      </w:tblPr>
      <w:tblGrid>
        <w:gridCol w:w="1100"/>
        <w:gridCol w:w="1100"/>
        <w:gridCol w:w="1375"/>
        <w:gridCol w:w="3050"/>
        <w:gridCol w:w="3507"/>
        <w:gridCol w:w="1012"/>
        <w:gridCol w:w="1060"/>
        <w:gridCol w:w="658"/>
        <w:gridCol w:w="687"/>
        <w:gridCol w:w="625"/>
      </w:tblGrid>
      <w:tr>
        <w:tblPrEx>
          <w:tblLayout w:type="fixed"/>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2024年度部门整体绩效评价表</w:t>
            </w:r>
          </w:p>
        </w:tc>
      </w:tr>
      <w:tr>
        <w:tblPrEx>
          <w:tblLayout w:type="fixed"/>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cs="宋体"/>
                <w:b/>
                <w:bCs/>
                <w:color w:val="000000"/>
                <w:szCs w:val="21"/>
              </w:rPr>
            </w:pPr>
            <w:r>
              <w:rPr>
                <w:rFonts w:hint="eastAsia" w:ascii="宋体" w:hAnsi="宋体" w:cs="宋体"/>
                <w:b/>
                <w:bCs/>
                <w:color w:val="000000"/>
                <w:kern w:val="0"/>
                <w:szCs w:val="21"/>
                <w:lang w:bidi="ar"/>
              </w:rPr>
              <w:t>一、当年预算执行情况（20分）</w:t>
            </w:r>
          </w:p>
        </w:tc>
      </w:tr>
      <w:tr>
        <w:tblPrEx>
          <w:tblLayout w:type="fixed"/>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一级指标</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二级指标</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三级指标</w:t>
            </w:r>
          </w:p>
        </w:tc>
        <w:tc>
          <w:tcPr>
            <w:tcW w:w="30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指标解释</w:t>
            </w:r>
          </w:p>
        </w:tc>
        <w:tc>
          <w:tcPr>
            <w:tcW w:w="35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评分标准</w:t>
            </w:r>
          </w:p>
        </w:tc>
        <w:tc>
          <w:tcPr>
            <w:tcW w:w="101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预算数（万元）</w:t>
            </w:r>
          </w:p>
        </w:tc>
        <w:tc>
          <w:tcPr>
            <w:tcW w:w="10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执行数（万元）</w:t>
            </w:r>
          </w:p>
        </w:tc>
        <w:tc>
          <w:tcPr>
            <w:tcW w:w="6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分值</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得分率</w:t>
            </w:r>
          </w:p>
        </w:tc>
        <w:tc>
          <w:tcPr>
            <w:tcW w:w="62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w:t>
            </w:r>
          </w:p>
        </w:tc>
      </w:tr>
      <w:tr>
        <w:tblPrEx>
          <w:tblLayout w:type="fixed"/>
          <w:tblCellMar>
            <w:top w:w="0" w:type="dxa"/>
            <w:left w:w="108" w:type="dxa"/>
            <w:bottom w:w="0" w:type="dxa"/>
            <w:right w:w="108" w:type="dxa"/>
          </w:tblCellMar>
        </w:tblPrEx>
        <w:trPr>
          <w:trHeight w:val="1796"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当年预算执行情况</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（20分）</w:t>
            </w:r>
          </w:p>
        </w:tc>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当年预算执行情况（20）</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资金总体</w:t>
            </w:r>
          </w:p>
        </w:tc>
        <w:tc>
          <w:tcPr>
            <w:tcW w:w="305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部门全年执行数与全年预算数的比率。资金总体=基本支出+项目支出+其他</w:t>
            </w:r>
          </w:p>
        </w:tc>
        <w:tc>
          <w:tcPr>
            <w:tcW w:w="350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①得分一档最高不能超过该指标分值上限（20分）。</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②该指标若为正向指标，得分计算方法为：执行数/预算数*20；</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③该指标得分计算资金总体即可，分类支出填写预算数及执行数，无需计算分项执行率；</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12" w:type="dxa"/>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31530.132069</w:t>
            </w:r>
          </w:p>
        </w:tc>
        <w:tc>
          <w:tcPr>
            <w:tcW w:w="1060" w:type="dxa"/>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30573.554496</w:t>
            </w:r>
          </w:p>
        </w:tc>
        <w:tc>
          <w:tcPr>
            <w:tcW w:w="6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20</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96.97%</w:t>
            </w:r>
          </w:p>
        </w:tc>
        <w:tc>
          <w:tcPr>
            <w:tcW w:w="62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19.39</w:t>
            </w:r>
          </w:p>
        </w:tc>
      </w:tr>
      <w:tr>
        <w:tblPrEx>
          <w:tblLayout w:type="fixed"/>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100" w:type="dxa"/>
            <w:vMerge w:val="continue"/>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基本支出</w:t>
            </w:r>
          </w:p>
        </w:tc>
        <w:tc>
          <w:tcPr>
            <w:tcW w:w="3050" w:type="dxa"/>
            <w:vMerge w:val="continue"/>
            <w:tcBorders>
              <w:top w:val="single" w:color="auto"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3507" w:type="dxa"/>
            <w:vMerge w:val="continue"/>
            <w:tcBorders>
              <w:top w:val="single" w:color="auto"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1012" w:type="dxa"/>
            <w:tcBorders>
              <w:top w:val="single" w:color="auto"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2"/>
                <w:szCs w:val="22"/>
              </w:rPr>
            </w:pPr>
            <w:r>
              <w:rPr>
                <w:rFonts w:hint="eastAsia" w:ascii="宋体" w:hAnsi="宋体" w:cs="宋体"/>
                <w:i w:val="0"/>
                <w:iCs w:val="0"/>
                <w:color w:val="000000"/>
                <w:sz w:val="21"/>
                <w:szCs w:val="21"/>
                <w:highlight w:val="none"/>
                <w:u w:val="none"/>
                <w:lang w:val="en-US" w:eastAsia="zh-CN"/>
              </w:rPr>
              <w:t>3865.568927</w:t>
            </w:r>
          </w:p>
        </w:tc>
        <w:tc>
          <w:tcPr>
            <w:tcW w:w="1060" w:type="dxa"/>
            <w:tcBorders>
              <w:top w:val="single" w:color="auto" w:sz="4" w:space="0"/>
              <w:left w:val="single" w:color="000000" w:sz="4" w:space="0"/>
              <w:bottom w:val="single" w:color="000000" w:sz="4" w:space="0"/>
              <w:right w:val="single" w:color="000000" w:sz="4" w:space="0"/>
            </w:tcBorders>
            <w:vAlign w:val="center"/>
          </w:tcPr>
          <w:p>
            <w:pP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3838.437729</w:t>
            </w:r>
          </w:p>
        </w:tc>
        <w:tc>
          <w:tcPr>
            <w:tcW w:w="658" w:type="dxa"/>
            <w:vMerge w:val="continue"/>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87" w:type="dxa"/>
            <w:vMerge w:val="restart"/>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625" w:type="dxa"/>
            <w:vMerge w:val="continue"/>
            <w:tcBorders>
              <w:top w:val="single" w:color="auto" w:sz="4" w:space="0"/>
              <w:left w:val="single" w:color="000000" w:sz="4" w:space="0"/>
              <w:bottom w:val="single" w:color="000000" w:sz="4" w:space="0"/>
              <w:right w:val="single" w:color="auto" w:sz="4" w:space="0"/>
            </w:tcBorders>
            <w:vAlign w:val="center"/>
          </w:tcPr>
          <w:p>
            <w:pPr>
              <w:jc w:val="center"/>
              <w:rPr>
                <w:rFonts w:hint="eastAsia" w:ascii="宋体" w:hAnsi="宋体" w:cs="宋体"/>
                <w:color w:val="000000"/>
                <w:szCs w:val="21"/>
              </w:rPr>
            </w:pPr>
          </w:p>
        </w:tc>
      </w:tr>
      <w:tr>
        <w:tblPrEx>
          <w:tblLayout w:type="fixed"/>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项目支出</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3507"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1012"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27664.563142</w:t>
            </w:r>
          </w:p>
        </w:tc>
        <w:tc>
          <w:tcPr>
            <w:tcW w:w="106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26735.116767</w:t>
            </w:r>
          </w:p>
        </w:tc>
        <w:tc>
          <w:tcPr>
            <w:tcW w:w="6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cs="宋体"/>
                <w:color w:val="000000"/>
                <w:szCs w:val="21"/>
              </w:rPr>
            </w:pPr>
          </w:p>
        </w:tc>
      </w:tr>
      <w:tr>
        <w:tblPrEx>
          <w:tblLayout w:type="fixed"/>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其他</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3507"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1012"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2"/>
                <w:szCs w:val="22"/>
              </w:rPr>
            </w:pPr>
          </w:p>
        </w:tc>
        <w:tc>
          <w:tcPr>
            <w:tcW w:w="106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2"/>
                <w:szCs w:val="22"/>
              </w:rPr>
            </w:pPr>
          </w:p>
        </w:tc>
        <w:tc>
          <w:tcPr>
            <w:tcW w:w="6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cs="宋体"/>
                <w:color w:val="000000"/>
                <w:szCs w:val="21"/>
              </w:rPr>
            </w:pPr>
          </w:p>
        </w:tc>
      </w:tr>
      <w:tr>
        <w:tblPrEx>
          <w:tblLayout w:type="fixed"/>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1104" w:type="dxa"/>
            <w:gridSpan w:val="6"/>
            <w:tcBorders>
              <w:top w:val="single" w:color="000000" w:sz="4" w:space="0"/>
              <w:left w:val="single" w:color="000000" w:sz="4" w:space="0"/>
              <w:bottom w:val="single" w:color="000000" w:sz="4" w:space="0"/>
              <w:right w:val="nil"/>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小计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20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color w:val="000000"/>
                <w:szCs w:val="21"/>
              </w:rPr>
            </w:pPr>
            <w:r>
              <w:rPr>
                <w:rFonts w:hint="eastAsia" w:ascii="宋体" w:hAnsi="宋体" w:cs="宋体"/>
                <w:color w:val="000000"/>
                <w:kern w:val="0"/>
                <w:szCs w:val="21"/>
                <w:lang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color w:val="000000"/>
                <w:szCs w:val="21"/>
                <w:lang w:val="en-US" w:eastAsia="zh-CN"/>
              </w:rPr>
            </w:pPr>
            <w:r>
              <w:rPr>
                <w:rFonts w:hint="eastAsia" w:ascii="宋体" w:hAnsi="宋体" w:cs="宋体"/>
                <w:b/>
                <w:bCs/>
                <w:color w:val="000000"/>
                <w:szCs w:val="21"/>
                <w:lang w:val="en-US" w:eastAsia="zh-CN"/>
              </w:rPr>
              <w:t>19.39</w:t>
            </w:r>
          </w:p>
        </w:tc>
      </w:tr>
      <w:tr>
        <w:tblPrEx>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b/>
                <w:bCs/>
                <w:color w:val="000000"/>
                <w:szCs w:val="21"/>
              </w:rPr>
            </w:pPr>
            <w:r>
              <w:rPr>
                <w:rFonts w:hint="eastAsia" w:ascii="宋体" w:hAnsi="宋体" w:cs="宋体"/>
                <w:b/>
                <w:bCs/>
                <w:color w:val="000000"/>
                <w:kern w:val="0"/>
                <w:szCs w:val="21"/>
                <w:lang w:bidi="ar"/>
              </w:rPr>
              <w:t>二、整体绩效目标实现情况（60分）</w:t>
            </w:r>
          </w:p>
        </w:tc>
      </w:tr>
      <w:tr>
        <w:tblPrEx>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任务名称</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指标名称</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指标内容和指标值</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年度完成情况</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w:t>
            </w:r>
          </w:p>
        </w:tc>
      </w:tr>
      <w:tr>
        <w:tblPrEx>
          <w:tblLayout w:type="fixed"/>
          <w:tblCellMar>
            <w:top w:w="0" w:type="dxa"/>
            <w:left w:w="108" w:type="dxa"/>
            <w:bottom w:w="0" w:type="dxa"/>
            <w:right w:w="108" w:type="dxa"/>
          </w:tblCellMar>
        </w:tblPrEx>
        <w:trPr>
          <w:trHeight w:val="600"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整体绩效目标实现情况（60分）</w:t>
            </w:r>
          </w:p>
        </w:tc>
        <w:tc>
          <w:tcPr>
            <w:tcW w:w="1100" w:type="dxa"/>
            <w:vMerge w:val="restart"/>
            <w:tcBorders>
              <w:top w:val="single" w:color="000000" w:sz="4" w:space="0"/>
              <w:left w:val="single" w:color="auto"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kern w:val="0"/>
                <w:sz w:val="20"/>
                <w:szCs w:val="20"/>
                <w:lang w:eastAsia="zh-CN"/>
              </w:rPr>
              <w:t>党建工作</w:t>
            </w:r>
          </w:p>
        </w:tc>
        <w:tc>
          <w:tcPr>
            <w:tcW w:w="1375" w:type="dxa"/>
            <w:tcBorders>
              <w:top w:val="single" w:color="000000" w:sz="4" w:space="0"/>
              <w:left w:val="single" w:color="000000" w:sz="4" w:space="0"/>
              <w:bottom w:val="single" w:color="000000" w:sz="4" w:space="0"/>
              <w:right w:val="single" w:color="000000" w:sz="4" w:space="0"/>
            </w:tcBorders>
            <w:vAlign w:val="center"/>
          </w:tcPr>
          <w:p>
            <w:pPr>
              <w:numPr>
                <w:ilvl w:val="0"/>
                <w:numId w:val="0"/>
              </w:numPr>
              <w:ind w:left="0" w:leftChars="0" w:firstLine="0" w:firstLineChars="0"/>
              <w:jc w:val="center"/>
              <w:rPr>
                <w:rFonts w:hint="eastAsia" w:ascii="宋体" w:hAnsi="宋体" w:cs="宋体"/>
                <w:color w:val="000000"/>
                <w:szCs w:val="21"/>
              </w:rPr>
            </w:pPr>
            <w:r>
              <w:rPr>
                <w:rFonts w:hint="eastAsia" w:ascii="宋体" w:hAnsi="宋体" w:cs="宋体"/>
                <w:kern w:val="0"/>
                <w:sz w:val="20"/>
                <w:szCs w:val="20"/>
              </w:rPr>
              <w:t>持续强化思想理论武装</w:t>
            </w:r>
          </w:p>
        </w:tc>
        <w:tc>
          <w:tcPr>
            <w:tcW w:w="3050" w:type="dxa"/>
            <w:tcBorders>
              <w:top w:val="single" w:color="000000" w:sz="4" w:space="0"/>
              <w:left w:val="single" w:color="000000" w:sz="4" w:space="0"/>
              <w:bottom w:val="single" w:color="000000" w:sz="4" w:space="0"/>
              <w:right w:val="single" w:color="000000" w:sz="4" w:space="0"/>
            </w:tcBorders>
            <w:vAlign w:val="center"/>
          </w:tcPr>
          <w:p>
            <w:pPr>
              <w:numPr>
                <w:ilvl w:val="0"/>
                <w:numId w:val="0"/>
              </w:numPr>
              <w:ind w:left="0" w:leftChars="0" w:firstLine="0" w:firstLineChars="0"/>
              <w:jc w:val="center"/>
              <w:rPr>
                <w:rFonts w:hint="eastAsia" w:ascii="宋体" w:hAnsi="宋体" w:cs="宋体"/>
                <w:color w:val="000000"/>
                <w:szCs w:val="21"/>
              </w:rPr>
            </w:pPr>
            <w:r>
              <w:rPr>
                <w:rFonts w:hint="eastAsia" w:ascii="宋体" w:hAnsi="宋体" w:cs="宋体"/>
                <w:kern w:val="0"/>
                <w:sz w:val="20"/>
                <w:szCs w:val="20"/>
              </w:rPr>
              <w:t>巩固主题教育成果，通过建立健全规章制度，持续深化对党的创新理论认识和运用，形成巩固深化主题教育成果的长效机制。严格落实意识形态工作责任制，高标准做好意识形态领域风险研判、处置工作。</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rPr>
              <w:t>全年组织开展工委理论学习中心组学习26次，“自上而下”掀起党的二十届三中全会精神宣讲热潮，举办主题宣传教育活动8次，“街里街坊”和高校宣讲报告3次。在《学习强国》《大兴报》等刊发信息800余篇，主流舆论传播有声有色。</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numPr>
                <w:ilvl w:val="0"/>
                <w:numId w:val="0"/>
              </w:numPr>
              <w:ind w:left="0" w:leftChars="0" w:firstLine="0" w:firstLineChars="0"/>
              <w:jc w:val="center"/>
              <w:rPr>
                <w:rFonts w:hint="eastAsia" w:ascii="宋体" w:hAnsi="宋体" w:cs="宋体"/>
                <w:color w:val="000000"/>
                <w:szCs w:val="21"/>
              </w:rPr>
            </w:pPr>
            <w:r>
              <w:rPr>
                <w:rFonts w:hint="eastAsia" w:ascii="宋体" w:hAnsi="宋体" w:cs="宋体"/>
                <w:kern w:val="0"/>
                <w:sz w:val="20"/>
                <w:szCs w:val="20"/>
              </w:rPr>
              <w:t>加强干部人才队伍建设</w:t>
            </w:r>
          </w:p>
        </w:tc>
        <w:tc>
          <w:tcPr>
            <w:tcW w:w="3050" w:type="dxa"/>
            <w:tcBorders>
              <w:top w:val="single" w:color="000000" w:sz="4" w:space="0"/>
              <w:left w:val="single" w:color="000000" w:sz="4" w:space="0"/>
              <w:bottom w:val="single" w:color="000000" w:sz="4" w:space="0"/>
              <w:right w:val="single" w:color="000000" w:sz="4" w:space="0"/>
            </w:tcBorders>
            <w:vAlign w:val="center"/>
          </w:tcPr>
          <w:p>
            <w:pPr>
              <w:numPr>
                <w:ilvl w:val="0"/>
                <w:numId w:val="0"/>
              </w:numPr>
              <w:ind w:left="0" w:leftChars="0" w:firstLine="0" w:firstLineChars="0"/>
              <w:jc w:val="center"/>
              <w:rPr>
                <w:rFonts w:hint="eastAsia" w:ascii="宋体" w:hAnsi="宋体" w:cs="宋体"/>
                <w:color w:val="000000"/>
                <w:szCs w:val="21"/>
              </w:rPr>
            </w:pPr>
            <w:r>
              <w:rPr>
                <w:rFonts w:hint="eastAsia" w:ascii="宋体" w:hAnsi="宋体" w:cs="宋体"/>
                <w:kern w:val="0"/>
                <w:sz w:val="20"/>
                <w:szCs w:val="20"/>
                <w:lang w:val="en-US" w:eastAsia="zh-CN"/>
              </w:rPr>
              <w:t>深入推进“天宫当兴·赋能”行动，从强化学习培训、多维锻炼、典型选树、机制建设四个方面提升，在重点工作中锤炼干部，通过“搭台引路、蓄力赋能”提升党员干部能力素质。</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rPr>
              <w:t>以“天宫·赋能”行动为引领，开展“专家学者请进来”“干部示范培训班”“入职培训班”等培训27期，教育干部5700余人次。</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numPr>
                <w:ilvl w:val="0"/>
                <w:numId w:val="0"/>
              </w:numPr>
              <w:ind w:left="0" w:leftChars="0" w:firstLine="0" w:firstLineChars="0"/>
              <w:jc w:val="center"/>
              <w:rPr>
                <w:rFonts w:hint="eastAsia" w:ascii="宋体" w:hAnsi="宋体" w:cs="宋体"/>
                <w:color w:val="000000"/>
                <w:szCs w:val="21"/>
              </w:rPr>
            </w:pPr>
            <w:r>
              <w:rPr>
                <w:rFonts w:hint="eastAsia" w:ascii="宋体" w:hAnsi="宋体" w:cs="宋体"/>
                <w:kern w:val="0"/>
                <w:sz w:val="20"/>
                <w:szCs w:val="20"/>
              </w:rPr>
              <w:t>加强党组织规范化建设</w:t>
            </w:r>
          </w:p>
        </w:tc>
        <w:tc>
          <w:tcPr>
            <w:tcW w:w="3050" w:type="dxa"/>
            <w:tcBorders>
              <w:top w:val="single" w:color="000000" w:sz="4" w:space="0"/>
              <w:left w:val="single" w:color="000000" w:sz="4" w:space="0"/>
              <w:bottom w:val="single" w:color="000000" w:sz="4" w:space="0"/>
              <w:right w:val="single" w:color="000000" w:sz="4" w:space="0"/>
            </w:tcBorders>
            <w:vAlign w:val="center"/>
          </w:tcPr>
          <w:p>
            <w:pPr>
              <w:numPr>
                <w:ilvl w:val="0"/>
                <w:numId w:val="0"/>
              </w:numPr>
              <w:ind w:left="0" w:leftChars="0" w:firstLine="0" w:firstLineChars="0"/>
              <w:jc w:val="center"/>
              <w:rPr>
                <w:rFonts w:hint="eastAsia" w:ascii="宋体" w:hAnsi="宋体" w:cs="宋体"/>
                <w:color w:val="000000"/>
                <w:szCs w:val="21"/>
              </w:rPr>
            </w:pPr>
            <w:r>
              <w:rPr>
                <w:rFonts w:hint="eastAsia" w:ascii="宋体" w:hAnsi="宋体" w:cs="宋体"/>
                <w:kern w:val="0"/>
                <w:sz w:val="20"/>
                <w:szCs w:val="20"/>
              </w:rPr>
              <w:t>扎实开展党支部规范化建设，统筹资源抓好区域化党建工作；从机关、“两新”、社区三个层面，加强党务培训，落实党建责任，推动“一社一品”党建品牌擦亮。</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rPr>
              <w:t>以“五元同心”理念为引领，持续推进天堂河社区改水、改电工程。持续擦亮“天宫当兴”党建品牌，用活、用好党群阵地。深化全市首家卡车司机驿站建设，获评全国“最美户外劳动者服务站点”，并被《前线》杂志报道。天街商圈建设“友好十条”，帮助新就业群体更好融入特大城市治理。</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numPr>
                <w:ilvl w:val="0"/>
                <w:numId w:val="0"/>
              </w:numPr>
              <w:ind w:left="0" w:leftChars="0" w:firstLine="0" w:firstLineChars="0"/>
              <w:jc w:val="center"/>
              <w:rPr>
                <w:rFonts w:hint="eastAsia" w:ascii="宋体" w:hAnsi="宋体" w:cs="宋体"/>
                <w:color w:val="000000"/>
                <w:szCs w:val="21"/>
              </w:rPr>
            </w:pPr>
            <w:r>
              <w:rPr>
                <w:rFonts w:hint="eastAsia" w:ascii="宋体" w:hAnsi="宋体" w:cs="宋体"/>
                <w:kern w:val="0"/>
                <w:sz w:val="20"/>
                <w:szCs w:val="20"/>
              </w:rPr>
              <w:t>坚持“严”的主基调</w:t>
            </w:r>
          </w:p>
        </w:tc>
        <w:tc>
          <w:tcPr>
            <w:tcW w:w="3050" w:type="dxa"/>
            <w:tcBorders>
              <w:top w:val="single" w:color="000000" w:sz="4" w:space="0"/>
              <w:left w:val="single" w:color="000000" w:sz="4" w:space="0"/>
              <w:bottom w:val="single" w:color="000000" w:sz="4" w:space="0"/>
              <w:right w:val="single" w:color="000000" w:sz="4" w:space="0"/>
            </w:tcBorders>
            <w:vAlign w:val="center"/>
          </w:tcPr>
          <w:p>
            <w:pPr>
              <w:numPr>
                <w:ilvl w:val="0"/>
                <w:numId w:val="0"/>
              </w:numPr>
              <w:ind w:left="0" w:leftChars="0" w:firstLine="0" w:firstLineChars="0"/>
              <w:jc w:val="center"/>
              <w:rPr>
                <w:rFonts w:hint="eastAsia" w:ascii="宋体" w:hAnsi="宋体" w:cs="宋体"/>
                <w:color w:val="000000"/>
                <w:szCs w:val="21"/>
              </w:rPr>
            </w:pPr>
            <w:r>
              <w:rPr>
                <w:rFonts w:hint="eastAsia" w:ascii="宋体" w:hAnsi="宋体" w:cs="宋体"/>
                <w:kern w:val="0"/>
                <w:sz w:val="20"/>
                <w:szCs w:val="20"/>
                <w:lang w:val="en-US" w:eastAsia="zh-CN"/>
              </w:rPr>
              <w:t>压实全面从严治党主体责任，多渠道、多形式强化干部队伍党性和廉洁教育，打造“勇于担当，善作善成”的天宫院金名片。</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rPr>
              <w:t>坚持全面从严，抓实作风建设。聚焦作风建设年，开展“八小时以外”干部护航计划。把开展党纪学习教育作为重要政治任务，以“五学”法开展集中学习、专题研讨共8次，召开“以案为鉴、以案促改”警示教育大会暨党纪学习教育专题党课、参观天河监狱，多形式开展警示教育。</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restart"/>
            <w:tcBorders>
              <w:top w:val="single" w:color="000000" w:sz="4" w:space="0"/>
              <w:left w:val="single" w:color="auto"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sz w:val="20"/>
                <w:szCs w:val="20"/>
              </w:rPr>
              <w:t>财源建设</w:t>
            </w:r>
            <w:r>
              <w:rPr>
                <w:rFonts w:hint="eastAsia" w:ascii="宋体" w:hAnsi="宋体" w:eastAsia="宋体" w:cs="宋体"/>
                <w:sz w:val="20"/>
                <w:szCs w:val="20"/>
                <w:lang w:eastAsia="zh-CN"/>
              </w:rPr>
              <w:t>工作</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sz w:val="20"/>
                <w:szCs w:val="20"/>
              </w:rPr>
              <w:t>持续打造“天宫”经济品牌</w:t>
            </w:r>
          </w:p>
        </w:tc>
        <w:tc>
          <w:tcPr>
            <w:tcW w:w="3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sz w:val="20"/>
                <w:szCs w:val="20"/>
              </w:rPr>
              <w:t>加强与驻外阜、驻京办的沟通联络，加强存量企业走访，精准提供服务保障，不断强化基础设施营商环境软硬件建设。组织专业系列招商活动，从引入产业高度、签约企业质量、独立政策发布等多维度打造“企城·天宫”经济品牌。</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rPr>
              <w:t>围绕“五个一”工程，组织各类政企交流活动9场，引入具有新质生产力特点的优质企业共11家。组建智库实现顶层设计，“一点天宫”新质生产力培育平台科技赋能，开展“企城天宫”营商品牌专场活动10场，吸引更多新质生产力企业走进天宫院，凝聚发展共识。</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sz w:val="20"/>
                <w:szCs w:val="20"/>
              </w:rPr>
              <w:t>全力抓好财源建设</w:t>
            </w:r>
          </w:p>
        </w:tc>
        <w:tc>
          <w:tcPr>
            <w:tcW w:w="3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sz w:val="20"/>
                <w:szCs w:val="20"/>
              </w:rPr>
              <w:t>着力推进重大项目招引、项目落地、项目服务等创新机制。</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color w:val="000000"/>
                <w:szCs w:val="21"/>
                <w:lang w:eastAsia="zh-CN"/>
              </w:rPr>
            </w:pPr>
            <w:r>
              <w:rPr>
                <w:rFonts w:hint="eastAsia" w:ascii="宋体" w:hAnsi="宋体" w:eastAsia="宋体" w:cs="宋体"/>
                <w:i w:val="0"/>
                <w:iCs w:val="0"/>
                <w:color w:val="000000"/>
                <w:sz w:val="21"/>
                <w:szCs w:val="21"/>
                <w:highlight w:val="none"/>
                <w:u w:val="none"/>
              </w:rPr>
              <w:t>实现财政收入1.35亿元，</w:t>
            </w:r>
            <w:r>
              <w:rPr>
                <w:rFonts w:hint="eastAsia" w:ascii="宋体" w:hAnsi="宋体" w:eastAsia="宋体" w:cs="宋体"/>
                <w:sz w:val="20"/>
                <w:szCs w:val="20"/>
              </w:rPr>
              <w:t>广开税源，实现财政收入正增长</w:t>
            </w:r>
            <w:r>
              <w:rPr>
                <w:rFonts w:hint="eastAsia" w:ascii="宋体" w:hAnsi="宋体" w:cs="宋体"/>
                <w:sz w:val="20"/>
                <w:szCs w:val="20"/>
                <w:lang w:eastAsia="zh-CN"/>
              </w:rPr>
              <w:t>。</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sz w:val="20"/>
                <w:szCs w:val="20"/>
              </w:rPr>
              <w:t>加快推动物流基地转型升级</w:t>
            </w:r>
          </w:p>
        </w:tc>
        <w:tc>
          <w:tcPr>
            <w:tcW w:w="3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sz w:val="20"/>
                <w:szCs w:val="20"/>
              </w:rPr>
              <w:t>以项目落地为抓手，推动物流基地企业转型升级和硬件基础设施的改造</w:t>
            </w:r>
            <w:r>
              <w:rPr>
                <w:rFonts w:hint="eastAsia" w:ascii="宋体" w:hAnsi="宋体" w:cs="宋体"/>
                <w:sz w:val="20"/>
                <w:szCs w:val="20"/>
                <w:lang w:eastAsia="zh-CN"/>
              </w:rPr>
              <w:t>，</w:t>
            </w:r>
            <w:r>
              <w:rPr>
                <w:rFonts w:hint="eastAsia" w:ascii="宋体" w:hAnsi="宋体" w:eastAsia="宋体" w:cs="宋体"/>
                <w:sz w:val="20"/>
                <w:szCs w:val="20"/>
              </w:rPr>
              <w:t>推进物流基地转型升级高质量发展。</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color w:val="000000"/>
                <w:szCs w:val="21"/>
                <w:lang w:eastAsia="zh-CN"/>
              </w:rPr>
            </w:pPr>
            <w:r>
              <w:rPr>
                <w:rFonts w:hint="eastAsia" w:ascii="宋体" w:hAnsi="宋体" w:eastAsia="宋体" w:cs="宋体"/>
                <w:i w:val="0"/>
                <w:iCs w:val="0"/>
                <w:color w:val="000000"/>
                <w:sz w:val="21"/>
                <w:szCs w:val="21"/>
                <w:highlight w:val="none"/>
                <w:u w:val="none"/>
              </w:rPr>
              <w:t>积极争取政策支持，推动京南物流基地城郊大仓建设，提升京南物流基地储备能力。聚焦京南物流基地转型升级，举办2024现代物流新质生产力发展专题活动，持续探索新模式、新技术、新业态，为“产业大兴”建设贡献“天宫院”力量</w:t>
            </w:r>
            <w:r>
              <w:rPr>
                <w:rFonts w:hint="eastAsia" w:ascii="宋体" w:hAnsi="宋体" w:cs="宋体"/>
                <w:i w:val="0"/>
                <w:iCs w:val="0"/>
                <w:color w:val="000000"/>
                <w:sz w:val="21"/>
                <w:szCs w:val="21"/>
                <w:highlight w:val="none"/>
                <w:u w:val="none"/>
                <w:lang w:eastAsia="zh-CN"/>
              </w:rPr>
              <w:t>。</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restart"/>
            <w:tcBorders>
              <w:top w:val="single" w:color="000000" w:sz="4" w:space="0"/>
              <w:left w:val="single" w:color="auto"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sz w:val="20"/>
                <w:szCs w:val="20"/>
                <w:lang w:eastAsia="zh-CN"/>
              </w:rPr>
              <w:t>基层社会治理作</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sz w:val="20"/>
                <w:szCs w:val="20"/>
              </w:rPr>
              <w:t>提升“接诉即办”解决问题能力</w:t>
            </w:r>
          </w:p>
        </w:tc>
        <w:tc>
          <w:tcPr>
            <w:tcW w:w="3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sz w:val="20"/>
                <w:szCs w:val="20"/>
                <w:lang w:val="en-US" w:eastAsia="zh-CN"/>
              </w:rPr>
              <w:t>推动“接诉即办”工作进一步落细落实，切实解决群众“急难愁盼”问题。</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rPr>
              <w:t>完善《天宫院街道12345“接诉即办”工作制度》，实现了紧急事件“未诉先办”零诉求。坚持“您扫我办 马上就办”工作机制，推动落实“三个一”工程</w:t>
            </w:r>
            <w:r>
              <w:rPr>
                <w:rFonts w:hint="eastAsia" w:ascii="宋体" w:hAnsi="宋体" w:cs="宋体"/>
                <w:i w:val="0"/>
                <w:iCs w:val="0"/>
                <w:color w:val="000000"/>
                <w:sz w:val="21"/>
                <w:szCs w:val="21"/>
                <w:highlight w:val="none"/>
                <w:u w:val="none"/>
                <w:lang w:eastAsia="zh-CN"/>
              </w:rPr>
              <w:t>。</w:t>
            </w:r>
            <w:r>
              <w:rPr>
                <w:rFonts w:hint="eastAsia" w:ascii="宋体" w:hAnsi="宋体" w:eastAsia="宋体" w:cs="宋体"/>
                <w:i w:val="0"/>
                <w:iCs w:val="0"/>
                <w:color w:val="000000"/>
                <w:sz w:val="21"/>
                <w:szCs w:val="21"/>
                <w:highlight w:val="none"/>
                <w:u w:val="none"/>
              </w:rPr>
              <w:t>全力推进基层减负工作，制定实务指导手册，规范社区内部、外部标识牌子和荣誉展陈。以“三加”社会工作服务助推基层社区治理能力提升，形成“一中心十八站”的“街道—社区”二级开放式社会工作服务平台体系。</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sz w:val="20"/>
                <w:szCs w:val="20"/>
              </w:rPr>
              <w:t>不断提升文化品质</w:t>
            </w:r>
          </w:p>
        </w:tc>
        <w:tc>
          <w:tcPr>
            <w:tcW w:w="3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sz w:val="20"/>
                <w:szCs w:val="20"/>
                <w:lang w:val="en-US" w:eastAsia="zh-CN"/>
              </w:rPr>
              <w:t>开展群众性文化活动不少于216场。加强家庭家教家风建设，培育文明新风尚。深入挖掘优秀传统文化、红色文化等内涵，强化文艺精品创作。大力实施文化惠民工程，提升文化服务效能。</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rPr>
              <w:t>成立全区首个街道文联，新时代文明实践所获评大兴区“双50”文明实践工程优秀阵地</w:t>
            </w:r>
            <w:r>
              <w:rPr>
                <w:rFonts w:hint="eastAsia" w:ascii="宋体" w:hAnsi="宋体" w:cs="宋体"/>
                <w:i w:val="0"/>
                <w:iCs w:val="0"/>
                <w:color w:val="000000"/>
                <w:sz w:val="21"/>
                <w:szCs w:val="21"/>
                <w:highlight w:val="none"/>
                <w:u w:val="none"/>
                <w:lang w:eastAsia="zh-CN"/>
              </w:rPr>
              <w:t>。</w:t>
            </w:r>
            <w:r>
              <w:rPr>
                <w:rFonts w:hint="eastAsia" w:ascii="宋体" w:hAnsi="宋体" w:eastAsia="宋体" w:cs="宋体"/>
                <w:i w:val="0"/>
                <w:iCs w:val="0"/>
                <w:color w:val="000000"/>
                <w:sz w:val="21"/>
                <w:szCs w:val="21"/>
                <w:highlight w:val="none"/>
                <w:u w:val="none"/>
              </w:rPr>
              <w:t>开展非遗文化进商圈、诗词少年、跳蚤市集、“天宫之夜”等“文化润天宫”品牌系列活动19场，“科技兴天宫”等主题活动250场，惠及群众8.5万余名。“请进来”“走出去”文化交流学习活动62场次，20余支优秀文艺节目获评市区级荣誉。组织开展冰雪运动、龙舟赛、足球赛等赛事活动54场,促进文体商旅融合升级。打造“一中心四驿站五老年餐桌”养老服务体系，实施“邻里守望”帮扶行动，持续推进高龄失能老人养老照护床位建设，优化居家社区养老服务供给。成立京南首家儿童托育中心，提供寒假托管、父母课堂等多元化服务。打造“天宫暖心政务”品牌，为1543人次通过智能机办理相关业务。在兴宇社区成立天宫院辖区首家家医工作室，家庭医生签约率得到显著提高。</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r>
      <w:tr>
        <w:tblPrEx>
          <w:tblLayout w:type="fixed"/>
          <w:tblCellMar>
            <w:top w:w="0" w:type="dxa"/>
            <w:left w:w="108" w:type="dxa"/>
            <w:bottom w:w="0" w:type="dxa"/>
            <w:right w:w="108" w:type="dxa"/>
          </w:tblCellMar>
        </w:tblPrEx>
        <w:trPr>
          <w:trHeight w:val="508"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right w:val="single" w:color="000000" w:sz="4" w:space="0"/>
            </w:tcBorders>
            <w:vAlign w:val="center"/>
          </w:tcPr>
          <w:p>
            <w:pP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sz w:val="20"/>
                <w:szCs w:val="20"/>
                <w:lang w:eastAsia="zh-CN"/>
              </w:rPr>
              <w:t>环境治理工作</w:t>
            </w:r>
          </w:p>
        </w:tc>
        <w:tc>
          <w:tcPr>
            <w:tcW w:w="3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sz w:val="20"/>
                <w:szCs w:val="20"/>
              </w:rPr>
              <w:t>建立空气质量视频检测系统，科学规范开展大气污染防治工作。持续做好背街小巷精细化治理工作。</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rPr>
              <w:t>完成物流大院道路硬化，制定“一院一策”方案</w:t>
            </w:r>
            <w:r>
              <w:rPr>
                <w:rFonts w:hint="eastAsia" w:ascii="宋体" w:hAnsi="宋体" w:cs="宋体"/>
                <w:i w:val="0"/>
                <w:iCs w:val="0"/>
                <w:color w:val="000000"/>
                <w:sz w:val="21"/>
                <w:szCs w:val="21"/>
                <w:highlight w:val="none"/>
                <w:u w:val="none"/>
                <w:lang w:eastAsia="zh-CN"/>
              </w:rPr>
              <w:t>。</w:t>
            </w:r>
            <w:r>
              <w:rPr>
                <w:rFonts w:hint="eastAsia" w:ascii="宋体" w:hAnsi="宋体" w:eastAsia="宋体" w:cs="宋体"/>
                <w:i w:val="0"/>
                <w:iCs w:val="0"/>
                <w:color w:val="000000"/>
                <w:sz w:val="21"/>
                <w:szCs w:val="21"/>
                <w:highlight w:val="none"/>
                <w:u w:val="none"/>
              </w:rPr>
              <w:t>完成五条背街小巷精细化治理提升项目。开展“最美商户”评选活动，为39家优秀企业颁发流动红旗，对40家问题企业进行曝光整改。创新开展“消隐4+N”百日安全执法行动，检查覆盖企业1102家，整改各类问题736项。</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r>
      <w:tr>
        <w:tblPrEx>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left w:val="single" w:color="auto" w:sz="4" w:space="0"/>
              <w:bottom w:val="single" w:color="000000" w:sz="4" w:space="0"/>
              <w:right w:val="single" w:color="000000" w:sz="4" w:space="0"/>
            </w:tcBorders>
            <w:vAlign w:val="center"/>
          </w:tcPr>
          <w:p>
            <w:pP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sz w:val="20"/>
                <w:szCs w:val="20"/>
                <w:lang w:eastAsia="zh-CN"/>
              </w:rPr>
              <w:t>安全工作</w:t>
            </w:r>
          </w:p>
        </w:tc>
        <w:tc>
          <w:tcPr>
            <w:tcW w:w="30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sz w:val="20"/>
                <w:szCs w:val="20"/>
              </w:rPr>
              <w:t>坚持高质量发展和高水平安全并行，充分发挥社会力量</w:t>
            </w:r>
            <w:r>
              <w:rPr>
                <w:rFonts w:hint="eastAsia" w:ascii="宋体" w:hAnsi="宋体" w:cs="宋体"/>
                <w:sz w:val="20"/>
                <w:szCs w:val="20"/>
                <w:lang w:eastAsia="zh-CN"/>
              </w:rPr>
              <w:t>，</w:t>
            </w:r>
            <w:r>
              <w:rPr>
                <w:rFonts w:hint="eastAsia" w:ascii="宋体" w:hAnsi="宋体" w:eastAsia="宋体" w:cs="宋体"/>
                <w:sz w:val="20"/>
                <w:szCs w:val="20"/>
              </w:rPr>
              <w:t>重点加强交通秩序综合整治，提升群众安全感。</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rPr>
              <w:t>深入推进安全生产治本攻坚行动，大力开展安全隐患排查整治、违规电动三四轮车清理等系列专项行动，联合《第三调解室》节目组在“法晓屋”开展线上普法直播活动</w:t>
            </w:r>
            <w:r>
              <w:rPr>
                <w:rFonts w:hint="eastAsia" w:ascii="宋体" w:hAnsi="宋体" w:eastAsia="宋体" w:cs="宋体"/>
                <w:i w:val="0"/>
                <w:iCs w:val="0"/>
                <w:color w:val="000000"/>
                <w:sz w:val="21"/>
                <w:szCs w:val="21"/>
                <w:highlight w:val="none"/>
                <w:u w:val="none"/>
                <w:lang w:eastAsia="zh-CN"/>
              </w:rPr>
              <w:t>，</w:t>
            </w:r>
            <w:r>
              <w:rPr>
                <w:rFonts w:hint="eastAsia" w:ascii="宋体" w:hAnsi="宋体" w:eastAsia="宋体" w:cs="宋体"/>
                <w:i w:val="0"/>
                <w:iCs w:val="0"/>
                <w:color w:val="000000"/>
                <w:sz w:val="21"/>
                <w:szCs w:val="21"/>
                <w:highlight w:val="none"/>
                <w:u w:val="none"/>
              </w:rPr>
              <w:t>持续推进辖区平安建设、法治建设，典型做法在《平安建设工作动态》上专栏刊登</w:t>
            </w:r>
            <w:r>
              <w:rPr>
                <w:rFonts w:hint="eastAsia" w:ascii="宋体" w:hAnsi="宋体" w:cs="宋体"/>
                <w:i w:val="0"/>
                <w:iCs w:val="0"/>
                <w:color w:val="000000"/>
                <w:sz w:val="21"/>
                <w:szCs w:val="21"/>
                <w:highlight w:val="none"/>
                <w:u w:val="none"/>
                <w:lang w:eastAsia="zh-CN"/>
              </w:rPr>
              <w:t>。</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r>
      <w:tr>
        <w:tblPrEx>
          <w:tblLayout w:type="fixed"/>
          <w:tblCellMar>
            <w:top w:w="0" w:type="dxa"/>
            <w:left w:w="108" w:type="dxa"/>
            <w:bottom w:w="0" w:type="dxa"/>
            <w:right w:w="108" w:type="dxa"/>
          </w:tblCellMar>
        </w:tblPrEx>
        <w:trPr>
          <w:trHeight w:val="5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9032"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小计</w:t>
            </w:r>
          </w:p>
        </w:tc>
        <w:tc>
          <w:tcPr>
            <w:tcW w:w="2730" w:type="dxa"/>
            <w:gridSpan w:val="3"/>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lang w:bidi="ar"/>
              </w:rPr>
              <w:t>60</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color w:val="000000"/>
                <w:szCs w:val="21"/>
                <w:lang w:val="en-US" w:eastAsia="zh-CN"/>
              </w:rPr>
            </w:pPr>
            <w:r>
              <w:rPr>
                <w:rFonts w:hint="eastAsia" w:ascii="宋体" w:hAnsi="宋体" w:cs="宋体"/>
                <w:b/>
                <w:bCs/>
                <w:color w:val="000000"/>
                <w:szCs w:val="21"/>
                <w:lang w:val="en-US" w:eastAsia="zh-CN"/>
              </w:rPr>
              <w:t>60</w:t>
            </w:r>
          </w:p>
        </w:tc>
      </w:tr>
      <w:tr>
        <w:tblPrEx>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b/>
                <w:bCs/>
                <w:color w:val="000000"/>
                <w:szCs w:val="21"/>
              </w:rPr>
            </w:pPr>
            <w:r>
              <w:rPr>
                <w:rFonts w:hint="eastAsia" w:ascii="宋体" w:hAnsi="宋体" w:cs="宋体"/>
                <w:b/>
                <w:bCs/>
                <w:color w:val="000000"/>
                <w:kern w:val="0"/>
                <w:szCs w:val="21"/>
                <w:lang w:bidi="ar"/>
              </w:rPr>
              <w:t>三、预算管理情况（20分）</w:t>
            </w:r>
          </w:p>
        </w:tc>
      </w:tr>
      <w:tr>
        <w:tblPrEx>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二级指标</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三级指标</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指标解释</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评分标准</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2023年数据</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2024年数据</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w:t>
            </w:r>
          </w:p>
        </w:tc>
      </w:tr>
      <w:tr>
        <w:tblPrEx>
          <w:tblLayout w:type="fixed"/>
          <w:tblCellMar>
            <w:top w:w="0" w:type="dxa"/>
            <w:left w:w="108" w:type="dxa"/>
            <w:bottom w:w="0" w:type="dxa"/>
            <w:right w:w="108" w:type="dxa"/>
          </w:tblCellMar>
        </w:tblPrEx>
        <w:trPr>
          <w:trHeight w:val="1560"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预算管理情况（20分）</w:t>
            </w:r>
          </w:p>
        </w:tc>
        <w:tc>
          <w:tcPr>
            <w:tcW w:w="110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财务管理（6）</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财务管理制度健全性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财务管理制度健全性：部门（单位）为加强财务管理、规范财务行为而制定的管理制度。</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①预算资金管理办法、绩效跟踪管理办法、资产管理办法等各项制度是否健全；</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②部门内部财务管理制度是否完善、合规；</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③会计核算制度是否完整、合规。</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2</w:t>
            </w:r>
          </w:p>
        </w:tc>
      </w:tr>
      <w:tr>
        <w:tblPrEx>
          <w:tblLayout w:type="fixed"/>
          <w:tblCellMar>
            <w:top w:w="0" w:type="dxa"/>
            <w:left w:w="108" w:type="dxa"/>
            <w:bottom w:w="0" w:type="dxa"/>
            <w:right w:w="108" w:type="dxa"/>
          </w:tblCellMar>
        </w:tblPrEx>
        <w:trPr>
          <w:trHeight w:val="26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资金使用合规性和安全性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①是否符合国家财经法规和财务管理制度规定以及有关专项资金管理办法的规定；</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②资金的拨付是否有完整的审批程序和手续；</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③项目的重大开支是否经过评估论证；</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④是否符合部门预算批复的用途；</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⑤是否存在截留、挤占、挪用情况；</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⑥资金使用是否符合政府采购的程序和流程；</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⑦资金使用是否符合公务卡结算相关制度和规定。</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每有一项不合格扣0.5分，扣完为止。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2</w:t>
            </w:r>
          </w:p>
        </w:tc>
      </w:tr>
      <w:tr>
        <w:tblPrEx>
          <w:tblLayout w:type="fixed"/>
          <w:tblCellMar>
            <w:top w:w="0" w:type="dxa"/>
            <w:left w:w="108" w:type="dxa"/>
            <w:bottom w:w="0" w:type="dxa"/>
            <w:right w:w="108" w:type="dxa"/>
          </w:tblCellMar>
        </w:tblPrEx>
        <w:trPr>
          <w:trHeight w:val="12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会计基础信息完善性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会计基础信息完善性：部门（单位）会计基础信息情况。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①基础数据信息和会计信息资料是否真实；</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②基础数据信息和会计信息资料是否完整；</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③基础数据信息和会计信息资料是否准确。</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2</w:t>
            </w:r>
          </w:p>
        </w:tc>
      </w:tr>
      <w:tr>
        <w:tblPrEx>
          <w:tblLayout w:type="fixed"/>
          <w:tblCellMar>
            <w:top w:w="0" w:type="dxa"/>
            <w:left w:w="108" w:type="dxa"/>
            <w:bottom w:w="0" w:type="dxa"/>
            <w:right w:w="108" w:type="dxa"/>
          </w:tblCellMar>
        </w:tblPrEx>
        <w:trPr>
          <w:trHeight w:val="24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资产管理（5）</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资产管理规范性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资产管理规范性：部门（单位）的资产是否保持安全完整，资产配置是否合理，资产使用和资产处理是否规范，用以反映和考核部门（单位）资产管理的整体水平。</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①对外投资行为是否经审批，是否存在投资亏损；</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②是否有因管理不当发生严重资产损失和丢失情况；</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③是否存在超标准配置资产；</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④资产使用是否规范，是否存在未经批准擅自出租、出借资产行为；</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⑤资产处置是否规范，是否存在不按要求进行报批或资产不公开处置行为；</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⑥其他资产管理制度办法执行情况。</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r>
      <w:tr>
        <w:tblPrEx>
          <w:tblLayout w:type="fixed"/>
          <w:tblCellMar>
            <w:top w:w="0" w:type="dxa"/>
            <w:left w:w="108" w:type="dxa"/>
            <w:bottom w:w="0" w:type="dxa"/>
            <w:right w:w="108" w:type="dxa"/>
          </w:tblCellMar>
        </w:tblPrEx>
        <w:trPr>
          <w:trHeight w:val="96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绩效管理（5）</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绩效管理情况</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绩效管理情况：考核部门（单位）在绩效管理信息的汇总和应用情况。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①部门（单位）是否及时对绩效信息进行汇总分析整理；</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②部门（单位）是否对绩效目标偏离情况及时进行矫正。</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每有一项不合格扣2.5分。</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5</w:t>
            </w:r>
          </w:p>
        </w:tc>
      </w:tr>
      <w:tr>
        <w:tblPrEx>
          <w:tblLayout w:type="fixed"/>
          <w:tblCellMar>
            <w:top w:w="0" w:type="dxa"/>
            <w:left w:w="108" w:type="dxa"/>
            <w:bottom w:w="0" w:type="dxa"/>
            <w:right w:w="108" w:type="dxa"/>
          </w:tblCellMar>
        </w:tblPrEx>
        <w:trPr>
          <w:trHeight w:val="12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部门预决算差异率（4）</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部门预决算差异率</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通过年度部门决算与年初部门预算对比，对部门的年度支出情况进行考核，衡量部门预算的约束力。</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部门预决算差异率（绝对值）低于上年的不扣分；高于上年部门预决算差异率，每高出1个百分点扣0.4分，扣完为止。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eastAsia="宋体" w:cs="宋体"/>
                <w:i w:val="0"/>
                <w:iCs w:val="0"/>
                <w:color w:val="000000"/>
                <w:sz w:val="21"/>
                <w:szCs w:val="21"/>
                <w:highlight w:val="none"/>
                <w:u w:val="none"/>
                <w:lang w:val="en-US" w:eastAsia="zh-CN"/>
              </w:rPr>
              <w:t>0.810251</w:t>
            </w:r>
            <w:r>
              <w:rPr>
                <w:rFonts w:hint="eastAsia" w:ascii="宋体" w:hAnsi="宋体" w:cs="宋体"/>
                <w:i w:val="0"/>
                <w:iCs w:val="0"/>
                <w:color w:val="000000"/>
                <w:sz w:val="21"/>
                <w:szCs w:val="21"/>
                <w:highlight w:val="none"/>
                <w:u w:val="none"/>
                <w:lang w:val="en-US" w:eastAsia="zh-CN"/>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3.033852%</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4</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80%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3.2</w:t>
            </w:r>
          </w:p>
        </w:tc>
      </w:tr>
      <w:tr>
        <w:tblPrEx>
          <w:tblLayout w:type="fixed"/>
          <w:tblCellMar>
            <w:top w:w="0" w:type="dxa"/>
            <w:left w:w="108" w:type="dxa"/>
            <w:bottom w:w="0" w:type="dxa"/>
            <w:right w:w="108" w:type="dxa"/>
          </w:tblCellMar>
        </w:tblPrEx>
        <w:trPr>
          <w:trHeight w:val="52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104" w:type="dxa"/>
            <w:gridSpan w:val="6"/>
            <w:tcBorders>
              <w:top w:val="single" w:color="000000" w:sz="4" w:space="0"/>
              <w:left w:val="single" w:color="auto" w:sz="4" w:space="0"/>
              <w:bottom w:val="single" w:color="000000" w:sz="4" w:space="0"/>
              <w:right w:val="nil"/>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小计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20</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color w:val="000000"/>
                <w:szCs w:val="21"/>
                <w:lang w:val="en-US" w:eastAsia="zh-CN"/>
              </w:rPr>
            </w:pPr>
            <w:r>
              <w:rPr>
                <w:rFonts w:hint="eastAsia" w:ascii="宋体" w:hAnsi="宋体" w:cs="宋体"/>
                <w:b/>
                <w:bCs/>
                <w:color w:val="000000"/>
                <w:szCs w:val="21"/>
                <w:lang w:val="en-US" w:eastAsia="zh-CN"/>
              </w:rPr>
              <w:t>19.2</w:t>
            </w:r>
          </w:p>
        </w:tc>
      </w:tr>
      <w:tr>
        <w:tblPrEx>
          <w:tblLayout w:type="fixed"/>
          <w:tblCellMar>
            <w:top w:w="0" w:type="dxa"/>
            <w:left w:w="108" w:type="dxa"/>
            <w:bottom w:w="0" w:type="dxa"/>
            <w:right w:w="108" w:type="dxa"/>
          </w:tblCellMar>
        </w:tblPrEx>
        <w:trPr>
          <w:trHeight w:val="520" w:hRule="atLeast"/>
        </w:trPr>
        <w:tc>
          <w:tcPr>
            <w:tcW w:w="12204"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合计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lang w:bidi="ar"/>
              </w:rPr>
              <w:t>100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color w:val="000000"/>
                <w:szCs w:val="21"/>
              </w:rPr>
            </w:pPr>
            <w:r>
              <w:rPr>
                <w:rFonts w:hint="eastAsia" w:ascii="宋体" w:hAnsi="宋体" w:cs="宋体"/>
                <w:b/>
                <w:bCs/>
                <w:color w:val="000000"/>
                <w:kern w:val="0"/>
                <w:szCs w:val="21"/>
                <w:lang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color w:val="000000"/>
                <w:szCs w:val="21"/>
                <w:lang w:val="en-US" w:eastAsia="zh-CN"/>
              </w:rPr>
            </w:pPr>
            <w:r>
              <w:rPr>
                <w:rFonts w:hint="eastAsia" w:ascii="宋体" w:hAnsi="宋体" w:cs="宋体"/>
                <w:b/>
                <w:bCs/>
                <w:color w:val="000000"/>
                <w:szCs w:val="21"/>
                <w:lang w:val="en-US" w:eastAsia="zh-CN"/>
              </w:rPr>
              <w:t>98.59</w:t>
            </w:r>
          </w:p>
        </w:tc>
      </w:tr>
    </w:tbl>
    <w:p>
      <w:pPr>
        <w:spacing w:line="560" w:lineRule="exact"/>
        <w:rPr>
          <w:rFonts w:hint="eastAsia" w:ascii="仿宋_GB2312" w:hAnsi="仿宋_GB2312" w:eastAsia="仿宋_GB2312" w:cs="仿宋_GB2312"/>
          <w:b/>
          <w:bCs/>
          <w:sz w:val="24"/>
        </w:rPr>
      </w:pPr>
      <w:r>
        <w:rPr>
          <w:rFonts w:hint="eastAsia" w:ascii="仿宋_GB2312" w:hAnsi="仿宋_GB2312" w:eastAsia="仿宋_GB2312" w:cs="仿宋_GB2312"/>
          <w:b/>
          <w:bCs/>
          <w:sz w:val="24"/>
        </w:rPr>
        <w:t>填报说明：</w:t>
      </w:r>
    </w:p>
    <w:p>
      <w:pPr>
        <w:spacing w:line="560" w:lineRule="exact"/>
        <w:rPr>
          <w:rFonts w:ascii="仿宋_GB2312" w:hAnsi="仿宋_GB2312" w:eastAsia="仿宋_GB2312" w:cs="仿宋_GB2312"/>
          <w:b/>
          <w:bCs/>
          <w:color w:val="000000"/>
          <w:kern w:val="0"/>
          <w:sz w:val="24"/>
          <w:lang w:bidi="ar"/>
        </w:rPr>
      </w:pPr>
      <w:r>
        <w:rPr>
          <w:rFonts w:hint="eastAsia" w:ascii="仿宋_GB2312" w:hAnsi="仿宋_GB2312" w:eastAsia="仿宋_GB2312" w:cs="仿宋_GB2312"/>
          <w:color w:val="000000"/>
          <w:kern w:val="0"/>
          <w:sz w:val="24"/>
          <w:lang w:bidi="ar"/>
        </w:rPr>
        <w:t>1.此表分为三个部分，各部分总体分值已经确定，第一部分总分20分，第二部分总分60分，第三部分总分20分，无需更改。根据各部分得分情况加总得到最终自评得分。资金支出金额应当为部门本级和所属单位2024年度全部支出金额（与决算保持一致）。</w:t>
      </w:r>
      <w:r>
        <w:rPr>
          <w:rFonts w:hint="eastAsia" w:ascii="仿宋_GB2312" w:hAnsi="仿宋_GB2312" w:eastAsia="仿宋_GB2312" w:cs="仿宋_GB2312"/>
          <w:b/>
          <w:bCs/>
          <w:color w:val="000000"/>
          <w:kern w:val="0"/>
          <w:sz w:val="24"/>
          <w:lang w:bidi="ar"/>
        </w:rPr>
        <w:t>预算数=年初预算+年中追加-12月1日前追减数。差异率=（预算数-决算数）/预算数*100%，打分时用2024年差异率（绝对值）-2023年差异率（绝对值），相减结果为1%（含）-2%，扣0.4分，2%（含）-3%，扣0.8分，以此类推，每高出1个百分点扣0.4分，扣完为止。</w:t>
      </w:r>
    </w:p>
    <w:p>
      <w:pPr>
        <w:spacing w:line="560" w:lineRule="exact"/>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pPr>
        <w:spacing w:line="560" w:lineRule="exact"/>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第二部分“整体绩效目标实现情况”填报分为四步。</w:t>
      </w:r>
      <w:r>
        <w:rPr>
          <w:rFonts w:hint="eastAsia" w:ascii="仿宋_GB2312" w:hAnsi="仿宋_GB2312" w:eastAsia="仿宋_GB2312" w:cs="仿宋_GB2312"/>
          <w:b/>
          <w:bCs/>
          <w:color w:val="000000"/>
          <w:kern w:val="0"/>
          <w:sz w:val="24"/>
          <w:lang w:bidi="ar"/>
        </w:rPr>
        <w:t>第一步：</w:t>
      </w:r>
      <w:r>
        <w:rPr>
          <w:rFonts w:hint="eastAsia" w:ascii="仿宋_GB2312" w:hAnsi="仿宋_GB2312" w:eastAsia="仿宋_GB2312" w:cs="仿宋_GB2312"/>
          <w:color w:val="000000"/>
          <w:kern w:val="0"/>
          <w:sz w:val="24"/>
          <w:lang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color w:val="000000"/>
          <w:kern w:val="0"/>
          <w:sz w:val="24"/>
          <w:lang w:bidi="ar"/>
        </w:rPr>
        <w:t>第二步：</w:t>
      </w:r>
      <w:r>
        <w:rPr>
          <w:rFonts w:hint="eastAsia" w:ascii="仿宋_GB2312" w:hAnsi="仿宋_GB2312" w:eastAsia="仿宋_GB2312" w:cs="仿宋_GB2312"/>
          <w:color w:val="000000"/>
          <w:kern w:val="0"/>
          <w:sz w:val="24"/>
          <w:lang w:bidi="ar"/>
        </w:rPr>
        <w:t>“年度完成情况”填写当年度该项指标实际完成情况，完成情况应与指标内容和指标值对应。</w:t>
      </w:r>
      <w:r>
        <w:rPr>
          <w:rFonts w:hint="eastAsia" w:ascii="仿宋_GB2312" w:hAnsi="仿宋_GB2312" w:eastAsia="仿宋_GB2312" w:cs="仿宋_GB2312"/>
          <w:b/>
          <w:bCs/>
          <w:color w:val="000000"/>
          <w:kern w:val="0"/>
          <w:sz w:val="24"/>
          <w:lang w:bidi="ar"/>
        </w:rPr>
        <w:t>第三步：</w:t>
      </w:r>
      <w:r>
        <w:rPr>
          <w:rFonts w:hint="eastAsia" w:ascii="仿宋_GB2312" w:hAnsi="仿宋_GB2312" w:eastAsia="仿宋_GB2312" w:cs="仿宋_GB2312"/>
          <w:color w:val="000000"/>
          <w:kern w:val="0"/>
          <w:sz w:val="24"/>
          <w:lang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color w:val="000000"/>
          <w:kern w:val="0"/>
          <w:sz w:val="24"/>
          <w:lang w:bidi="ar"/>
        </w:rPr>
        <w:t>第四步：</w:t>
      </w:r>
      <w:r>
        <w:rPr>
          <w:rFonts w:hint="eastAsia" w:ascii="仿宋_GB2312" w:hAnsi="仿宋_GB2312" w:eastAsia="仿宋_GB2312" w:cs="仿宋_GB2312"/>
          <w:color w:val="000000"/>
          <w:kern w:val="0"/>
          <w:sz w:val="24"/>
          <w:lang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color w:val="000000"/>
          <w:kern w:val="0"/>
          <w:sz w:val="24"/>
          <w:lang w:bidi="ar"/>
        </w:rPr>
        <w:t>①</w:t>
      </w:r>
      <w:r>
        <w:rPr>
          <w:rFonts w:hint="eastAsia" w:ascii="仿宋_GB2312" w:hAnsi="仿宋_GB2312" w:eastAsia="仿宋_GB2312" w:cs="仿宋_GB2312"/>
          <w:sz w:val="24"/>
        </w:rPr>
        <w:t>若</w:t>
      </w:r>
      <w:r>
        <w:rPr>
          <w:rFonts w:hint="eastAsia" w:ascii="仿宋_GB2312" w:hAnsi="仿宋_GB2312" w:eastAsia="仿宋_GB2312" w:cs="仿宋_GB2312"/>
          <w:color w:val="000000"/>
          <w:kern w:val="0"/>
          <w:sz w:val="24"/>
          <w:lang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color w:val="000000"/>
          <w:kern w:val="0"/>
          <w:sz w:val="24"/>
          <w:lang w:bidi="ar"/>
        </w:rPr>
        <w:t>②</w:t>
      </w:r>
      <w:r>
        <w:rPr>
          <w:rFonts w:hint="eastAsia" w:ascii="仿宋_GB2312" w:hAnsi="仿宋_GB2312" w:eastAsia="仿宋_GB2312" w:cs="仿宋_GB2312"/>
          <w:color w:val="000000"/>
          <w:kern w:val="0"/>
          <w:sz w:val="24"/>
          <w:lang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color w:val="000000"/>
          <w:kern w:val="0"/>
          <w:sz w:val="24"/>
          <w:lang w:bidi="ar"/>
        </w:rPr>
        <w:t>③</w:t>
      </w:r>
      <w:r>
        <w:rPr>
          <w:rFonts w:hint="eastAsia" w:ascii="仿宋_GB2312" w:hAnsi="仿宋_GB2312" w:eastAsia="仿宋_GB2312" w:cs="仿宋_GB2312"/>
          <w:color w:val="000000"/>
          <w:kern w:val="0"/>
          <w:sz w:val="24"/>
          <w:lang w:bidi="ar"/>
        </w:rPr>
        <w:t>若为定性指标，则根据完成情况分为“优、良、中、差”四等，“优”获得该项分值90%-100%，“良”获得该项分值80%-90%，“中”获得该项分值60%-80%，“差”获得该项分值0%-60%。</w:t>
      </w:r>
    </w:p>
    <w:p>
      <w:pPr>
        <w:pStyle w:val="2"/>
        <w:rPr>
          <w:rFonts w:hint="eastAsia"/>
          <w:lang w:eastAsia="zh-CN"/>
        </w:rPr>
      </w:pP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p>
    <w:p>
      <w:pPr>
        <w:spacing w:line="520" w:lineRule="exact"/>
        <w:ind w:firstLine="560" w:firstLineChars="200"/>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一）</w:t>
      </w:r>
      <w:r>
        <w:rPr>
          <w:rFonts w:hint="eastAsia" w:ascii="仿宋_GB2312" w:hAnsi="仿宋_GB2312" w:eastAsia="仿宋_GB2312" w:cs="仿宋_GB2312"/>
          <w:color w:val="000000"/>
          <w:kern w:val="0"/>
          <w:sz w:val="28"/>
          <w:szCs w:val="28"/>
        </w:rPr>
        <w:t>基本情况</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1、</w:t>
      </w:r>
      <w:r>
        <w:rPr>
          <w:rFonts w:hint="eastAsia" w:ascii="仿宋_GB2312" w:hAnsi="仿宋_GB2312" w:eastAsia="仿宋_GB2312" w:cs="仿宋_GB2312"/>
          <w:color w:val="000000"/>
          <w:kern w:val="0"/>
          <w:sz w:val="28"/>
          <w:szCs w:val="28"/>
        </w:rPr>
        <w:t>项目概况。</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（1）项目背景</w:t>
      </w:r>
    </w:p>
    <w:p>
      <w:pPr>
        <w:pStyle w:val="2"/>
        <w:spacing w:line="560" w:lineRule="exact"/>
        <w:ind w:firstLine="560" w:firstLineChars="20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依据《北京市大兴区住房和城乡建设委员会关于开展居住小区物业服务项目履约考评工作的通知》，为进一步落实好全市街道工作会议要求，规范物业服务行业市场秩序，提升物业服务企业的社会信用度，掌握业主对物业服务的需求和意见，不断增强群众获得感、幸福感、安全感，大兴区自2019年起开展居住小区物业服务项目履约考评工作，天宫院街道依据相关文件设立该项目。</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（2）主要内容及实施情况</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该项目申报部门为天宫院街道，由天宫院街道城市管理办公室负责项目实施。项目实施主要内容为聘请专业的第三方机构对辖区25个物业服务项目及2个应急物业服务项目开展年度履约考评，以此监督物业服务企业提升服务质量、增强企业社会信用度，以及掌握业主对物业服务的需求和意见，从而增强小区居民的满意度及幸福感。</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lang w:val="en-US" w:eastAsia="zh-CN"/>
        </w:rPr>
      </w:pPr>
      <w:r>
        <w:rPr>
          <w:rFonts w:hint="eastAsia" w:ascii="仿宋_GB2312" w:hAnsi="仿宋_GB2312" w:eastAsia="仿宋_GB2312" w:cs="仿宋_GB2312"/>
          <w:b w:val="0"/>
          <w:bCs w:val="0"/>
          <w:color w:val="000000"/>
          <w:kern w:val="0"/>
          <w:sz w:val="28"/>
          <w:szCs w:val="28"/>
          <w:lang w:val="en-US" w:eastAsia="zh-CN" w:bidi="ar-SA"/>
        </w:rPr>
        <w:t>天宫院街道聘请第三方机构对辖区内的物业项目开展履约考评工作，评估对象为25个物业服务小区及2个应急物业服务小区。考评内容包括业主评价、管理评价及专业评价，考评公司通过比选的形式确定。合同期限自2021年12月1日至2022年11月30日，费用为25万元。2022年11月，第三方公司完成了天宫院街道2022年居住小区物业服务项目履约考评工作，并出具了评估报告。项目资金于2024年支付。</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（3）资金投入和使用情况</w:t>
      </w:r>
    </w:p>
    <w:p>
      <w:pPr>
        <w:spacing w:line="560" w:lineRule="exact"/>
        <w:ind w:firstLine="640"/>
        <w:rPr>
          <w:rFonts w:hint="eastAsia"/>
          <w:lang w:val="en-US" w:eastAsia="zh-CN"/>
        </w:rPr>
      </w:pPr>
      <w:r>
        <w:rPr>
          <w:rFonts w:hint="eastAsia" w:ascii="仿宋_GB2312" w:hAnsi="仿宋_GB2312" w:eastAsia="仿宋_GB2312" w:cs="仿宋_GB2312"/>
          <w:b w:val="0"/>
          <w:bCs w:val="0"/>
          <w:color w:val="000000"/>
          <w:kern w:val="0"/>
          <w:sz w:val="28"/>
          <w:szCs w:val="28"/>
          <w:lang w:val="en-US" w:eastAsia="zh-CN" w:bidi="ar-SA"/>
        </w:rPr>
        <w:t>该项目申报预算金额为27万元，预算批复金额为26万元，2024年1月17日实际到位资金为26万元，均为区级财政资金。截至2024年12月31日，实际支出金额为25万元，预算执行率为96.15%。</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2、项目绩效目标。</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lang w:val="en-US" w:eastAsia="zh-CN"/>
        </w:rPr>
      </w:pPr>
      <w:r>
        <w:rPr>
          <w:rFonts w:hint="eastAsia" w:ascii="仿宋_GB2312" w:hAnsi="仿宋_GB2312" w:eastAsia="仿宋_GB2312" w:cs="仿宋_GB2312"/>
          <w:b w:val="0"/>
          <w:bCs w:val="0"/>
          <w:color w:val="000000"/>
          <w:kern w:val="0"/>
          <w:sz w:val="28"/>
          <w:szCs w:val="28"/>
          <w:lang w:val="en-US" w:eastAsia="zh-CN" w:bidi="ar-SA"/>
        </w:rPr>
        <w:t>该项目总体目标为：依据《北京市大兴区住房和城乡建设委员会关于开展居住小区物业服务项目履约考评工作的通知》文件要求，每年对辖区内住宅居住小区开展履约考评工作，并将考评结果纳入市级物业红黑榜。</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该项目阶段性目标为：</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（1）数量指标：辖区物业项目=26。</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（2）质量指标：完成业主满意度评价、管理部门评价、专业人员评价合格。</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（3）时效指标：计划完成2024年12月。</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（4）成本指标：预算控制≤26万元。</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（5）效益指标：提升物业服务水平，监督物业履职尽责。</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（6）服务对象满意度指标：服务对象满意度≥80%。</w:t>
      </w:r>
    </w:p>
    <w:p>
      <w:pPr>
        <w:spacing w:line="520" w:lineRule="exact"/>
        <w:ind w:firstLine="560" w:firstLineChars="200"/>
        <w:outlineLvl w:val="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（二）绩效评价工作开展情况</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bookmarkStart w:id="0" w:name="_Toc136459677"/>
      <w:bookmarkStart w:id="1" w:name="_Toc31090"/>
      <w:bookmarkStart w:id="2" w:name="_Toc455492207"/>
      <w:r>
        <w:rPr>
          <w:rFonts w:hint="eastAsia" w:ascii="仿宋_GB2312" w:hAnsi="仿宋_GB2312" w:eastAsia="仿宋_GB2312" w:cs="仿宋_GB2312"/>
          <w:b w:val="0"/>
          <w:bCs w:val="0"/>
          <w:color w:val="000000"/>
          <w:kern w:val="0"/>
          <w:sz w:val="28"/>
          <w:szCs w:val="28"/>
          <w:lang w:val="en-US" w:eastAsia="zh-CN" w:bidi="ar-SA"/>
        </w:rPr>
        <w:t>1、绩效评价目的、对象和范围</w:t>
      </w:r>
      <w:bookmarkEnd w:id="0"/>
      <w:bookmarkEnd w:id="1"/>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lang w:val="en-US" w:eastAsia="zh-CN"/>
        </w:rPr>
      </w:pPr>
      <w:r>
        <w:rPr>
          <w:rFonts w:hint="eastAsia" w:ascii="仿宋_GB2312" w:hAnsi="仿宋_GB2312" w:eastAsia="仿宋_GB2312" w:cs="仿宋_GB2312"/>
          <w:b w:val="0"/>
          <w:bCs w:val="0"/>
          <w:color w:val="000000"/>
          <w:kern w:val="0"/>
          <w:sz w:val="28"/>
          <w:szCs w:val="28"/>
          <w:lang w:val="en-US" w:eastAsia="zh-CN" w:bidi="ar-SA"/>
        </w:rPr>
        <w:t>为加强预算绩效管理，强化支出责任，提高财政资金使用效益，对天宫院街道“天宫院街道居住小区物业服务履约考评项目”实施绩效评价，进一步总结和分析项目资金的实施效果，检验财政支出预期目标实现程度，考核财政支出效率和综合效果。</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bookmarkStart w:id="3" w:name="_Toc1706"/>
      <w:bookmarkStart w:id="4" w:name="_Toc136459678"/>
      <w:r>
        <w:rPr>
          <w:rFonts w:hint="eastAsia" w:ascii="仿宋_GB2312" w:hAnsi="仿宋_GB2312" w:eastAsia="仿宋_GB2312" w:cs="仿宋_GB2312"/>
          <w:b w:val="0"/>
          <w:bCs w:val="0"/>
          <w:color w:val="000000"/>
          <w:kern w:val="0"/>
          <w:sz w:val="28"/>
          <w:szCs w:val="28"/>
          <w:lang w:val="en-US" w:eastAsia="zh-CN" w:bidi="ar-SA"/>
        </w:rPr>
        <w:t>2、绩效评价原则、评价指标体系（附表说明）、评价方法、评价标准等</w:t>
      </w:r>
      <w:bookmarkEnd w:id="3"/>
      <w:bookmarkEnd w:id="4"/>
    </w:p>
    <w:p>
      <w:pPr>
        <w:pStyle w:val="9"/>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本次绩效评价遵循“客观、公正、科学、规范”的原则，采取定性与定量相结合的方式，结合项目的特点，采用案卷研究法、目标预定与实施效果比较法、专家评议法等方法，定性与定量相结合，从项目决策、项目过程、项目产出、项目效益4个方面对本项目开展绩效评价。绩效评价指标体系详见附件。</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bookmarkStart w:id="5" w:name="_Toc4682"/>
      <w:r>
        <w:rPr>
          <w:rFonts w:hint="eastAsia" w:ascii="仿宋_GB2312" w:hAnsi="仿宋_GB2312" w:eastAsia="仿宋_GB2312" w:cs="仿宋_GB2312"/>
          <w:b w:val="0"/>
          <w:bCs w:val="0"/>
          <w:color w:val="000000"/>
          <w:kern w:val="0"/>
          <w:sz w:val="28"/>
          <w:szCs w:val="28"/>
          <w:lang w:val="en-US" w:eastAsia="zh-CN" w:bidi="ar-SA"/>
        </w:rPr>
        <w:t>3、绩效评价工作过程</w:t>
      </w:r>
      <w:bookmarkEnd w:id="5"/>
    </w:p>
    <w:bookmarkEnd w:id="2"/>
    <w:p>
      <w:pPr>
        <w:pStyle w:val="9"/>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本次绩效评价依据项目单位提供的资料，经专家评价会等环节，根据专家组意见，在征求天宫院街道意见的基础上，形成最终报告。</w:t>
      </w:r>
    </w:p>
    <w:p>
      <w:pPr>
        <w:spacing w:line="520" w:lineRule="exact"/>
        <w:ind w:firstLine="560" w:firstLineChars="200"/>
        <w:outlineLvl w:val="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（三）综合评价情况及评价结论（附相关评分表）</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bookmarkStart w:id="6" w:name="_Toc20425"/>
      <w:r>
        <w:rPr>
          <w:rFonts w:hint="eastAsia" w:ascii="仿宋_GB2312" w:hAnsi="仿宋_GB2312" w:eastAsia="仿宋_GB2312" w:cs="仿宋_GB2312"/>
          <w:b w:val="0"/>
          <w:bCs w:val="0"/>
          <w:color w:val="000000"/>
          <w:kern w:val="0"/>
          <w:sz w:val="28"/>
          <w:szCs w:val="28"/>
          <w:lang w:val="en-US" w:eastAsia="zh-CN" w:bidi="ar-SA"/>
        </w:rPr>
        <w:t>1、综合评价情况</w:t>
      </w:r>
      <w:bookmarkEnd w:id="6"/>
    </w:p>
    <w:p>
      <w:pPr>
        <w:pStyle w:val="9"/>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经专家评议，该项目综合评价得分81.10分，其中：项目决策得分为15.64分、项目过程得分为16.26分、项目产出得分为25.20分、项目效益得分为24.00分，绩效级别评定为“良”。具体情况详见下表。</w:t>
      </w:r>
    </w:p>
    <w:tbl>
      <w:tblPr>
        <w:tblStyle w:val="15"/>
        <w:tblW w:w="848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C0C0C0"/>
        <w:tblLayout w:type="fixed"/>
        <w:tblCellMar>
          <w:top w:w="0" w:type="dxa"/>
          <w:left w:w="57" w:type="dxa"/>
          <w:bottom w:w="0" w:type="dxa"/>
          <w:right w:w="57" w:type="dxa"/>
        </w:tblCellMar>
      </w:tblPr>
      <w:tblGrid>
        <w:gridCol w:w="2250"/>
        <w:gridCol w:w="3240"/>
        <w:gridCol w:w="29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C0C0C0"/>
          <w:tblLayout w:type="fixed"/>
          <w:tblCellMar>
            <w:top w:w="0" w:type="dxa"/>
            <w:left w:w="57" w:type="dxa"/>
            <w:bottom w:w="0" w:type="dxa"/>
            <w:right w:w="57" w:type="dxa"/>
          </w:tblCellMar>
        </w:tblPrEx>
        <w:trPr>
          <w:cantSplit/>
          <w:trHeight w:val="529" w:hRule="atLeast"/>
          <w:jc w:val="center"/>
        </w:trPr>
        <w:tc>
          <w:tcPr>
            <w:tcW w:w="2250"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评价内容</w:t>
            </w:r>
          </w:p>
        </w:tc>
        <w:tc>
          <w:tcPr>
            <w:tcW w:w="3240"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分值</w:t>
            </w:r>
          </w:p>
        </w:tc>
        <w:tc>
          <w:tcPr>
            <w:tcW w:w="2995"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评价得分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C0C0C0"/>
          <w:tblLayout w:type="fixed"/>
          <w:tblCellMar>
            <w:top w:w="0" w:type="dxa"/>
            <w:left w:w="57" w:type="dxa"/>
            <w:bottom w:w="0" w:type="dxa"/>
            <w:right w:w="57" w:type="dxa"/>
          </w:tblCellMar>
        </w:tblPrEx>
        <w:trPr>
          <w:cantSplit/>
          <w:trHeight w:val="532" w:hRule="atLeast"/>
          <w:jc w:val="center"/>
        </w:trPr>
        <w:tc>
          <w:tcPr>
            <w:tcW w:w="2250"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项目决策</w:t>
            </w:r>
          </w:p>
        </w:tc>
        <w:tc>
          <w:tcPr>
            <w:tcW w:w="3240"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20.00</w:t>
            </w:r>
          </w:p>
        </w:tc>
        <w:tc>
          <w:tcPr>
            <w:tcW w:w="2995"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15.64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C0C0C0"/>
          <w:tblLayout w:type="fixed"/>
          <w:tblCellMar>
            <w:top w:w="0" w:type="dxa"/>
            <w:left w:w="57" w:type="dxa"/>
            <w:bottom w:w="0" w:type="dxa"/>
            <w:right w:w="57" w:type="dxa"/>
          </w:tblCellMar>
        </w:tblPrEx>
        <w:trPr>
          <w:cantSplit/>
          <w:trHeight w:val="532" w:hRule="atLeast"/>
          <w:jc w:val="center"/>
        </w:trPr>
        <w:tc>
          <w:tcPr>
            <w:tcW w:w="2250"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项目过程</w:t>
            </w:r>
          </w:p>
        </w:tc>
        <w:tc>
          <w:tcPr>
            <w:tcW w:w="3240"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20.00</w:t>
            </w:r>
          </w:p>
        </w:tc>
        <w:tc>
          <w:tcPr>
            <w:tcW w:w="2995"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16.26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C0C0C0"/>
          <w:tblLayout w:type="fixed"/>
          <w:tblCellMar>
            <w:top w:w="0" w:type="dxa"/>
            <w:left w:w="57" w:type="dxa"/>
            <w:bottom w:w="0" w:type="dxa"/>
            <w:right w:w="57" w:type="dxa"/>
          </w:tblCellMar>
        </w:tblPrEx>
        <w:trPr>
          <w:cantSplit/>
          <w:trHeight w:val="532" w:hRule="atLeast"/>
          <w:jc w:val="center"/>
        </w:trPr>
        <w:tc>
          <w:tcPr>
            <w:tcW w:w="2250"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项目产出</w:t>
            </w:r>
          </w:p>
        </w:tc>
        <w:tc>
          <w:tcPr>
            <w:tcW w:w="3240"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30.00</w:t>
            </w:r>
          </w:p>
        </w:tc>
        <w:tc>
          <w:tcPr>
            <w:tcW w:w="2995"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25.20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C0C0C0"/>
          <w:tblLayout w:type="fixed"/>
          <w:tblCellMar>
            <w:top w:w="0" w:type="dxa"/>
            <w:left w:w="57" w:type="dxa"/>
            <w:bottom w:w="0" w:type="dxa"/>
            <w:right w:w="57" w:type="dxa"/>
          </w:tblCellMar>
        </w:tblPrEx>
        <w:trPr>
          <w:cantSplit/>
          <w:trHeight w:val="532" w:hRule="atLeast"/>
          <w:jc w:val="center"/>
        </w:trPr>
        <w:tc>
          <w:tcPr>
            <w:tcW w:w="2250"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项目效益</w:t>
            </w:r>
          </w:p>
        </w:tc>
        <w:tc>
          <w:tcPr>
            <w:tcW w:w="3240"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30.00</w:t>
            </w:r>
          </w:p>
        </w:tc>
        <w:tc>
          <w:tcPr>
            <w:tcW w:w="2995"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24.00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C0C0C0"/>
          <w:tblLayout w:type="fixed"/>
          <w:tblCellMar>
            <w:top w:w="0" w:type="dxa"/>
            <w:left w:w="57" w:type="dxa"/>
            <w:bottom w:w="0" w:type="dxa"/>
            <w:right w:w="57" w:type="dxa"/>
          </w:tblCellMar>
        </w:tblPrEx>
        <w:trPr>
          <w:cantSplit/>
          <w:trHeight w:val="765" w:hRule="atLeast"/>
          <w:jc w:val="center"/>
        </w:trPr>
        <w:tc>
          <w:tcPr>
            <w:tcW w:w="2250"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综合得分</w:t>
            </w:r>
          </w:p>
        </w:tc>
        <w:tc>
          <w:tcPr>
            <w:tcW w:w="3240"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100.00</w:t>
            </w:r>
          </w:p>
        </w:tc>
        <w:tc>
          <w:tcPr>
            <w:tcW w:w="2995"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81.10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C0C0C0"/>
          <w:tblLayout w:type="fixed"/>
          <w:tblCellMar>
            <w:top w:w="0" w:type="dxa"/>
            <w:left w:w="57" w:type="dxa"/>
            <w:bottom w:w="0" w:type="dxa"/>
            <w:right w:w="57" w:type="dxa"/>
          </w:tblCellMar>
        </w:tblPrEx>
        <w:trPr>
          <w:cantSplit/>
          <w:trHeight w:val="539" w:hRule="atLeast"/>
          <w:jc w:val="center"/>
        </w:trPr>
        <w:tc>
          <w:tcPr>
            <w:tcW w:w="2250" w:type="dxa"/>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280" w:firstLineChars="1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绩效评定级别</w:t>
            </w:r>
          </w:p>
        </w:tc>
        <w:tc>
          <w:tcPr>
            <w:tcW w:w="6235" w:type="dxa"/>
            <w:gridSpan w:val="2"/>
            <w:tcBorders>
              <w:tl2br w:val="nil"/>
              <w:tr2bl w:val="nil"/>
            </w:tcBorders>
            <w:shd w:val="clear" w:color="auto" w:fill="auto"/>
            <w:vAlign w:val="center"/>
          </w:tcPr>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良</w:t>
            </w:r>
          </w:p>
        </w:tc>
      </w:tr>
    </w:tbl>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bookmarkStart w:id="7" w:name="_Toc3098"/>
      <w:r>
        <w:rPr>
          <w:rFonts w:hint="eastAsia" w:ascii="仿宋_GB2312" w:hAnsi="仿宋_GB2312" w:eastAsia="仿宋_GB2312" w:cs="仿宋_GB2312"/>
          <w:b w:val="0"/>
          <w:bCs w:val="0"/>
          <w:color w:val="000000"/>
          <w:kern w:val="0"/>
          <w:sz w:val="28"/>
          <w:szCs w:val="28"/>
          <w:lang w:val="en-US" w:eastAsia="zh-CN" w:bidi="ar-SA"/>
        </w:rPr>
        <w:t>2、评价结论</w:t>
      </w:r>
      <w:bookmarkEnd w:id="7"/>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lang w:val="en-US" w:eastAsia="zh-CN"/>
        </w:rPr>
      </w:pPr>
      <w:r>
        <w:rPr>
          <w:rFonts w:hint="eastAsia" w:ascii="仿宋_GB2312" w:hAnsi="仿宋_GB2312" w:eastAsia="仿宋_GB2312" w:cs="仿宋_GB2312"/>
          <w:b w:val="0"/>
          <w:bCs w:val="0"/>
          <w:color w:val="000000"/>
          <w:kern w:val="0"/>
          <w:sz w:val="28"/>
          <w:szCs w:val="28"/>
          <w:lang w:val="en-US" w:eastAsia="zh-CN" w:bidi="ar-SA"/>
        </w:rPr>
        <w:t>该项目的实施，提升了物业服务企业的社会信用度，掌握了业主对物业服务的需求和意见，增强了群众获得感、幸福感、安全感。但项目绩效目标设置不规范，项目合同管理、资金使用不够规范，预算编制依据不明确，过程监管及项目验收资料呈现不充分，项目绩效呈现不够充分。</w:t>
      </w:r>
    </w:p>
    <w:p>
      <w:pPr>
        <w:spacing w:line="520" w:lineRule="exact"/>
        <w:ind w:firstLine="560" w:firstLineChars="200"/>
        <w:outlineLvl w:val="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（四）绩效评价指标分析</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1、项目决策情况</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bookmarkStart w:id="8" w:name="_Toc19819"/>
      <w:bookmarkStart w:id="9" w:name="_Toc72244420"/>
      <w:bookmarkStart w:id="10" w:name="_Toc9002"/>
      <w:r>
        <w:rPr>
          <w:rFonts w:hint="eastAsia" w:ascii="仿宋_GB2312" w:hAnsi="仿宋_GB2312" w:eastAsia="仿宋_GB2312" w:cs="仿宋_GB2312"/>
          <w:b w:val="0"/>
          <w:bCs w:val="0"/>
          <w:color w:val="000000"/>
          <w:kern w:val="0"/>
          <w:sz w:val="28"/>
          <w:szCs w:val="28"/>
          <w:lang w:val="en-US" w:eastAsia="zh-CN" w:bidi="ar-SA"/>
        </w:rPr>
        <w:t>（1）项目立项情况</w:t>
      </w:r>
      <w:bookmarkEnd w:id="8"/>
      <w:bookmarkEnd w:id="9"/>
      <w:bookmarkEnd w:id="10"/>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该项目依据《北京市大兴区住房和城乡建设委员会关于开展居住小区物业服务项目履约考评工作的通知》，为进一步落实好全市街道工作会议要求，规范物业服务行业市场秩序，提升物业服务企业的社会信用度，掌握业主对物业服务的需求和意见，不断增强群众获得感、幸福感、安全感，大兴区自2019年起开展居住小区物业服务项目履约考评工作，天宫院街道依据相关文件设立该项目，项目立项依据较为充分。</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bookmarkStart w:id="11" w:name="_Toc17234"/>
      <w:bookmarkStart w:id="12" w:name="_Toc17725"/>
      <w:bookmarkStart w:id="13" w:name="_Toc72244421"/>
      <w:r>
        <w:rPr>
          <w:rFonts w:hint="eastAsia" w:ascii="仿宋_GB2312" w:hAnsi="仿宋_GB2312" w:eastAsia="仿宋_GB2312" w:cs="仿宋_GB2312"/>
          <w:b w:val="0"/>
          <w:bCs w:val="0"/>
          <w:color w:val="000000"/>
          <w:kern w:val="0"/>
          <w:sz w:val="28"/>
          <w:szCs w:val="28"/>
          <w:lang w:val="en-US" w:eastAsia="zh-CN" w:bidi="ar-SA"/>
        </w:rPr>
        <w:t>（2）绩效目标情况</w:t>
      </w:r>
      <w:bookmarkEnd w:id="11"/>
      <w:bookmarkEnd w:id="12"/>
      <w:bookmarkEnd w:id="13"/>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lang w:val="en-US" w:eastAsia="zh-CN"/>
        </w:rPr>
      </w:pPr>
      <w:r>
        <w:rPr>
          <w:rFonts w:hint="eastAsia" w:ascii="仿宋_GB2312" w:hAnsi="仿宋_GB2312" w:eastAsia="仿宋_GB2312" w:cs="仿宋_GB2312"/>
          <w:b w:val="0"/>
          <w:bCs w:val="0"/>
          <w:color w:val="000000"/>
          <w:kern w:val="0"/>
          <w:sz w:val="28"/>
          <w:szCs w:val="28"/>
          <w:lang w:val="en-US" w:eastAsia="zh-CN" w:bidi="ar-SA"/>
        </w:rPr>
        <w:t>该项目设置了总体绩效目标和绩效指标，绩效目标明确了项目实施内容，但未明确项目实施效益。部分绩效指标设置的细化、量化程度不足，如时效指标设置为“计划完成2024年12月”，时效指标仅体现项目整体完成时间，未细化项目采购、合同签订等关键环节的时间节点；经济成本指标设置为“预算控制≤26万”，未明确各分项成本；效益指标均为定性表述，量化程度不足；服务对象满意度指标设置为“服务对象满意度≥80%”，指标设置明确性不足。</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bookmarkStart w:id="14" w:name="_Toc6307"/>
      <w:bookmarkStart w:id="15" w:name="_Toc19347"/>
      <w:bookmarkStart w:id="16" w:name="_Toc72244422"/>
      <w:r>
        <w:rPr>
          <w:rFonts w:hint="eastAsia" w:ascii="仿宋_GB2312" w:hAnsi="仿宋_GB2312" w:eastAsia="仿宋_GB2312" w:cs="仿宋_GB2312"/>
          <w:b w:val="0"/>
          <w:bCs w:val="0"/>
          <w:color w:val="000000"/>
          <w:kern w:val="0"/>
          <w:sz w:val="28"/>
          <w:szCs w:val="28"/>
          <w:lang w:val="en-US" w:eastAsia="zh-CN" w:bidi="ar-SA"/>
        </w:rPr>
        <w:t>（3）资金投入情况</w:t>
      </w:r>
      <w:bookmarkEnd w:id="14"/>
      <w:bookmarkEnd w:id="15"/>
      <w:bookmarkEnd w:id="16"/>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rPr>
      </w:pPr>
      <w:r>
        <w:rPr>
          <w:rFonts w:hint="eastAsia" w:ascii="仿宋_GB2312" w:hAnsi="仿宋_GB2312" w:eastAsia="仿宋_GB2312" w:cs="仿宋_GB2312"/>
          <w:b w:val="0"/>
          <w:bCs w:val="0"/>
          <w:color w:val="000000"/>
          <w:kern w:val="0"/>
          <w:sz w:val="28"/>
          <w:szCs w:val="28"/>
          <w:lang w:val="en-US" w:eastAsia="zh-CN" w:bidi="ar-SA"/>
        </w:rPr>
        <w:t>该项目2021年该项目预算27万元，按每个小区1万元测算，项目测算依据不充分，未结合工作量进行测算，预算确定的项目投资额或资金量与工作任务匹配度不高。</w:t>
      </w:r>
    </w:p>
    <w:p>
      <w:pPr>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2、项目过程情况</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bookmarkStart w:id="17" w:name="_Toc72244424"/>
      <w:bookmarkStart w:id="18" w:name="_Toc28141"/>
      <w:bookmarkStart w:id="19" w:name="_Toc26379"/>
      <w:r>
        <w:rPr>
          <w:rFonts w:hint="eastAsia" w:ascii="仿宋_GB2312" w:hAnsi="仿宋_GB2312" w:eastAsia="仿宋_GB2312" w:cs="仿宋_GB2312"/>
          <w:b w:val="0"/>
          <w:bCs w:val="0"/>
          <w:color w:val="000000"/>
          <w:kern w:val="0"/>
          <w:sz w:val="28"/>
          <w:szCs w:val="28"/>
          <w:lang w:val="en-US" w:eastAsia="zh-CN" w:bidi="ar-SA"/>
        </w:rPr>
        <w:t>（1）资金管理情况</w:t>
      </w:r>
      <w:bookmarkEnd w:id="17"/>
      <w:bookmarkEnd w:id="18"/>
      <w:bookmarkEnd w:id="19"/>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lang w:val="en-US" w:eastAsia="zh-CN"/>
        </w:rPr>
      </w:pPr>
      <w:bookmarkStart w:id="20" w:name="_Toc24399"/>
      <w:bookmarkStart w:id="21" w:name="_Toc72244425"/>
      <w:r>
        <w:rPr>
          <w:rFonts w:hint="eastAsia" w:ascii="仿宋_GB2312" w:hAnsi="仿宋_GB2312" w:eastAsia="仿宋_GB2312" w:cs="仿宋_GB2312"/>
          <w:b w:val="0"/>
          <w:bCs w:val="0"/>
          <w:color w:val="000000"/>
          <w:kern w:val="0"/>
          <w:sz w:val="28"/>
          <w:szCs w:val="28"/>
          <w:lang w:val="en-US" w:eastAsia="zh-CN" w:bidi="ar-SA"/>
        </w:rPr>
        <w:t>天宫院街道依据《北京市大兴区天宫院街道内部控制手册》对支出经费进行管控，保证预算支出的规范性、确保绩效目标有效实现。该项目资金支出基本按规定履行了单位内部审批程序，通过查阅资金支出审批相关资料，该项目资金支出履行了单位内部的审批程序，资金支出程序较为规范，但资金管理存在以下问题：一是项目资金支付时间滞后；二是项目预算测算依据不充分，预算编制按照每个被考评小区1万元测算，测算依据不明确。</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bookmarkStart w:id="22" w:name="_Toc25228"/>
      <w:r>
        <w:rPr>
          <w:rFonts w:hint="eastAsia" w:ascii="仿宋_GB2312" w:hAnsi="仿宋_GB2312" w:eastAsia="仿宋_GB2312" w:cs="仿宋_GB2312"/>
          <w:b w:val="0"/>
          <w:bCs w:val="0"/>
          <w:color w:val="000000"/>
          <w:kern w:val="0"/>
          <w:sz w:val="28"/>
          <w:szCs w:val="28"/>
          <w:lang w:val="en-US" w:eastAsia="zh-CN" w:bidi="ar-SA"/>
        </w:rPr>
        <w:t>（2）组织实施情况</w:t>
      </w:r>
      <w:bookmarkEnd w:id="20"/>
      <w:bookmarkEnd w:id="21"/>
      <w:bookmarkEnd w:id="22"/>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天宫院街道聘请第三方机构对辖区内的物业项目开展履约考评工作，评估对象为25个物业服务小区及2个应急物业服务小区。考评内容包括业主评价、管理评价及专业评价，考评公司通过比选的形式确定。2021年12月，天宫院街道与第三方公司签订了物业服务质量评估监理合同书，合同期限自2021年12月1日至2022年11月30日，费用为25万元。2022年11月，第三方公司完成了天宫院街道2022年居住小区物业服务项目履约考评工作，并出具了评估报告。项目资金于2024年支付。</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天宫院街道根据《北京市大兴区住房和城乡建设委员会关于开展居住小区物业服务项目履约考评工作的通知》《北京市大兴区居住小区物业服务项目履约考评工作指引》及《北京市大兴区天宫院街道内部控制手册》执行该项目。该项目组织实施流程较为清晰，且采取了一定的管理措施，但项目组织管理存在以下问题：</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一是项目缺少项目整体实施方案，未明确项目组织机构、项目职责分工、项目进度计划、项目实施保障措施、监管机制、督导检查及验收等内容。</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二是该项目合同签订不够规范，合同名称为“物业服务质量评估监理合同书”，项目名称为“天宫院街道居住小区物业服务履约考评项目”，项目名称与实际内容、预算申报项目名称不符，合同任务不够清晰明确。</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三是该项目监管过程不清晰，对第三方监管控制措施不够清晰明确。该项目经过履行招标比选程序遴选确定第三方服务商，招标过程比较清晰，但缺少对第三方投入人员数量和开展评估检查过程的监管留痕资料。</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lang w:val="en-US" w:eastAsia="zh-CN"/>
        </w:rPr>
      </w:pPr>
      <w:r>
        <w:rPr>
          <w:rFonts w:hint="eastAsia" w:ascii="仿宋_GB2312" w:hAnsi="仿宋_GB2312" w:eastAsia="仿宋_GB2312" w:cs="仿宋_GB2312"/>
          <w:b w:val="0"/>
          <w:bCs w:val="0"/>
          <w:color w:val="000000"/>
          <w:kern w:val="0"/>
          <w:sz w:val="28"/>
          <w:szCs w:val="28"/>
          <w:lang w:val="en-US" w:eastAsia="zh-CN" w:bidi="ar-SA"/>
        </w:rPr>
        <w:t>评价认为，该项目基本按照相关制度执行，组织实施流程较清晰，但项目管理制度及方案不够健全完善，对第三方的监督管理有待加强。</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3、项目产出情况</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rPr>
      </w:pPr>
      <w:r>
        <w:rPr>
          <w:rFonts w:hint="eastAsia" w:ascii="仿宋_GB2312" w:hAnsi="仿宋_GB2312" w:eastAsia="仿宋_GB2312" w:cs="仿宋_GB2312"/>
          <w:b w:val="0"/>
          <w:bCs w:val="0"/>
          <w:color w:val="000000"/>
          <w:kern w:val="0"/>
          <w:sz w:val="28"/>
          <w:szCs w:val="28"/>
          <w:lang w:val="en-US" w:eastAsia="zh-CN" w:bidi="ar-SA"/>
        </w:rPr>
        <w:t>第三方公司依据北京市大兴区住房和城乡建设委员会下发的《北京市大兴区居住小区物业服务项目履约考评工作指引》对辖区25个物业服务项目年度履约考评工作及2个应急物业服务项目月度履约考评工作，进行业主满意度评价、管理部门评价及专业人员评价并出具评估报告，2022年度物业服务项目履约考评工作已顺利完成。</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4、项目效益情况</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rPr>
      </w:pPr>
      <w:r>
        <w:rPr>
          <w:rFonts w:hint="eastAsia" w:ascii="仿宋_GB2312" w:hAnsi="仿宋_GB2312" w:eastAsia="仿宋_GB2312" w:cs="仿宋_GB2312"/>
          <w:b w:val="0"/>
          <w:bCs w:val="0"/>
          <w:color w:val="000000"/>
          <w:kern w:val="0"/>
          <w:sz w:val="28"/>
          <w:szCs w:val="28"/>
          <w:lang w:val="en-US" w:eastAsia="zh-CN" w:bidi="ar-SA"/>
        </w:rPr>
        <w:t>通过实施该项目，提升物业服务企业的社会信用度，掌握业主对物业服务的需求和意见。依据2022年度履约考评评分结果，天宫院街道辖区内物业服务项目平均业主满意率为93.55%。但是存在项目绩效呈现不够充分，天宫院街道后续对物业服务公司的督促整改和评估结果应用情况不明确。此外，作为多年延续性项目，对近年项目开展情况，取得的成绩和经验，以及存在的问题和下一步促进管理的建议意见等缺少汇总分析，项目绩效呈现不充分。缺少满意度调查资料，未提供满意度调查方案和满意度调查统计资料。</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（五）主要经验及做法、存在的问题及原因分析</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bookmarkStart w:id="23" w:name="_Toc10369"/>
      <w:r>
        <w:rPr>
          <w:rFonts w:hint="eastAsia" w:ascii="仿宋_GB2312" w:hAnsi="仿宋_GB2312" w:eastAsia="仿宋_GB2312" w:cs="仿宋_GB2312"/>
          <w:b w:val="0"/>
          <w:bCs w:val="0"/>
          <w:color w:val="000000"/>
          <w:kern w:val="0"/>
          <w:sz w:val="28"/>
          <w:szCs w:val="28"/>
          <w:lang w:val="en-US" w:eastAsia="zh-CN" w:bidi="ar-SA"/>
        </w:rPr>
        <w:t>1、主要经验及做法</w:t>
      </w:r>
      <w:bookmarkEnd w:id="23"/>
    </w:p>
    <w:p>
      <w:pPr>
        <w:spacing w:line="560" w:lineRule="exact"/>
        <w:ind w:firstLine="560" w:firstLineChars="200"/>
        <w:rPr>
          <w:rFonts w:hint="eastAsia"/>
          <w:lang w:val="en-US" w:eastAsia="zh-CN"/>
        </w:rPr>
      </w:pPr>
      <w:r>
        <w:rPr>
          <w:rFonts w:hint="eastAsia" w:ascii="仿宋_GB2312" w:hAnsi="仿宋_GB2312" w:eastAsia="仿宋_GB2312" w:cs="仿宋_GB2312"/>
          <w:b w:val="0"/>
          <w:bCs w:val="0"/>
          <w:color w:val="000000"/>
          <w:kern w:val="0"/>
          <w:sz w:val="28"/>
          <w:szCs w:val="28"/>
          <w:lang w:val="en-US" w:eastAsia="zh-CN" w:bidi="ar-SA"/>
        </w:rPr>
        <w:t>依据履约考评评分结果，对辖区所有居住小区物业服务项目进行排名，排名第一及最后的物业服务项目及企业将纳入大兴区物业服务企业“红黑榜”名单，从而进一步规范物业服务行业市场秩序，提升物业服务企业的社会信用度，掌握业主对物业服务的需求和意见。</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bookmarkStart w:id="24" w:name="_Toc7693"/>
      <w:r>
        <w:rPr>
          <w:rFonts w:hint="eastAsia" w:ascii="仿宋_GB2312" w:hAnsi="仿宋_GB2312" w:eastAsia="仿宋_GB2312" w:cs="仿宋_GB2312"/>
          <w:b w:val="0"/>
          <w:bCs w:val="0"/>
          <w:color w:val="000000"/>
          <w:kern w:val="0"/>
          <w:sz w:val="28"/>
          <w:szCs w:val="28"/>
          <w:lang w:val="en-US" w:eastAsia="zh-CN" w:bidi="ar-SA"/>
        </w:rPr>
        <w:t>2、存在的问题及原因分析</w:t>
      </w:r>
      <w:bookmarkEnd w:id="24"/>
    </w:p>
    <w:p>
      <w:pPr>
        <w:spacing w:line="560" w:lineRule="exact"/>
        <w:ind w:firstLine="560" w:firstLineChars="200"/>
        <w:rPr>
          <w:rFonts w:hint="default"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（1）绩效目标设置不规范</w:t>
      </w:r>
    </w:p>
    <w:p>
      <w:pPr>
        <w:spacing w:line="560" w:lineRule="exact"/>
        <w:ind w:firstLine="560" w:firstLineChars="200"/>
        <w:rPr>
          <w:rFonts w:hint="eastAsia"/>
          <w:lang w:val="en-US" w:eastAsia="zh-CN"/>
        </w:rPr>
      </w:pPr>
      <w:r>
        <w:rPr>
          <w:rFonts w:hint="eastAsia" w:ascii="仿宋_GB2312" w:hAnsi="仿宋_GB2312" w:eastAsia="仿宋_GB2312" w:cs="仿宋_GB2312"/>
          <w:b w:val="0"/>
          <w:bCs w:val="0"/>
          <w:color w:val="000000"/>
          <w:kern w:val="0"/>
          <w:sz w:val="28"/>
          <w:szCs w:val="28"/>
          <w:lang w:val="en-US" w:eastAsia="zh-CN" w:bidi="ar-SA"/>
        </w:rPr>
        <w:t>该项目设置了总体绩效目标和绩效指标，绩效目标明确了项目实施内容，但未明确项目实施效益。部分绩效指标设置的细化、量化程度不足，如时效指标设置为“计划完成2024年12月”，时效指标仅体现项目整体完成时间，未细化项目采购、合同签订等关键环节的时间节点；经济成本指标设置为“预算控制≤26万”，未明确各分项成本；效益指标均为定性表述，量化程度不足；服务对象满意度指标设置为“服务对象满意度≥80%”，指标设置明确性不足。</w:t>
      </w:r>
    </w:p>
    <w:p>
      <w:pPr>
        <w:spacing w:line="560" w:lineRule="exact"/>
        <w:ind w:firstLine="560" w:firstLineChars="20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（2）项目过程管理不完善</w:t>
      </w:r>
    </w:p>
    <w:p>
      <w:pPr>
        <w:spacing w:line="560" w:lineRule="exact"/>
        <w:ind w:firstLine="560" w:firstLineChars="20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一是该项目缺少项目整体实施方案，未明确项目组织机构、项目职责分工、项目进度计划、项目实施保障措施、监管机制、督导检查及验收等内容。</w:t>
      </w:r>
    </w:p>
    <w:p>
      <w:pPr>
        <w:spacing w:line="560" w:lineRule="exact"/>
        <w:ind w:firstLine="560" w:firstLineChars="20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二是该项目合同签订不够规范，合同名称为“物业服务质量评估监理合同书”，项目名称为“天宫院街道居住小区物业服务履约考评项目”，项目名称与实际内容、预算申报项目名称不符，合同任务不够清晰明确。</w:t>
      </w:r>
    </w:p>
    <w:p>
      <w:pPr>
        <w:spacing w:line="560" w:lineRule="exact"/>
        <w:ind w:firstLine="560" w:firstLineChars="20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三是项目资金支付时间滞后,预算测算依据不充分。2021年该项目预算25万元，按每个小区1万元，项目测算依据不足，预算确定的项目投资额或资金量与工作任务匹配度不高，需提高预算科学性、合理性。</w:t>
      </w:r>
    </w:p>
    <w:p>
      <w:pPr>
        <w:spacing w:line="560" w:lineRule="exact"/>
        <w:ind w:firstLine="560" w:firstLineChars="200"/>
        <w:rPr>
          <w:rFonts w:hint="eastAsia"/>
          <w:lang w:val="en-US" w:eastAsia="zh-CN"/>
        </w:rPr>
      </w:pPr>
      <w:r>
        <w:rPr>
          <w:rFonts w:hint="eastAsia" w:ascii="仿宋_GB2312" w:hAnsi="仿宋_GB2312" w:eastAsia="仿宋_GB2312" w:cs="仿宋_GB2312"/>
          <w:b w:val="0"/>
          <w:bCs w:val="0"/>
          <w:color w:val="000000"/>
          <w:kern w:val="0"/>
          <w:sz w:val="28"/>
          <w:szCs w:val="28"/>
          <w:lang w:val="en-US" w:eastAsia="zh-CN" w:bidi="ar-SA"/>
        </w:rPr>
        <w:t>四是该项目监管过程不清晰，对第三方监管控制措施不够清晰明确。该项目经过履行招标比选程序遴选确定第三方服务商，招标过程比较清晰，但缺少对第三方投入人员数量和开展评估检查过程的监管留痕资料。</w:t>
      </w:r>
    </w:p>
    <w:p>
      <w:pPr>
        <w:spacing w:line="560" w:lineRule="exact"/>
        <w:ind w:firstLine="560" w:firstLineChars="200"/>
        <w:rPr>
          <w:rFonts w:hint="eastAsia" w:ascii="仿宋_GB2312" w:hAnsi="仿宋_GB2312" w:eastAsia="仿宋_GB2312" w:cs="仿宋_GB2312"/>
          <w:b w:val="0"/>
          <w:bCs w:val="0"/>
          <w:color w:val="000000"/>
          <w:kern w:val="0"/>
          <w:sz w:val="28"/>
          <w:szCs w:val="28"/>
          <w:lang w:val="en-US" w:eastAsia="zh-CN" w:bidi="ar-SA"/>
        </w:rPr>
      </w:pPr>
      <w:bookmarkStart w:id="25" w:name="_Toc114"/>
      <w:bookmarkStart w:id="26" w:name="_Toc31899"/>
      <w:r>
        <w:rPr>
          <w:rFonts w:hint="eastAsia" w:ascii="仿宋_GB2312" w:hAnsi="仿宋_GB2312" w:eastAsia="仿宋_GB2312" w:cs="仿宋_GB2312"/>
          <w:b w:val="0"/>
          <w:bCs w:val="0"/>
          <w:color w:val="000000"/>
          <w:kern w:val="0"/>
          <w:sz w:val="28"/>
          <w:szCs w:val="28"/>
          <w:lang w:val="en-US" w:eastAsia="zh-CN" w:bidi="ar-SA"/>
        </w:rPr>
        <w:t>（3）项目产出及绩效呈现不够充分</w:t>
      </w:r>
    </w:p>
    <w:bookmarkEnd w:id="25"/>
    <w:bookmarkEnd w:id="26"/>
    <w:p>
      <w:pPr>
        <w:spacing w:line="560" w:lineRule="exact"/>
        <w:ind w:firstLine="560" w:firstLineChars="20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b w:val="0"/>
          <w:bCs w:val="0"/>
          <w:color w:val="000000"/>
          <w:kern w:val="0"/>
          <w:sz w:val="28"/>
          <w:szCs w:val="28"/>
          <w:lang w:val="en-US" w:eastAsia="zh-CN" w:bidi="ar-SA"/>
        </w:rPr>
        <w:t>项目绩效呈现不够充分，天宫院街道后续对物业服务公司的督促整改和评估结果应用情况不明确。此外，作为多年延续性项目，对近年项目开展情况，取得的成绩和经验，以及存在的问题和下一步促进管理的建议意见等缺少汇总分析，项目绩效呈现不充分。缺少满意度调查资料，未提供满意度调查方案和满意度调查统计资料。</w:t>
      </w:r>
    </w:p>
    <w:p>
      <w:pPr>
        <w:numPr>
          <w:ilvl w:val="0"/>
          <w:numId w:val="0"/>
        </w:numPr>
        <w:spacing w:line="520" w:lineRule="exact"/>
        <w:ind w:firstLine="560" w:firstLineChars="200"/>
        <w:outlineLvl w:val="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六）</w:t>
      </w:r>
      <w:r>
        <w:rPr>
          <w:rFonts w:hint="eastAsia" w:ascii="仿宋_GB2312" w:hAnsi="仿宋_GB2312" w:eastAsia="仿宋_GB2312" w:cs="仿宋_GB2312"/>
          <w:color w:val="000000"/>
          <w:kern w:val="0"/>
          <w:sz w:val="28"/>
          <w:szCs w:val="28"/>
          <w:lang w:eastAsia="zh-CN"/>
        </w:rPr>
        <w:t>有关建议</w:t>
      </w:r>
    </w:p>
    <w:p>
      <w:pPr>
        <w:spacing w:line="560" w:lineRule="exact"/>
        <w:ind w:firstLine="560" w:firstLineChars="20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1.科学合理设定绩效目标及绩效指标</w:t>
      </w:r>
    </w:p>
    <w:p>
      <w:pPr>
        <w:spacing w:line="560" w:lineRule="exact"/>
        <w:ind w:firstLine="560" w:firstLineChars="20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建议科学合理设定绩效目标，明确项目实施效益；绩效指标应指向清晰、细化、量化、可衡量，结合项目预期任务设置数量指标、质量指标；时效指标应体现项目实施的具体时间节点，如项目采购、合同签订等；经济成本指标应体现各分项成本或单价成本；效益指标需进一步量化明确，服务对象满意度指标中应明确具体的服务对象。</w:t>
      </w:r>
    </w:p>
    <w:p>
      <w:pPr>
        <w:spacing w:line="560" w:lineRule="exact"/>
        <w:ind w:firstLine="560" w:firstLineChars="20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2.加强过程管理规范性</w:t>
      </w:r>
    </w:p>
    <w:p>
      <w:pPr>
        <w:spacing w:line="560" w:lineRule="exact"/>
        <w:ind w:firstLine="560" w:firstLineChars="20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建议制定整体实施方案，明确项目组织机构、项目职责分工、项目进度计划、项目实施保障措施，监管机制、督导检查及验收等内容。加强合同管理，完善合同条款，资金支付进度应与项目履约进度、验收结果相结合。规范资金使用，按照合同约定的付款条约进行资金支付。完善项目监管及验收管理，加强对第三方服务结果及质量的审核、检查、验收资料的留痕。加强预算编制的科学性、合理性，夯实预算编制依据。</w:t>
      </w:r>
    </w:p>
    <w:p>
      <w:pPr>
        <w:spacing w:line="560" w:lineRule="exact"/>
        <w:ind w:firstLine="560" w:firstLineChars="20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3.充分呈现项目实施效果</w:t>
      </w:r>
    </w:p>
    <w:p>
      <w:pPr>
        <w:spacing w:line="560" w:lineRule="exact"/>
        <w:ind w:firstLine="560" w:firstLineChars="20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建议加强项目绩效成果的全面体现，充分总结梳理项目取得的经验及存在的问题，加强对评估结果的应用，对评估发现问题的后续整改加强监督管理。重视满意度调查工作，科学设计调查问卷，明确调查对象，加强问卷的统计分析和结果应用，持续推进项目绩效的改善和提升。</w:t>
      </w:r>
    </w:p>
    <w:p>
      <w:pPr>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（七）其他需要说明的问题</w:t>
      </w:r>
    </w:p>
    <w:p>
      <w:pPr>
        <w:spacing w:line="560" w:lineRule="exact"/>
        <w:ind w:firstLine="560" w:firstLineChars="200"/>
        <w:rPr>
          <w:rFonts w:hint="eastAsia" w:ascii="仿宋_GB2312" w:hAnsi="仿宋_GB2312" w:eastAsia="仿宋_GB2312" w:cs="仿宋_GB2312"/>
          <w:b w:val="0"/>
          <w:bCs w:val="0"/>
          <w:color w:val="000000"/>
          <w:kern w:val="0"/>
          <w:sz w:val="28"/>
          <w:szCs w:val="28"/>
          <w:lang w:val="en-US" w:eastAsia="zh-CN" w:bidi="ar-SA"/>
        </w:rPr>
      </w:pPr>
      <w:r>
        <w:rPr>
          <w:rFonts w:hint="eastAsia" w:ascii="仿宋_GB2312" w:hAnsi="仿宋_GB2312" w:eastAsia="仿宋_GB2312" w:cs="仿宋_GB2312"/>
          <w:b w:val="0"/>
          <w:bCs w:val="0"/>
          <w:color w:val="000000"/>
          <w:kern w:val="0"/>
          <w:sz w:val="28"/>
          <w:szCs w:val="28"/>
          <w:lang w:val="en-US" w:eastAsia="zh-CN" w:bidi="ar-SA"/>
        </w:rPr>
        <w:t>本报告是工作组根据对本项目提供的材料进行全面分析，结合调研情况，在专家评价意见的基础上综合形成的。本报告的结论与意见是参考性的，仅供预算管理使用，不做其他用途。</w:t>
      </w:r>
    </w:p>
    <w:p>
      <w:pPr>
        <w:pStyle w:val="9"/>
        <w:rPr>
          <w:rFonts w:hint="eastAsia"/>
          <w:lang w:val="en-US" w:eastAsia="zh-CN"/>
        </w:rPr>
      </w:pPr>
    </w:p>
    <w:p>
      <w:pPr>
        <w:pStyle w:val="9"/>
        <w:jc w:val="center"/>
        <w:rPr>
          <w:rFonts w:hint="eastAsia"/>
          <w:lang w:val="en-US" w:eastAsia="zh-CN"/>
        </w:rPr>
      </w:pPr>
      <w:r>
        <w:rPr>
          <w:rFonts w:hint="eastAsia" w:ascii="宋体" w:hAnsi="宋体"/>
          <w:b/>
          <w:sz w:val="28"/>
          <w:szCs w:val="28"/>
          <w:lang w:eastAsia="zh-CN"/>
        </w:rPr>
        <w:t>项目</w:t>
      </w:r>
      <w:bookmarkStart w:id="27" w:name="_Toc6352"/>
      <w:r>
        <w:rPr>
          <w:rFonts w:hint="eastAsia" w:ascii="宋体" w:hAnsi="宋体"/>
          <w:b/>
          <w:sz w:val="28"/>
          <w:szCs w:val="28"/>
        </w:rPr>
        <w:t>绩效评价指标体系及评分表</w:t>
      </w:r>
      <w:bookmarkEnd w:id="27"/>
    </w:p>
    <w:tbl>
      <w:tblPr>
        <w:tblStyle w:val="15"/>
        <w:tblW w:w="90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07"/>
        <w:gridCol w:w="1218"/>
        <w:gridCol w:w="846"/>
        <w:gridCol w:w="1756"/>
        <w:gridCol w:w="879"/>
        <w:gridCol w:w="1046"/>
        <w:gridCol w:w="22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8" w:hRule="atLeast"/>
          <w:jc w:val="center"/>
        </w:trPr>
        <w:tc>
          <w:tcPr>
            <w:tcW w:w="1107" w:type="dxa"/>
            <w:tcBorders>
              <w:top w:val="single" w:color="000000" w:sz="8" w:space="0"/>
              <w:left w:val="single" w:color="000000" w:sz="8" w:space="0"/>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一级指标</w:t>
            </w:r>
          </w:p>
        </w:tc>
        <w:tc>
          <w:tcPr>
            <w:tcW w:w="1218" w:type="dxa"/>
            <w:tcBorders>
              <w:top w:val="single" w:color="000000" w:sz="8" w:space="0"/>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二级指标</w:t>
            </w:r>
          </w:p>
        </w:tc>
        <w:tc>
          <w:tcPr>
            <w:tcW w:w="846" w:type="dxa"/>
            <w:tcBorders>
              <w:top w:val="single" w:color="000000" w:sz="8" w:space="0"/>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分值</w:t>
            </w:r>
          </w:p>
        </w:tc>
        <w:tc>
          <w:tcPr>
            <w:tcW w:w="1756" w:type="dxa"/>
            <w:tcBorders>
              <w:top w:val="single" w:color="000000" w:sz="8" w:space="0"/>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三级指标</w:t>
            </w:r>
          </w:p>
        </w:tc>
        <w:tc>
          <w:tcPr>
            <w:tcW w:w="879" w:type="dxa"/>
            <w:tcBorders>
              <w:top w:val="single" w:color="000000" w:sz="8" w:space="0"/>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分值</w:t>
            </w:r>
          </w:p>
        </w:tc>
        <w:tc>
          <w:tcPr>
            <w:tcW w:w="1046" w:type="dxa"/>
            <w:tcBorders>
              <w:top w:val="single" w:color="000000" w:sz="8" w:space="0"/>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专家评分</w:t>
            </w:r>
          </w:p>
        </w:tc>
        <w:tc>
          <w:tcPr>
            <w:tcW w:w="2203" w:type="dxa"/>
            <w:tcBorders>
              <w:top w:val="single" w:color="000000" w:sz="8" w:space="0"/>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扣分理由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jc w:val="center"/>
        </w:trPr>
        <w:tc>
          <w:tcPr>
            <w:tcW w:w="1107" w:type="dxa"/>
            <w:vMerge w:val="restart"/>
            <w:tcBorders>
              <w:top w:val="nil"/>
              <w:left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决策</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（20分）　</w:t>
            </w:r>
          </w:p>
        </w:tc>
        <w:tc>
          <w:tcPr>
            <w:tcW w:w="1218" w:type="dxa"/>
            <w:vMerge w:val="restart"/>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项目立项　</w:t>
            </w:r>
          </w:p>
        </w:tc>
        <w:tc>
          <w:tcPr>
            <w:tcW w:w="846" w:type="dxa"/>
            <w:vMerge w:val="restart"/>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75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立项依据充分性</w:t>
            </w:r>
          </w:p>
        </w:tc>
        <w:tc>
          <w:tcPr>
            <w:tcW w:w="879"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0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203" w:type="dxa"/>
            <w:tcBorders>
              <w:top w:val="nil"/>
              <w:left w:val="nil"/>
              <w:bottom w:val="single" w:color="000000" w:sz="8" w:space="0"/>
              <w:right w:val="single" w:color="000000" w:sz="8" w:space="0"/>
            </w:tcBorders>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3" w:hRule="atLeast"/>
          <w:jc w:val="center"/>
        </w:trPr>
        <w:tc>
          <w:tcPr>
            <w:tcW w:w="1107" w:type="dxa"/>
            <w:vMerge w:val="continue"/>
            <w:tcBorders>
              <w:left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218" w:type="dxa"/>
            <w:vMerge w:val="continue"/>
            <w:tcBorders>
              <w:top w:val="nil"/>
              <w:left w:val="nil"/>
              <w:bottom w:val="single" w:color="000000" w:sz="8" w:space="0"/>
              <w:right w:val="single" w:color="000000" w:sz="8" w:space="0"/>
            </w:tcBorders>
            <w:vAlign w:val="center"/>
          </w:tcPr>
          <w:p>
            <w:pPr>
              <w:jc w:val="center"/>
              <w:rPr>
                <w:rFonts w:hint="eastAsia" w:ascii="宋体" w:hAnsi="宋体" w:eastAsia="宋体" w:cs="宋体"/>
                <w:i w:val="0"/>
                <w:iCs w:val="0"/>
                <w:color w:val="000000"/>
                <w:sz w:val="21"/>
                <w:szCs w:val="21"/>
                <w:u w:val="none"/>
              </w:rPr>
            </w:pPr>
          </w:p>
        </w:tc>
        <w:tc>
          <w:tcPr>
            <w:tcW w:w="846" w:type="dxa"/>
            <w:vMerge w:val="continue"/>
            <w:tcBorders>
              <w:top w:val="nil"/>
              <w:left w:val="nil"/>
              <w:bottom w:val="single" w:color="000000" w:sz="8" w:space="0"/>
              <w:right w:val="single" w:color="000000" w:sz="8" w:space="0"/>
            </w:tcBorders>
            <w:vAlign w:val="center"/>
          </w:tcPr>
          <w:p>
            <w:pPr>
              <w:jc w:val="center"/>
              <w:rPr>
                <w:rFonts w:hint="eastAsia" w:ascii="宋体" w:hAnsi="宋体" w:eastAsia="宋体" w:cs="宋体"/>
                <w:i w:val="0"/>
                <w:iCs w:val="0"/>
                <w:color w:val="000000"/>
                <w:sz w:val="21"/>
                <w:szCs w:val="21"/>
                <w:u w:val="none"/>
              </w:rPr>
            </w:pPr>
          </w:p>
        </w:tc>
        <w:tc>
          <w:tcPr>
            <w:tcW w:w="175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立项程序规范性</w:t>
            </w:r>
          </w:p>
        </w:tc>
        <w:tc>
          <w:tcPr>
            <w:tcW w:w="879"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0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2.96</w:t>
            </w:r>
          </w:p>
        </w:tc>
        <w:tc>
          <w:tcPr>
            <w:tcW w:w="2203"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项目前期论证充分性不足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3" w:hRule="atLeast"/>
          <w:jc w:val="center"/>
        </w:trPr>
        <w:tc>
          <w:tcPr>
            <w:tcW w:w="1107" w:type="dxa"/>
            <w:vMerge w:val="continue"/>
            <w:tcBorders>
              <w:left w:val="single" w:color="000000" w:sz="8" w:space="0"/>
              <w:right w:val="single" w:color="000000" w:sz="8" w:space="0"/>
            </w:tcBorders>
            <w:vAlign w:val="center"/>
          </w:tcPr>
          <w:p>
            <w:pPr>
              <w:rPr>
                <w:rFonts w:hint="eastAsia" w:ascii="宋体" w:hAnsi="宋体" w:eastAsia="宋体" w:cs="宋体"/>
                <w:i w:val="0"/>
                <w:iCs w:val="0"/>
                <w:color w:val="000000"/>
                <w:sz w:val="22"/>
                <w:szCs w:val="22"/>
                <w:u w:val="none"/>
              </w:rPr>
            </w:pPr>
          </w:p>
        </w:tc>
        <w:tc>
          <w:tcPr>
            <w:tcW w:w="1218" w:type="dxa"/>
            <w:vMerge w:val="restart"/>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绩效目标　</w:t>
            </w:r>
          </w:p>
        </w:tc>
        <w:tc>
          <w:tcPr>
            <w:tcW w:w="846" w:type="dxa"/>
            <w:vMerge w:val="restart"/>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75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绩效目标合理性</w:t>
            </w:r>
          </w:p>
        </w:tc>
        <w:tc>
          <w:tcPr>
            <w:tcW w:w="879"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0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203"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绩效目标设置合理性不足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92" w:hRule="atLeast"/>
          <w:jc w:val="center"/>
        </w:trPr>
        <w:tc>
          <w:tcPr>
            <w:tcW w:w="1107" w:type="dxa"/>
            <w:vMerge w:val="continue"/>
            <w:tcBorders>
              <w:left w:val="single" w:color="000000" w:sz="8" w:space="0"/>
              <w:right w:val="single" w:color="000000" w:sz="8" w:space="0"/>
            </w:tcBorders>
            <w:vAlign w:val="center"/>
          </w:tcPr>
          <w:p>
            <w:pPr>
              <w:rPr>
                <w:rFonts w:hint="eastAsia" w:ascii="宋体" w:hAnsi="宋体" w:eastAsia="宋体" w:cs="宋体"/>
                <w:i w:val="0"/>
                <w:iCs w:val="0"/>
                <w:color w:val="000000"/>
                <w:sz w:val="22"/>
                <w:szCs w:val="22"/>
                <w:u w:val="none"/>
              </w:rPr>
            </w:pPr>
          </w:p>
        </w:tc>
        <w:tc>
          <w:tcPr>
            <w:tcW w:w="1218" w:type="dxa"/>
            <w:vMerge w:val="continue"/>
            <w:tcBorders>
              <w:top w:val="nil"/>
              <w:left w:val="nil"/>
              <w:bottom w:val="single" w:color="000000" w:sz="8" w:space="0"/>
              <w:right w:val="single" w:color="000000" w:sz="8" w:space="0"/>
            </w:tcBorders>
            <w:vAlign w:val="center"/>
          </w:tcPr>
          <w:p>
            <w:pPr>
              <w:jc w:val="center"/>
              <w:rPr>
                <w:rFonts w:hint="eastAsia" w:ascii="宋体" w:hAnsi="宋体" w:eastAsia="宋体" w:cs="宋体"/>
                <w:i w:val="0"/>
                <w:iCs w:val="0"/>
                <w:color w:val="000000"/>
                <w:sz w:val="21"/>
                <w:szCs w:val="21"/>
                <w:u w:val="none"/>
              </w:rPr>
            </w:pPr>
          </w:p>
        </w:tc>
        <w:tc>
          <w:tcPr>
            <w:tcW w:w="846" w:type="dxa"/>
            <w:vMerge w:val="continue"/>
            <w:tcBorders>
              <w:top w:val="nil"/>
              <w:left w:val="nil"/>
              <w:bottom w:val="single" w:color="000000" w:sz="8" w:space="0"/>
              <w:right w:val="single" w:color="000000" w:sz="8" w:space="0"/>
            </w:tcBorders>
            <w:vAlign w:val="center"/>
          </w:tcPr>
          <w:p>
            <w:pPr>
              <w:jc w:val="center"/>
              <w:rPr>
                <w:rFonts w:hint="eastAsia" w:ascii="宋体" w:hAnsi="宋体" w:eastAsia="宋体" w:cs="宋体"/>
                <w:i w:val="0"/>
                <w:iCs w:val="0"/>
                <w:color w:val="000000"/>
                <w:sz w:val="21"/>
                <w:szCs w:val="21"/>
                <w:u w:val="none"/>
              </w:rPr>
            </w:pPr>
          </w:p>
        </w:tc>
        <w:tc>
          <w:tcPr>
            <w:tcW w:w="175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绩效指标明确性</w:t>
            </w:r>
          </w:p>
        </w:tc>
        <w:tc>
          <w:tcPr>
            <w:tcW w:w="879"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0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203"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绩效指标全面性不足，部分绩效指标细化程度不足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jc w:val="center"/>
        </w:trPr>
        <w:tc>
          <w:tcPr>
            <w:tcW w:w="1107" w:type="dxa"/>
            <w:vMerge w:val="continue"/>
            <w:tcBorders>
              <w:left w:val="single" w:color="000000" w:sz="8" w:space="0"/>
              <w:bottom w:val="single" w:color="000000" w:sz="8" w:space="0"/>
              <w:right w:val="single" w:color="000000" w:sz="8" w:space="0"/>
            </w:tcBorders>
            <w:vAlign w:val="center"/>
          </w:tcPr>
          <w:p>
            <w:pPr>
              <w:rPr>
                <w:rFonts w:hint="eastAsia" w:ascii="宋体" w:hAnsi="宋体" w:eastAsia="宋体" w:cs="宋体"/>
                <w:i w:val="0"/>
                <w:iCs w:val="0"/>
                <w:color w:val="000000"/>
                <w:sz w:val="22"/>
                <w:szCs w:val="22"/>
                <w:u w:val="none"/>
              </w:rPr>
            </w:pPr>
          </w:p>
        </w:tc>
        <w:tc>
          <w:tcPr>
            <w:tcW w:w="1218"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资金投入</w:t>
            </w:r>
          </w:p>
        </w:tc>
        <w:tc>
          <w:tcPr>
            <w:tcW w:w="8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75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预算编制科学性</w:t>
            </w:r>
          </w:p>
        </w:tc>
        <w:tc>
          <w:tcPr>
            <w:tcW w:w="879"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0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2.68</w:t>
            </w:r>
          </w:p>
        </w:tc>
        <w:tc>
          <w:tcPr>
            <w:tcW w:w="2203" w:type="dxa"/>
            <w:tcBorders>
              <w:top w:val="nil"/>
              <w:left w:val="nil"/>
              <w:bottom w:val="single" w:color="000000" w:sz="8" w:space="0"/>
              <w:right w:val="single" w:color="000000" w:sz="8" w:space="0"/>
            </w:tcBorders>
            <w:vAlign w:val="center"/>
          </w:tcPr>
          <w:p>
            <w:pPr>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预算编审过程不明确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107" w:type="dxa"/>
            <w:vMerge w:val="restart"/>
            <w:tcBorders>
              <w:top w:val="nil"/>
              <w:left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过程</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（20分）</w:t>
            </w:r>
          </w:p>
        </w:tc>
        <w:tc>
          <w:tcPr>
            <w:tcW w:w="1218" w:type="dxa"/>
            <w:vMerge w:val="restart"/>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资金管理</w:t>
            </w:r>
          </w:p>
        </w:tc>
        <w:tc>
          <w:tcPr>
            <w:tcW w:w="846" w:type="dxa"/>
            <w:vMerge w:val="restart"/>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75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预算执行率</w:t>
            </w:r>
          </w:p>
        </w:tc>
        <w:tc>
          <w:tcPr>
            <w:tcW w:w="879"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0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203" w:type="dxa"/>
            <w:tcBorders>
              <w:top w:val="nil"/>
              <w:left w:val="nil"/>
              <w:bottom w:val="single" w:color="000000" w:sz="8" w:space="0"/>
              <w:right w:val="single" w:color="000000" w:sz="8" w:space="0"/>
            </w:tcBorders>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2" w:hRule="atLeast"/>
          <w:jc w:val="center"/>
        </w:trPr>
        <w:tc>
          <w:tcPr>
            <w:tcW w:w="1107" w:type="dxa"/>
            <w:vMerge w:val="continue"/>
            <w:tcBorders>
              <w:left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218" w:type="dxa"/>
            <w:vMerge w:val="continue"/>
            <w:tcBorders>
              <w:top w:val="nil"/>
              <w:left w:val="nil"/>
              <w:bottom w:val="single" w:color="000000" w:sz="8" w:space="0"/>
              <w:right w:val="single" w:color="000000" w:sz="8" w:space="0"/>
            </w:tcBorders>
            <w:vAlign w:val="center"/>
          </w:tcPr>
          <w:p>
            <w:pPr>
              <w:jc w:val="center"/>
              <w:rPr>
                <w:rFonts w:hint="eastAsia" w:ascii="宋体" w:hAnsi="宋体" w:eastAsia="宋体" w:cs="宋体"/>
                <w:i w:val="0"/>
                <w:iCs w:val="0"/>
                <w:color w:val="000000"/>
                <w:sz w:val="21"/>
                <w:szCs w:val="21"/>
                <w:u w:val="none"/>
              </w:rPr>
            </w:pPr>
          </w:p>
        </w:tc>
        <w:tc>
          <w:tcPr>
            <w:tcW w:w="846" w:type="dxa"/>
            <w:vMerge w:val="continue"/>
            <w:tcBorders>
              <w:top w:val="nil"/>
              <w:left w:val="nil"/>
              <w:bottom w:val="single" w:color="000000" w:sz="8" w:space="0"/>
              <w:right w:val="single" w:color="000000" w:sz="8" w:space="0"/>
            </w:tcBorders>
            <w:vAlign w:val="center"/>
          </w:tcPr>
          <w:p>
            <w:pPr>
              <w:jc w:val="center"/>
              <w:rPr>
                <w:rFonts w:hint="eastAsia" w:ascii="宋体" w:hAnsi="宋体" w:eastAsia="宋体" w:cs="宋体"/>
                <w:i w:val="0"/>
                <w:iCs w:val="0"/>
                <w:color w:val="000000"/>
                <w:sz w:val="21"/>
                <w:szCs w:val="21"/>
                <w:u w:val="none"/>
              </w:rPr>
            </w:pPr>
          </w:p>
        </w:tc>
        <w:tc>
          <w:tcPr>
            <w:tcW w:w="175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资金使用合规性</w:t>
            </w:r>
          </w:p>
        </w:tc>
        <w:tc>
          <w:tcPr>
            <w:tcW w:w="879"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0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3.52</w:t>
            </w:r>
          </w:p>
        </w:tc>
        <w:tc>
          <w:tcPr>
            <w:tcW w:w="2203"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资金支付滞后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jc w:val="center"/>
        </w:trPr>
        <w:tc>
          <w:tcPr>
            <w:tcW w:w="1107" w:type="dxa"/>
            <w:vMerge w:val="continue"/>
            <w:tcBorders>
              <w:left w:val="single" w:color="000000" w:sz="8" w:space="0"/>
              <w:right w:val="single" w:color="000000" w:sz="8" w:space="0"/>
            </w:tcBorders>
            <w:vAlign w:val="center"/>
          </w:tcPr>
          <w:p>
            <w:pPr>
              <w:rPr>
                <w:rFonts w:hint="eastAsia" w:ascii="宋体" w:hAnsi="宋体" w:eastAsia="宋体" w:cs="宋体"/>
                <w:i w:val="0"/>
                <w:iCs w:val="0"/>
                <w:color w:val="000000"/>
                <w:sz w:val="22"/>
                <w:szCs w:val="22"/>
                <w:u w:val="none"/>
              </w:rPr>
            </w:pPr>
          </w:p>
        </w:tc>
        <w:tc>
          <w:tcPr>
            <w:tcW w:w="1218" w:type="dxa"/>
            <w:vMerge w:val="restart"/>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业务管理</w:t>
            </w:r>
          </w:p>
        </w:tc>
        <w:tc>
          <w:tcPr>
            <w:tcW w:w="846" w:type="dxa"/>
            <w:vMerge w:val="restart"/>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75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管理制度健全性</w:t>
            </w:r>
          </w:p>
        </w:tc>
        <w:tc>
          <w:tcPr>
            <w:tcW w:w="879"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10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2.14</w:t>
            </w:r>
          </w:p>
        </w:tc>
        <w:tc>
          <w:tcPr>
            <w:tcW w:w="2203" w:type="dxa"/>
            <w:tcBorders>
              <w:top w:val="nil"/>
              <w:left w:val="nil"/>
              <w:bottom w:val="single" w:color="000000" w:sz="8" w:space="0"/>
              <w:right w:val="single" w:color="000000" w:sz="8" w:space="0"/>
            </w:tcBorders>
            <w:vAlign w:val="center"/>
          </w:tcPr>
          <w:p>
            <w:pPr>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未见建立专项管理制度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0" w:hRule="atLeast"/>
          <w:jc w:val="center"/>
        </w:trPr>
        <w:tc>
          <w:tcPr>
            <w:tcW w:w="1107" w:type="dxa"/>
            <w:vMerge w:val="continue"/>
            <w:tcBorders>
              <w:left w:val="single" w:color="000000" w:sz="8" w:space="0"/>
              <w:bottom w:val="single" w:color="000000" w:sz="8" w:space="0"/>
              <w:right w:val="single" w:color="000000" w:sz="8" w:space="0"/>
            </w:tcBorders>
            <w:vAlign w:val="center"/>
          </w:tcPr>
          <w:p>
            <w:pPr>
              <w:rPr>
                <w:rFonts w:hint="eastAsia" w:ascii="宋体" w:hAnsi="宋体" w:eastAsia="宋体" w:cs="宋体"/>
                <w:i w:val="0"/>
                <w:iCs w:val="0"/>
                <w:color w:val="000000"/>
                <w:sz w:val="22"/>
                <w:szCs w:val="22"/>
                <w:u w:val="none"/>
              </w:rPr>
            </w:pPr>
          </w:p>
        </w:tc>
        <w:tc>
          <w:tcPr>
            <w:tcW w:w="1218" w:type="dxa"/>
            <w:vMerge w:val="continue"/>
            <w:tcBorders>
              <w:top w:val="nil"/>
              <w:left w:val="nil"/>
              <w:bottom w:val="single" w:color="000000" w:sz="8" w:space="0"/>
              <w:right w:val="single" w:color="000000" w:sz="8" w:space="0"/>
            </w:tcBorders>
            <w:vAlign w:val="center"/>
          </w:tcPr>
          <w:p>
            <w:pPr>
              <w:jc w:val="center"/>
              <w:rPr>
                <w:rFonts w:hint="eastAsia" w:ascii="宋体" w:hAnsi="宋体" w:eastAsia="宋体" w:cs="宋体"/>
                <w:i w:val="0"/>
                <w:iCs w:val="0"/>
                <w:color w:val="000000"/>
                <w:sz w:val="21"/>
                <w:szCs w:val="21"/>
                <w:u w:val="none"/>
              </w:rPr>
            </w:pPr>
          </w:p>
        </w:tc>
        <w:tc>
          <w:tcPr>
            <w:tcW w:w="846" w:type="dxa"/>
            <w:vMerge w:val="continue"/>
            <w:tcBorders>
              <w:top w:val="nil"/>
              <w:left w:val="nil"/>
              <w:bottom w:val="single" w:color="000000" w:sz="8" w:space="0"/>
              <w:right w:val="single" w:color="000000" w:sz="8" w:space="0"/>
            </w:tcBorders>
            <w:vAlign w:val="center"/>
          </w:tcPr>
          <w:p>
            <w:pPr>
              <w:jc w:val="center"/>
              <w:rPr>
                <w:rFonts w:hint="eastAsia" w:ascii="宋体" w:hAnsi="宋体" w:eastAsia="宋体" w:cs="宋体"/>
                <w:i w:val="0"/>
                <w:iCs w:val="0"/>
                <w:color w:val="000000"/>
                <w:sz w:val="21"/>
                <w:szCs w:val="21"/>
                <w:u w:val="none"/>
              </w:rPr>
            </w:pPr>
          </w:p>
        </w:tc>
        <w:tc>
          <w:tcPr>
            <w:tcW w:w="175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制度执行有效性</w:t>
            </w:r>
          </w:p>
        </w:tc>
        <w:tc>
          <w:tcPr>
            <w:tcW w:w="879"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0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2203"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项目过程管理不规范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5" w:hRule="atLeast"/>
          <w:jc w:val="center"/>
        </w:trPr>
        <w:tc>
          <w:tcPr>
            <w:tcW w:w="1107" w:type="dxa"/>
            <w:vMerge w:val="restart"/>
            <w:tcBorders>
              <w:top w:val="nil"/>
              <w:left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产出</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（30分）</w:t>
            </w:r>
          </w:p>
        </w:tc>
        <w:tc>
          <w:tcPr>
            <w:tcW w:w="1218"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产出数量</w:t>
            </w:r>
          </w:p>
        </w:tc>
        <w:tc>
          <w:tcPr>
            <w:tcW w:w="8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75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实际完成率</w:t>
            </w:r>
          </w:p>
        </w:tc>
        <w:tc>
          <w:tcPr>
            <w:tcW w:w="879"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0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8.4</w:t>
            </w:r>
          </w:p>
        </w:tc>
        <w:tc>
          <w:tcPr>
            <w:tcW w:w="2203"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项目产出完成情况呈现不够充分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jc w:val="center"/>
        </w:trPr>
        <w:tc>
          <w:tcPr>
            <w:tcW w:w="1107" w:type="dxa"/>
            <w:vMerge w:val="continue"/>
            <w:tcBorders>
              <w:left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218"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产出质量</w:t>
            </w:r>
          </w:p>
        </w:tc>
        <w:tc>
          <w:tcPr>
            <w:tcW w:w="8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75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质量达标率（验收合格率）</w:t>
            </w:r>
          </w:p>
        </w:tc>
        <w:tc>
          <w:tcPr>
            <w:tcW w:w="879"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0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2203"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项目验收资料充分性不足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jc w:val="center"/>
        </w:trPr>
        <w:tc>
          <w:tcPr>
            <w:tcW w:w="1107" w:type="dxa"/>
            <w:vMerge w:val="continue"/>
            <w:tcBorders>
              <w:left w:val="single" w:color="000000" w:sz="8" w:space="0"/>
              <w:right w:val="single" w:color="000000" w:sz="8" w:space="0"/>
            </w:tcBorders>
            <w:vAlign w:val="center"/>
          </w:tcPr>
          <w:p>
            <w:pPr>
              <w:rPr>
                <w:rFonts w:hint="eastAsia" w:ascii="宋体" w:hAnsi="宋体" w:eastAsia="宋体" w:cs="宋体"/>
                <w:i w:val="0"/>
                <w:iCs w:val="0"/>
                <w:color w:val="000000"/>
                <w:sz w:val="22"/>
                <w:szCs w:val="22"/>
                <w:u w:val="none"/>
              </w:rPr>
            </w:pPr>
          </w:p>
        </w:tc>
        <w:tc>
          <w:tcPr>
            <w:tcW w:w="1218"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产出时效</w:t>
            </w:r>
          </w:p>
        </w:tc>
        <w:tc>
          <w:tcPr>
            <w:tcW w:w="8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75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auto"/>
                <w:kern w:val="0"/>
                <w:sz w:val="21"/>
                <w:szCs w:val="21"/>
                <w:u w:val="none"/>
                <w:lang w:val="en-US" w:eastAsia="zh-CN" w:bidi="ar"/>
              </w:rPr>
              <w:t>完成及时性</w:t>
            </w:r>
          </w:p>
        </w:tc>
        <w:tc>
          <w:tcPr>
            <w:tcW w:w="879"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0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203" w:type="dxa"/>
            <w:tcBorders>
              <w:top w:val="nil"/>
              <w:left w:val="nil"/>
              <w:bottom w:val="single" w:color="000000" w:sz="8" w:space="0"/>
              <w:right w:val="single" w:color="000000" w:sz="8" w:space="0"/>
            </w:tcBorders>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jc w:val="center"/>
        </w:trPr>
        <w:tc>
          <w:tcPr>
            <w:tcW w:w="1107" w:type="dxa"/>
            <w:vMerge w:val="continue"/>
            <w:tcBorders>
              <w:left w:val="single" w:color="000000" w:sz="8" w:space="0"/>
              <w:bottom w:val="single" w:color="000000" w:sz="8" w:space="0"/>
              <w:right w:val="single" w:color="000000" w:sz="8" w:space="0"/>
            </w:tcBorders>
            <w:vAlign w:val="center"/>
          </w:tcPr>
          <w:p>
            <w:pPr>
              <w:rPr>
                <w:rFonts w:hint="eastAsia" w:ascii="宋体" w:hAnsi="宋体" w:eastAsia="宋体" w:cs="宋体"/>
                <w:i w:val="0"/>
                <w:iCs w:val="0"/>
                <w:color w:val="000000"/>
                <w:sz w:val="22"/>
                <w:szCs w:val="22"/>
                <w:u w:val="none"/>
              </w:rPr>
            </w:pPr>
          </w:p>
        </w:tc>
        <w:tc>
          <w:tcPr>
            <w:tcW w:w="1218"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产出成本</w:t>
            </w:r>
          </w:p>
        </w:tc>
        <w:tc>
          <w:tcPr>
            <w:tcW w:w="8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75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成本节约率</w:t>
            </w:r>
          </w:p>
        </w:tc>
        <w:tc>
          <w:tcPr>
            <w:tcW w:w="879"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0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2203" w:type="dxa"/>
            <w:tcBorders>
              <w:top w:val="nil"/>
              <w:left w:val="nil"/>
              <w:bottom w:val="single" w:color="000000" w:sz="8" w:space="0"/>
              <w:right w:val="single" w:color="000000" w:sz="8" w:space="0"/>
            </w:tcBorders>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成本控制情况不明确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5" w:hRule="atLeast"/>
          <w:jc w:val="center"/>
        </w:trPr>
        <w:tc>
          <w:tcPr>
            <w:tcW w:w="1107" w:type="dxa"/>
            <w:vMerge w:val="restart"/>
            <w:tcBorders>
              <w:top w:val="nil"/>
              <w:left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效益</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（30分）　</w:t>
            </w:r>
          </w:p>
        </w:tc>
        <w:tc>
          <w:tcPr>
            <w:tcW w:w="1218"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项目效益　</w:t>
            </w:r>
          </w:p>
        </w:tc>
        <w:tc>
          <w:tcPr>
            <w:tcW w:w="8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75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效益达成度</w:t>
            </w:r>
          </w:p>
        </w:tc>
        <w:tc>
          <w:tcPr>
            <w:tcW w:w="879"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0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w:t>
            </w:r>
          </w:p>
        </w:tc>
        <w:tc>
          <w:tcPr>
            <w:tcW w:w="2203"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项目绩效呈现不够充分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5" w:hRule="atLeast"/>
          <w:jc w:val="center"/>
        </w:trPr>
        <w:tc>
          <w:tcPr>
            <w:tcW w:w="1107" w:type="dxa"/>
            <w:vMerge w:val="continue"/>
            <w:tcBorders>
              <w:left w:val="single" w:color="000000" w:sz="8" w:space="0"/>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1218"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满意度</w:t>
            </w:r>
          </w:p>
        </w:tc>
        <w:tc>
          <w:tcPr>
            <w:tcW w:w="8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75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服务对象满意度</w:t>
            </w:r>
          </w:p>
        </w:tc>
        <w:tc>
          <w:tcPr>
            <w:tcW w:w="879"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0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16.2</w:t>
            </w:r>
          </w:p>
        </w:tc>
        <w:tc>
          <w:tcPr>
            <w:tcW w:w="2203"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满意度调查工作有待提高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jc w:val="center"/>
        </w:trPr>
        <w:tc>
          <w:tcPr>
            <w:tcW w:w="2325" w:type="dxa"/>
            <w:gridSpan w:val="2"/>
            <w:tcBorders>
              <w:top w:val="nil"/>
              <w:left w:val="single" w:color="000000" w:sz="8" w:space="0"/>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8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756" w:type="dxa"/>
            <w:tcBorders>
              <w:top w:val="nil"/>
              <w:left w:val="nil"/>
              <w:bottom w:val="single" w:color="000000" w:sz="8" w:space="0"/>
              <w:right w:val="single" w:color="000000" w:sz="8" w:space="0"/>
            </w:tcBorders>
            <w:vAlign w:val="center"/>
          </w:tcPr>
          <w:p>
            <w:pPr>
              <w:jc w:val="center"/>
              <w:rPr>
                <w:rFonts w:hint="eastAsia" w:ascii="宋体" w:hAnsi="宋体" w:eastAsia="宋体" w:cs="宋体"/>
                <w:i w:val="0"/>
                <w:iCs w:val="0"/>
                <w:color w:val="000000"/>
                <w:sz w:val="21"/>
                <w:szCs w:val="21"/>
                <w:u w:val="none"/>
              </w:rPr>
            </w:pPr>
          </w:p>
        </w:tc>
        <w:tc>
          <w:tcPr>
            <w:tcW w:w="879"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046" w:type="dxa"/>
            <w:tcBorders>
              <w:top w:val="nil"/>
              <w:left w:val="nil"/>
              <w:bottom w:val="single" w:color="000000" w:sz="8" w:space="0"/>
              <w:right w:val="single" w:color="000000" w:sz="8"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81.1</w:t>
            </w:r>
          </w:p>
        </w:tc>
        <w:tc>
          <w:tcPr>
            <w:tcW w:w="2203" w:type="dxa"/>
            <w:tcBorders>
              <w:top w:val="nil"/>
              <w:left w:val="nil"/>
              <w:bottom w:val="single" w:color="000000" w:sz="8" w:space="0"/>
              <w:right w:val="single" w:color="000000" w:sz="8" w:space="0"/>
            </w:tcBorders>
            <w:vAlign w:val="center"/>
          </w:tcPr>
          <w:p>
            <w:pPr>
              <w:rPr>
                <w:rFonts w:hint="eastAsia" w:ascii="宋体" w:hAnsi="宋体" w:eastAsia="宋体" w:cs="宋体"/>
                <w:i w:val="0"/>
                <w:iCs w:val="0"/>
                <w:color w:val="000000"/>
                <w:sz w:val="22"/>
                <w:szCs w:val="22"/>
                <w:u w:val="none"/>
              </w:rPr>
            </w:pPr>
          </w:p>
        </w:tc>
      </w:tr>
    </w:tbl>
    <w:p>
      <w:pPr>
        <w:pStyle w:val="2"/>
        <w:rPr>
          <w:rFonts w:hint="eastAsia"/>
          <w:lang w:eastAsia="zh-CN"/>
        </w:rPr>
      </w:pP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632230"/>
    <w:rsid w:val="0A4A37FB"/>
    <w:rsid w:val="0BA148CA"/>
    <w:rsid w:val="0C1165C4"/>
    <w:rsid w:val="0D6D544B"/>
    <w:rsid w:val="0DD136FE"/>
    <w:rsid w:val="0EDF6A65"/>
    <w:rsid w:val="0F542F2C"/>
    <w:rsid w:val="0F8E2C57"/>
    <w:rsid w:val="0FB51CC0"/>
    <w:rsid w:val="1059665E"/>
    <w:rsid w:val="10AC13BA"/>
    <w:rsid w:val="145A6C1B"/>
    <w:rsid w:val="14B73493"/>
    <w:rsid w:val="167A2FF9"/>
    <w:rsid w:val="1764587C"/>
    <w:rsid w:val="177B0A9B"/>
    <w:rsid w:val="18581C69"/>
    <w:rsid w:val="1AEC0734"/>
    <w:rsid w:val="1DEF20B0"/>
    <w:rsid w:val="1EF10FF6"/>
    <w:rsid w:val="1F912BB5"/>
    <w:rsid w:val="1FF7AB17"/>
    <w:rsid w:val="205C1623"/>
    <w:rsid w:val="214243FA"/>
    <w:rsid w:val="21AD613C"/>
    <w:rsid w:val="22467189"/>
    <w:rsid w:val="24922E28"/>
    <w:rsid w:val="257A14F5"/>
    <w:rsid w:val="25D10BA0"/>
    <w:rsid w:val="27196C26"/>
    <w:rsid w:val="29EF086F"/>
    <w:rsid w:val="2B5629C8"/>
    <w:rsid w:val="2BC34C59"/>
    <w:rsid w:val="2EFFE297"/>
    <w:rsid w:val="2FAF7391"/>
    <w:rsid w:val="301437CA"/>
    <w:rsid w:val="3063061F"/>
    <w:rsid w:val="33A31E56"/>
    <w:rsid w:val="349D1F0A"/>
    <w:rsid w:val="34DD0473"/>
    <w:rsid w:val="35A1360D"/>
    <w:rsid w:val="3A8E35DC"/>
    <w:rsid w:val="3C166BF6"/>
    <w:rsid w:val="3C684897"/>
    <w:rsid w:val="3FB70D32"/>
    <w:rsid w:val="433E495C"/>
    <w:rsid w:val="43C913D2"/>
    <w:rsid w:val="43CC0D1F"/>
    <w:rsid w:val="47FF252F"/>
    <w:rsid w:val="489F2FD7"/>
    <w:rsid w:val="49017C95"/>
    <w:rsid w:val="4AC27CB3"/>
    <w:rsid w:val="4BF72BEF"/>
    <w:rsid w:val="4CA6446A"/>
    <w:rsid w:val="4FA90297"/>
    <w:rsid w:val="4FC41A43"/>
    <w:rsid w:val="50F8396E"/>
    <w:rsid w:val="51356E68"/>
    <w:rsid w:val="51DB3C59"/>
    <w:rsid w:val="550C0952"/>
    <w:rsid w:val="55762E42"/>
    <w:rsid w:val="56BD478F"/>
    <w:rsid w:val="57A7B272"/>
    <w:rsid w:val="58470068"/>
    <w:rsid w:val="58747CAC"/>
    <w:rsid w:val="5A1720F9"/>
    <w:rsid w:val="5AED471B"/>
    <w:rsid w:val="5B9C37C2"/>
    <w:rsid w:val="5BA7C654"/>
    <w:rsid w:val="5CE13FB8"/>
    <w:rsid w:val="5DF716AE"/>
    <w:rsid w:val="5F9F507E"/>
    <w:rsid w:val="60A54109"/>
    <w:rsid w:val="61D01CDF"/>
    <w:rsid w:val="64C0607C"/>
    <w:rsid w:val="65756C86"/>
    <w:rsid w:val="674D385B"/>
    <w:rsid w:val="676F09E1"/>
    <w:rsid w:val="697A31F7"/>
    <w:rsid w:val="6CAF6593"/>
    <w:rsid w:val="712D4E6B"/>
    <w:rsid w:val="71691990"/>
    <w:rsid w:val="71793A80"/>
    <w:rsid w:val="7357290B"/>
    <w:rsid w:val="75153BD0"/>
    <w:rsid w:val="756E3DEA"/>
    <w:rsid w:val="76663C66"/>
    <w:rsid w:val="76A645A3"/>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2">
    <w:name w:val="index 9"/>
    <w:basedOn w:val="1"/>
    <w:next w:val="1"/>
    <w:unhideWhenUsed/>
    <w:qFormat/>
    <w:uiPriority w:val="99"/>
    <w:pPr>
      <w:ind w:firstLine="420"/>
    </w:pPr>
    <w:rPr>
      <w:rFonts w:eastAsia="仿宋_GB2312"/>
      <w:bCs/>
      <w:sz w:val="28"/>
      <w:szCs w:val="28"/>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6"/>
    <w:qFormat/>
    <w:uiPriority w:val="0"/>
    <w:pPr>
      <w:tabs>
        <w:tab w:val="center" w:pos="4153"/>
        <w:tab w:val="right" w:pos="8306"/>
      </w:tabs>
      <w:snapToGrid w:val="0"/>
      <w:jc w:val="left"/>
    </w:pPr>
    <w:rPr>
      <w:sz w:val="18"/>
      <w:szCs w:val="18"/>
    </w:rPr>
  </w:style>
  <w:style w:type="paragraph" w:styleId="9">
    <w:name w:val="Body Text First Indent 2"/>
    <w:basedOn w:val="5"/>
    <w:qFormat/>
    <w:uiPriority w:val="0"/>
    <w:pPr>
      <w:ind w:firstLine="420" w:firstLineChars="200"/>
    </w:p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6">
    <w:name w:val="页脚 Char"/>
    <w:link w:val="8"/>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layout>
                <c:manualLayout>
                  <c:x val="-0.0246578868782522"/>
                  <c:y val="-0.026393230659694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29912.99</c:v>
                </c:pt>
                <c:pt idx="1">
                  <c:v>0</c:v>
                </c:pt>
                <c:pt idx="2">
                  <c:v>0</c:v>
                </c:pt>
                <c:pt idx="3">
                  <c:v>0</c:v>
                </c:pt>
                <c:pt idx="4">
                  <c:v>0</c:v>
                </c:pt>
                <c:pt idx="5">
                  <c:v>58.93</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3838.44</c:v>
                </c:pt>
                <c:pt idx="1">
                  <c:v>26735.12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254</TotalTime>
  <ScaleCrop>false</ScaleCrop>
  <LinksUpToDate>false</LinksUpToDate>
  <CharactersWithSpaces>298</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pc</cp:lastModifiedBy>
  <cp:lastPrinted>2020-08-09T03:39:00Z</cp:lastPrinted>
  <dcterms:modified xsi:type="dcterms:W3CDTF">2025-10-17T01:39:02Z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