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jc w:val="center"/>
        <w:rPr>
          <w:rFonts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年度部门绩效自评情况</w:t>
      </w:r>
    </w:p>
    <w:p>
      <w:pPr>
        <w:pStyle w:val="2"/>
      </w:pPr>
    </w:p>
    <w:p>
      <w:pPr>
        <w:pStyle w:val="6"/>
        <w:numPr>
          <w:ilvl w:val="0"/>
          <w:numId w:val="1"/>
        </w:numPr>
        <w:spacing w:line="580" w:lineRule="exact"/>
        <w:ind w:firstLineChars="0"/>
        <w:rPr>
          <w:rFonts w:ascii="黑体" w:eastAsia="黑体"/>
          <w:sz w:val="28"/>
          <w:szCs w:val="28"/>
        </w:rPr>
      </w:pPr>
      <w:r>
        <w:rPr>
          <w:rFonts w:hint="eastAsia" w:ascii="黑体" w:eastAsia="黑体"/>
          <w:sz w:val="28"/>
          <w:szCs w:val="28"/>
        </w:rPr>
        <w:t>部门整体绩效自评报告</w:t>
      </w:r>
    </w:p>
    <w:p>
      <w:pPr>
        <w:spacing w:line="580" w:lineRule="exact"/>
        <w:rPr>
          <w:rFonts w:hint="eastAsia" w:ascii="黑体" w:eastAsia="仿宋_GB2312"/>
          <w:sz w:val="28"/>
          <w:szCs w:val="28"/>
          <w:lang w:val="en-US" w:eastAsia="zh-CN"/>
        </w:rPr>
      </w:pPr>
      <w:r>
        <w:rPr>
          <w:rFonts w:hint="eastAsia" w:ascii="仿宋_GB2312" w:eastAsia="仿宋_GB2312"/>
          <w:sz w:val="32"/>
          <w:szCs w:val="32"/>
        </w:rPr>
        <w:t>详见附件</w:t>
      </w:r>
      <w:r>
        <w:rPr>
          <w:rFonts w:hint="eastAsia" w:ascii="仿宋_GB2312" w:eastAsia="仿宋_GB2312"/>
          <w:sz w:val="32"/>
          <w:szCs w:val="32"/>
          <w:lang w:val="en-US" w:eastAsia="zh-CN"/>
        </w:rPr>
        <w:t>1</w:t>
      </w:r>
    </w:p>
    <w:p>
      <w:pPr>
        <w:pStyle w:val="6"/>
        <w:numPr>
          <w:ilvl w:val="0"/>
          <w:numId w:val="1"/>
        </w:numPr>
        <w:spacing w:line="580" w:lineRule="exact"/>
        <w:ind w:firstLineChars="0"/>
        <w:rPr>
          <w:rFonts w:ascii="黑体" w:eastAsia="黑体"/>
          <w:sz w:val="28"/>
          <w:szCs w:val="28"/>
        </w:rPr>
      </w:pPr>
      <w:r>
        <w:rPr>
          <w:rFonts w:hint="eastAsia" w:ascii="黑体" w:eastAsia="黑体"/>
          <w:sz w:val="28"/>
          <w:szCs w:val="28"/>
        </w:rPr>
        <w:t>项目支出绩效自评报告</w:t>
      </w:r>
    </w:p>
    <w:p>
      <w:pPr>
        <w:rPr>
          <w:rFonts w:hint="default" w:ascii="黑体" w:eastAsia="仿宋_GB2312"/>
          <w:sz w:val="28"/>
          <w:szCs w:val="28"/>
          <w:lang w:val="en-US" w:eastAsia="zh-CN"/>
        </w:rPr>
      </w:pPr>
      <w:r>
        <w:rPr>
          <w:rFonts w:hint="eastAsia" w:ascii="仿宋_GB2312" w:eastAsia="仿宋_GB2312"/>
          <w:sz w:val="32"/>
          <w:szCs w:val="32"/>
        </w:rPr>
        <w:t>详见附件</w:t>
      </w:r>
      <w:r>
        <w:rPr>
          <w:rFonts w:hint="eastAsia" w:ascii="仿宋_GB2312" w:eastAsia="仿宋_GB2312"/>
          <w:sz w:val="32"/>
          <w:szCs w:val="32"/>
          <w:lang w:val="en-US" w:eastAsia="zh-CN"/>
        </w:rPr>
        <w:t>2、2-1</w:t>
      </w:r>
    </w:p>
    <w:p>
      <w:pPr>
        <w:pStyle w:val="6"/>
        <w:numPr>
          <w:ilvl w:val="0"/>
          <w:numId w:val="1"/>
        </w:numPr>
        <w:spacing w:line="580" w:lineRule="exact"/>
        <w:ind w:firstLineChars="0"/>
        <w:rPr>
          <w:rFonts w:ascii="黑体" w:eastAsia="黑体"/>
          <w:sz w:val="28"/>
          <w:szCs w:val="28"/>
        </w:rPr>
      </w:pPr>
      <w:r>
        <w:rPr>
          <w:rFonts w:hint="eastAsia" w:ascii="黑体" w:eastAsia="黑体"/>
          <w:sz w:val="28"/>
          <w:szCs w:val="28"/>
        </w:rPr>
        <w:t>项目支出绩效自评表</w:t>
      </w:r>
    </w:p>
    <w:p>
      <w:pPr>
        <w:rPr>
          <w:rFonts w:hint="eastAsia" w:ascii="仿宋_GB2312" w:eastAsia="仿宋_GB2312"/>
          <w:sz w:val="32"/>
          <w:szCs w:val="32"/>
          <w:lang w:eastAsia="zh-CN"/>
        </w:rPr>
      </w:pPr>
      <w:r>
        <w:rPr>
          <w:rFonts w:hint="eastAsia" w:ascii="仿宋_GB2312" w:eastAsia="仿宋_GB2312"/>
          <w:sz w:val="32"/>
          <w:szCs w:val="32"/>
        </w:rPr>
        <w:t>详见附件</w:t>
      </w:r>
      <w:r>
        <w:rPr>
          <w:rFonts w:hint="eastAsia" w:ascii="仿宋_GB2312" w:eastAsia="仿宋_GB2312"/>
          <w:sz w:val="32"/>
          <w:szCs w:val="32"/>
          <w:lang w:val="en-US" w:eastAsia="zh-CN"/>
        </w:rPr>
        <w:t>3</w:t>
      </w: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中共北京市</w:t>
      </w:r>
      <w:r>
        <w:rPr>
          <w:rFonts w:hint="eastAsia" w:ascii="方正小标宋_GBK" w:hAnsi="方正小标宋_GBK" w:eastAsia="方正小标宋_GBK" w:cs="方正小标宋_GBK"/>
          <w:sz w:val="32"/>
          <w:szCs w:val="32"/>
          <w:lang w:eastAsia="zh-CN"/>
        </w:rPr>
        <w:t>大兴</w:t>
      </w:r>
      <w:r>
        <w:rPr>
          <w:rFonts w:hint="eastAsia" w:ascii="方正小标宋_GBK" w:hAnsi="方正小标宋_GBK" w:eastAsia="方正小标宋_GBK" w:cs="方正小标宋_GBK"/>
          <w:sz w:val="32"/>
          <w:szCs w:val="32"/>
        </w:rPr>
        <w:t>区委政法委员会</w:t>
      </w:r>
    </w:p>
    <w:p>
      <w:pPr>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202</w:t>
      </w:r>
      <w:r>
        <w:rPr>
          <w:rFonts w:hint="eastAsia" w:ascii="方正小标宋_GBK" w:hAnsi="方正小标宋_GBK" w:eastAsia="方正小标宋_GBK" w:cs="方正小标宋_GBK"/>
          <w:sz w:val="32"/>
          <w:szCs w:val="32"/>
          <w:lang w:val="en-US" w:eastAsia="zh-CN"/>
        </w:rPr>
        <w:t>4</w:t>
      </w:r>
      <w:r>
        <w:rPr>
          <w:rFonts w:hint="eastAsia" w:ascii="方正小标宋_GBK" w:hAnsi="方正小标宋_GBK" w:eastAsia="方正小标宋_GBK" w:cs="方正小标宋_GBK"/>
          <w:sz w:val="32"/>
          <w:szCs w:val="32"/>
        </w:rPr>
        <w:t>年度部门整体支出绩效自评报告</w:t>
      </w:r>
    </w:p>
    <w:p>
      <w:pPr>
        <w:tabs>
          <w:tab w:val="center" w:pos="6979"/>
        </w:tabs>
        <w:spacing w:line="580" w:lineRule="exact"/>
        <w:ind w:firstLine="551" w:firstLineChars="196"/>
        <w:rPr>
          <w:rFonts w:hint="eastAsia" w:ascii="黑体" w:eastAsia="黑体"/>
          <w:b/>
          <w:sz w:val="28"/>
          <w:szCs w:val="28"/>
        </w:rPr>
      </w:pPr>
    </w:p>
    <w:p>
      <w:pPr>
        <w:tabs>
          <w:tab w:val="center" w:pos="6979"/>
        </w:tabs>
        <w:spacing w:line="580" w:lineRule="exact"/>
        <w:ind w:firstLine="551" w:firstLineChars="196"/>
        <w:rPr>
          <w:rFonts w:hint="eastAsia" w:ascii="黑体" w:eastAsia="黑体"/>
          <w:b/>
          <w:sz w:val="28"/>
          <w:szCs w:val="28"/>
        </w:rPr>
      </w:pPr>
      <w:r>
        <w:rPr>
          <w:rFonts w:hint="eastAsia" w:ascii="黑体" w:eastAsia="黑体"/>
          <w:b/>
          <w:sz w:val="28"/>
          <w:szCs w:val="28"/>
        </w:rPr>
        <w:t>一</w:t>
      </w:r>
      <w:r>
        <w:rPr>
          <w:rFonts w:hint="eastAsia" w:ascii="黑体" w:eastAsia="黑体"/>
          <w:b/>
          <w:sz w:val="28"/>
          <w:szCs w:val="28"/>
          <w:highlight w:val="none"/>
        </w:rPr>
        <w:t>、部门基</w:t>
      </w:r>
      <w:r>
        <w:rPr>
          <w:rFonts w:hint="eastAsia" w:ascii="黑体" w:eastAsia="黑体"/>
          <w:b/>
          <w:sz w:val="28"/>
          <w:szCs w:val="28"/>
        </w:rPr>
        <w:t>本情况</w:t>
      </w:r>
    </w:p>
    <w:p>
      <w:pPr>
        <w:spacing w:line="560" w:lineRule="exact"/>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kern w:val="0"/>
          <w:sz w:val="28"/>
          <w:szCs w:val="28"/>
          <w:lang w:val="en-US" w:eastAsia="zh-CN"/>
        </w:rPr>
        <w:t>一）</w:t>
      </w:r>
      <w:r>
        <w:rPr>
          <w:rFonts w:hint="eastAsia" w:ascii="楷体_GB2312" w:hAnsi="楷体_GB2312" w:eastAsia="楷体_GB2312" w:cs="楷体_GB2312"/>
          <w:sz w:val="28"/>
          <w:szCs w:val="28"/>
        </w:rPr>
        <w:t>机构设置及职责工作任务情况</w:t>
      </w:r>
    </w:p>
    <w:p>
      <w:pPr>
        <w:spacing w:line="560" w:lineRule="exact"/>
        <w:ind w:firstLine="560" w:firstLineChars="200"/>
        <w:outlineLvl w:val="1"/>
        <w:rPr>
          <w:rFonts w:ascii="仿宋" w:hAnsi="仿宋" w:eastAsia="仿宋_GB2312"/>
          <w:sz w:val="28"/>
          <w:szCs w:val="28"/>
        </w:rPr>
      </w:pPr>
      <w:r>
        <w:rPr>
          <w:rFonts w:hint="eastAsia" w:ascii="仿宋" w:hAnsi="仿宋" w:eastAsia="仿宋_GB2312"/>
          <w:sz w:val="28"/>
          <w:szCs w:val="28"/>
        </w:rPr>
        <w:t>1.部门机构设置、职责内容涉密。</w:t>
      </w:r>
    </w:p>
    <w:p>
      <w:pPr>
        <w:spacing w:line="560" w:lineRule="exact"/>
        <w:ind w:firstLine="560" w:firstLineChars="200"/>
        <w:outlineLvl w:val="1"/>
        <w:rPr>
          <w:rFonts w:ascii="仿宋" w:hAnsi="仿宋" w:eastAsia="仿宋_GB2312"/>
          <w:sz w:val="28"/>
          <w:szCs w:val="28"/>
        </w:rPr>
      </w:pPr>
      <w:r>
        <w:rPr>
          <w:rFonts w:hint="eastAsia" w:ascii="仿宋_GB2312" w:hAnsi="仿宋_GB2312" w:eastAsia="仿宋_GB2312" w:cs="仿宋_GB2312"/>
          <w:sz w:val="28"/>
          <w:szCs w:val="28"/>
        </w:rPr>
        <w:t>2</w:t>
      </w:r>
      <w:r>
        <w:rPr>
          <w:rFonts w:hint="eastAsia" w:ascii="仿宋" w:hAnsi="仿宋" w:eastAsia="仿宋_GB2312"/>
          <w:sz w:val="28"/>
          <w:szCs w:val="28"/>
        </w:rPr>
        <w:t>.本预算年度的主要工作任务</w:t>
      </w:r>
    </w:p>
    <w:p>
      <w:pPr>
        <w:spacing w:line="560" w:lineRule="exact"/>
        <w:ind w:firstLine="560" w:firstLineChars="200"/>
        <w:outlineLvl w:val="1"/>
        <w:rPr>
          <w:rFonts w:ascii="仿宋" w:hAnsi="仿宋" w:eastAsia="仿宋_GB2312"/>
          <w:sz w:val="28"/>
          <w:szCs w:val="28"/>
        </w:rPr>
      </w:pPr>
      <w:r>
        <w:rPr>
          <w:rFonts w:hint="eastAsia" w:ascii="仿宋" w:hAnsi="仿宋" w:eastAsia="仿宋_GB2312"/>
          <w:sz w:val="28"/>
          <w:szCs w:val="28"/>
        </w:rPr>
        <w:t>坚持以习近平新时代中国特色社会主义思想为指导，深入学习贯彻落实党的二十大</w:t>
      </w:r>
      <w:r>
        <w:rPr>
          <w:rFonts w:hint="eastAsia" w:ascii="仿宋" w:hAnsi="仿宋" w:eastAsia="仿宋_GB2312"/>
          <w:sz w:val="28"/>
          <w:szCs w:val="28"/>
          <w:lang w:eastAsia="zh-CN"/>
        </w:rPr>
        <w:t>、二十届三中全会</w:t>
      </w:r>
      <w:r>
        <w:rPr>
          <w:rFonts w:hint="eastAsia" w:ascii="仿宋" w:hAnsi="仿宋" w:eastAsia="仿宋_GB2312"/>
          <w:sz w:val="28"/>
          <w:szCs w:val="28"/>
        </w:rPr>
        <w:t>精神，坚持党对政法工作的绝对领导，围绕</w:t>
      </w:r>
      <w:r>
        <w:rPr>
          <w:rFonts w:hint="eastAsia" w:ascii="仿宋" w:hAnsi="仿宋" w:eastAsia="仿宋_GB2312"/>
          <w:sz w:val="28"/>
          <w:szCs w:val="28"/>
          <w:lang w:eastAsia="zh-CN"/>
        </w:rPr>
        <w:t>大兴区</w:t>
      </w:r>
      <w:r>
        <w:rPr>
          <w:rFonts w:hint="eastAsia" w:ascii="仿宋" w:hAnsi="仿宋" w:eastAsia="仿宋_GB2312"/>
          <w:sz w:val="28"/>
          <w:szCs w:val="28"/>
        </w:rPr>
        <w:t>中心工作，坚持统筹发展和安全，营造安全稳定的政治社会环境，奋力建设高水平平安</w:t>
      </w:r>
      <w:r>
        <w:rPr>
          <w:rFonts w:hint="eastAsia" w:ascii="仿宋" w:hAnsi="仿宋" w:eastAsia="仿宋_GB2312"/>
          <w:sz w:val="28"/>
          <w:szCs w:val="28"/>
          <w:lang w:eastAsia="zh-CN"/>
        </w:rPr>
        <w:t>大兴</w:t>
      </w:r>
      <w:r>
        <w:rPr>
          <w:rFonts w:hint="eastAsia" w:ascii="仿宋" w:hAnsi="仿宋" w:eastAsia="仿宋_GB2312"/>
          <w:sz w:val="28"/>
          <w:szCs w:val="28"/>
        </w:rPr>
        <w:t>、法治</w:t>
      </w:r>
      <w:r>
        <w:rPr>
          <w:rFonts w:hint="eastAsia" w:ascii="仿宋" w:hAnsi="仿宋" w:eastAsia="仿宋_GB2312"/>
          <w:sz w:val="28"/>
          <w:szCs w:val="28"/>
          <w:lang w:eastAsia="zh-CN"/>
        </w:rPr>
        <w:t>大兴</w:t>
      </w:r>
      <w:r>
        <w:rPr>
          <w:rFonts w:hint="eastAsia" w:ascii="仿宋" w:hAnsi="仿宋" w:eastAsia="仿宋_GB2312"/>
          <w:sz w:val="28"/>
          <w:szCs w:val="28"/>
        </w:rPr>
        <w:t>，努力推动</w:t>
      </w:r>
      <w:r>
        <w:rPr>
          <w:rFonts w:hint="eastAsia" w:ascii="仿宋" w:hAnsi="仿宋" w:eastAsia="仿宋_GB2312"/>
          <w:sz w:val="28"/>
          <w:szCs w:val="28"/>
          <w:lang w:eastAsia="zh-CN"/>
        </w:rPr>
        <w:t>大兴区</w:t>
      </w:r>
      <w:r>
        <w:rPr>
          <w:rFonts w:hint="eastAsia" w:ascii="仿宋" w:hAnsi="仿宋" w:eastAsia="仿宋_GB2312"/>
          <w:sz w:val="28"/>
          <w:szCs w:val="28"/>
        </w:rPr>
        <w:t>政法事业实现新发展。</w:t>
      </w:r>
    </w:p>
    <w:p>
      <w:pPr>
        <w:spacing w:line="560" w:lineRule="exact"/>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lang w:eastAsia="zh-CN"/>
        </w:rPr>
        <w:t>（二）</w:t>
      </w:r>
      <w:r>
        <w:rPr>
          <w:rFonts w:hint="eastAsia" w:ascii="楷体_GB2312" w:hAnsi="楷体_GB2312" w:eastAsia="楷体_GB2312" w:cs="楷体_GB2312"/>
          <w:sz w:val="28"/>
          <w:szCs w:val="28"/>
        </w:rPr>
        <w:t>整体绩效目标实现情况</w:t>
      </w:r>
    </w:p>
    <w:tbl>
      <w:tblPr>
        <w:tblStyle w:val="4"/>
        <w:tblpPr w:leftFromText="180" w:rightFromText="180" w:vertAnchor="text" w:horzAnchor="page" w:tblpX="1981" w:tblpY="162"/>
        <w:tblOverlap w:val="never"/>
        <w:tblW w:w="8659" w:type="dxa"/>
        <w:tblInd w:w="0" w:type="dxa"/>
        <w:tblLayout w:type="fixed"/>
        <w:tblCellMar>
          <w:top w:w="0" w:type="dxa"/>
          <w:left w:w="108" w:type="dxa"/>
          <w:bottom w:w="0" w:type="dxa"/>
          <w:right w:w="108" w:type="dxa"/>
        </w:tblCellMar>
      </w:tblPr>
      <w:tblGrid>
        <w:gridCol w:w="2206"/>
        <w:gridCol w:w="2892"/>
        <w:gridCol w:w="3561"/>
      </w:tblGrid>
      <w:tr>
        <w:tblPrEx>
          <w:tblCellMar>
            <w:top w:w="0" w:type="dxa"/>
            <w:left w:w="108" w:type="dxa"/>
            <w:bottom w:w="0" w:type="dxa"/>
            <w:right w:w="108" w:type="dxa"/>
          </w:tblCellMar>
        </w:tblPrEx>
        <w:trPr>
          <w:trHeight w:val="126" w:hRule="atLeast"/>
        </w:trPr>
        <w:tc>
          <w:tcPr>
            <w:tcW w:w="2206"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部门（单位）总体资金情况(万元）</w:t>
            </w:r>
          </w:p>
        </w:tc>
        <w:tc>
          <w:tcPr>
            <w:tcW w:w="2892"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资金总体</w:t>
            </w:r>
          </w:p>
        </w:tc>
        <w:tc>
          <w:tcPr>
            <w:tcW w:w="3561"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auto"/>
                <w:sz w:val="24"/>
                <w:szCs w:val="24"/>
              </w:rPr>
              <w:t>6</w:t>
            </w:r>
            <w:r>
              <w:rPr>
                <w:rFonts w:hint="eastAsia" w:ascii="仿宋_GB2312" w:hAnsi="仿宋_GB2312" w:eastAsia="仿宋_GB2312" w:cs="仿宋_GB2312"/>
                <w:color w:val="auto"/>
                <w:kern w:val="0"/>
                <w:sz w:val="24"/>
                <w:szCs w:val="24"/>
                <w:lang w:bidi="ar"/>
              </w:rPr>
              <w:t>562.</w:t>
            </w:r>
            <w:r>
              <w:rPr>
                <w:rFonts w:hint="eastAsia" w:ascii="仿宋_GB2312" w:hAnsi="仿宋_GB2312" w:eastAsia="仿宋_GB2312" w:cs="仿宋_GB2312"/>
                <w:color w:val="auto"/>
                <w:kern w:val="0"/>
                <w:sz w:val="24"/>
                <w:szCs w:val="24"/>
                <w:lang w:val="en-US" w:eastAsia="zh-CN" w:bidi="ar"/>
              </w:rPr>
              <w:t>30</w:t>
            </w:r>
          </w:p>
        </w:tc>
      </w:tr>
      <w:tr>
        <w:tblPrEx>
          <w:tblCellMar>
            <w:top w:w="0" w:type="dxa"/>
            <w:left w:w="108" w:type="dxa"/>
            <w:bottom w:w="0" w:type="dxa"/>
            <w:right w:w="108" w:type="dxa"/>
          </w:tblCellMar>
        </w:tblPrEx>
        <w:trPr>
          <w:trHeight w:val="126" w:hRule="atLeast"/>
        </w:trPr>
        <w:tc>
          <w:tcPr>
            <w:tcW w:w="2206" w:type="dxa"/>
            <w:vMerge w:val="continue"/>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仿宋_GB2312" w:hAnsi="仿宋_GB2312" w:eastAsia="仿宋_GB2312" w:cs="仿宋_GB2312"/>
                <w:color w:val="000000"/>
                <w:sz w:val="24"/>
                <w:szCs w:val="24"/>
              </w:rPr>
            </w:pPr>
          </w:p>
        </w:tc>
        <w:tc>
          <w:tcPr>
            <w:tcW w:w="2892"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基本支出</w:t>
            </w:r>
          </w:p>
        </w:tc>
        <w:tc>
          <w:tcPr>
            <w:tcW w:w="3561"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auto"/>
                <w:kern w:val="0"/>
                <w:sz w:val="24"/>
                <w:szCs w:val="24"/>
                <w:lang w:bidi="ar"/>
              </w:rPr>
              <w:t>1927.46</w:t>
            </w:r>
          </w:p>
        </w:tc>
      </w:tr>
      <w:tr>
        <w:tblPrEx>
          <w:tblCellMar>
            <w:top w:w="0" w:type="dxa"/>
            <w:left w:w="108" w:type="dxa"/>
            <w:bottom w:w="0" w:type="dxa"/>
            <w:right w:w="108" w:type="dxa"/>
          </w:tblCellMar>
        </w:tblPrEx>
        <w:trPr>
          <w:trHeight w:val="126" w:hRule="atLeast"/>
        </w:trPr>
        <w:tc>
          <w:tcPr>
            <w:tcW w:w="2206" w:type="dxa"/>
            <w:vMerge w:val="continue"/>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仿宋_GB2312" w:hAnsi="仿宋_GB2312" w:eastAsia="仿宋_GB2312" w:cs="仿宋_GB2312"/>
                <w:color w:val="000000"/>
                <w:sz w:val="24"/>
                <w:szCs w:val="24"/>
              </w:rPr>
            </w:pPr>
          </w:p>
        </w:tc>
        <w:tc>
          <w:tcPr>
            <w:tcW w:w="2892"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项目支出</w:t>
            </w:r>
          </w:p>
        </w:tc>
        <w:tc>
          <w:tcPr>
            <w:tcW w:w="3561"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auto"/>
                <w:sz w:val="24"/>
                <w:szCs w:val="24"/>
              </w:rPr>
              <w:t>4634.8</w:t>
            </w:r>
            <w:r>
              <w:rPr>
                <w:rFonts w:hint="eastAsia" w:ascii="仿宋_GB2312" w:hAnsi="仿宋_GB2312" w:eastAsia="仿宋_GB2312" w:cs="仿宋_GB2312"/>
                <w:color w:val="auto"/>
                <w:sz w:val="24"/>
                <w:szCs w:val="24"/>
                <w:lang w:val="en-US" w:eastAsia="zh-CN"/>
              </w:rPr>
              <w:t>4</w:t>
            </w:r>
          </w:p>
        </w:tc>
      </w:tr>
      <w:tr>
        <w:tblPrEx>
          <w:tblCellMar>
            <w:top w:w="0" w:type="dxa"/>
            <w:left w:w="108" w:type="dxa"/>
            <w:bottom w:w="0" w:type="dxa"/>
            <w:right w:w="108" w:type="dxa"/>
          </w:tblCellMar>
        </w:tblPrEx>
        <w:trPr>
          <w:trHeight w:val="126" w:hRule="atLeast"/>
        </w:trPr>
        <w:tc>
          <w:tcPr>
            <w:tcW w:w="2206" w:type="dxa"/>
            <w:vMerge w:val="continue"/>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仿宋_GB2312" w:hAnsi="仿宋_GB2312" w:eastAsia="仿宋_GB2312" w:cs="仿宋_GB2312"/>
                <w:color w:val="000000"/>
                <w:sz w:val="24"/>
                <w:szCs w:val="24"/>
              </w:rPr>
            </w:pPr>
          </w:p>
        </w:tc>
        <w:tc>
          <w:tcPr>
            <w:tcW w:w="2892"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其他</w:t>
            </w:r>
          </w:p>
        </w:tc>
        <w:tc>
          <w:tcPr>
            <w:tcW w:w="3561"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0</w:t>
            </w:r>
          </w:p>
        </w:tc>
      </w:tr>
      <w:tr>
        <w:tblPrEx>
          <w:tblCellMar>
            <w:top w:w="0" w:type="dxa"/>
            <w:left w:w="108" w:type="dxa"/>
            <w:bottom w:w="0" w:type="dxa"/>
            <w:right w:w="108" w:type="dxa"/>
          </w:tblCellMar>
        </w:tblPrEx>
        <w:trPr>
          <w:trHeight w:val="2327" w:hRule="atLeast"/>
        </w:trPr>
        <w:tc>
          <w:tcPr>
            <w:tcW w:w="2206"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部门（单位）绩效目标</w:t>
            </w:r>
          </w:p>
        </w:tc>
        <w:tc>
          <w:tcPr>
            <w:tcW w:w="645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坚持以习近平新时代中国特色社会主义思想为指导，深入学习贯彻落实党的二十大</w:t>
            </w:r>
            <w:r>
              <w:rPr>
                <w:rFonts w:hint="eastAsia" w:ascii="仿宋_GB2312" w:hAnsi="仿宋_GB2312" w:eastAsia="仿宋_GB2312" w:cs="仿宋_GB2312"/>
                <w:color w:val="000000"/>
                <w:kern w:val="0"/>
                <w:sz w:val="24"/>
                <w:szCs w:val="24"/>
                <w:lang w:eastAsia="zh-CN"/>
              </w:rPr>
              <w:t>、二十届三中全会</w:t>
            </w:r>
            <w:r>
              <w:rPr>
                <w:rFonts w:hint="eastAsia" w:ascii="仿宋_GB2312" w:hAnsi="仿宋_GB2312" w:eastAsia="仿宋_GB2312" w:cs="仿宋_GB2312"/>
                <w:color w:val="000000"/>
                <w:kern w:val="0"/>
                <w:sz w:val="24"/>
                <w:szCs w:val="24"/>
              </w:rPr>
              <w:t>精神，坚持党对政法工作的绝对领导，围绕</w:t>
            </w:r>
            <w:r>
              <w:rPr>
                <w:rFonts w:hint="eastAsia" w:ascii="仿宋_GB2312" w:hAnsi="仿宋_GB2312" w:eastAsia="仿宋_GB2312" w:cs="仿宋_GB2312"/>
                <w:color w:val="000000"/>
                <w:kern w:val="0"/>
                <w:sz w:val="24"/>
                <w:szCs w:val="24"/>
                <w:lang w:eastAsia="zh-CN"/>
              </w:rPr>
              <w:t>大兴区</w:t>
            </w:r>
            <w:r>
              <w:rPr>
                <w:rFonts w:hint="eastAsia" w:ascii="仿宋_GB2312" w:hAnsi="仿宋_GB2312" w:eastAsia="仿宋_GB2312" w:cs="仿宋_GB2312"/>
                <w:color w:val="000000"/>
                <w:kern w:val="0"/>
                <w:sz w:val="24"/>
                <w:szCs w:val="24"/>
              </w:rPr>
              <w:t>中心工作，坚持统筹发展和安全，营造安全稳定的政治社会环境，奋力建设高水平平安</w:t>
            </w:r>
            <w:r>
              <w:rPr>
                <w:rFonts w:hint="eastAsia" w:ascii="仿宋_GB2312" w:hAnsi="仿宋_GB2312" w:eastAsia="仿宋_GB2312" w:cs="仿宋_GB2312"/>
                <w:color w:val="000000"/>
                <w:kern w:val="0"/>
                <w:sz w:val="24"/>
                <w:szCs w:val="24"/>
                <w:lang w:eastAsia="zh-CN"/>
              </w:rPr>
              <w:t>大兴</w:t>
            </w:r>
            <w:r>
              <w:rPr>
                <w:rFonts w:hint="eastAsia" w:ascii="仿宋_GB2312" w:hAnsi="仿宋_GB2312" w:eastAsia="仿宋_GB2312" w:cs="仿宋_GB2312"/>
                <w:color w:val="000000"/>
                <w:kern w:val="0"/>
                <w:sz w:val="24"/>
                <w:szCs w:val="24"/>
              </w:rPr>
              <w:t>、法治</w:t>
            </w:r>
            <w:r>
              <w:rPr>
                <w:rFonts w:hint="eastAsia" w:ascii="仿宋_GB2312" w:hAnsi="仿宋_GB2312" w:eastAsia="仿宋_GB2312" w:cs="仿宋_GB2312"/>
                <w:color w:val="000000"/>
                <w:kern w:val="0"/>
                <w:sz w:val="24"/>
                <w:szCs w:val="24"/>
                <w:lang w:eastAsia="zh-CN"/>
              </w:rPr>
              <w:t>大兴</w:t>
            </w:r>
            <w:r>
              <w:rPr>
                <w:rFonts w:hint="eastAsia" w:ascii="仿宋_GB2312" w:hAnsi="仿宋_GB2312" w:eastAsia="仿宋_GB2312" w:cs="仿宋_GB2312"/>
                <w:color w:val="000000"/>
                <w:kern w:val="0"/>
                <w:sz w:val="24"/>
                <w:szCs w:val="24"/>
              </w:rPr>
              <w:t>，努力推动</w:t>
            </w:r>
            <w:r>
              <w:rPr>
                <w:rFonts w:hint="eastAsia" w:ascii="仿宋_GB2312" w:hAnsi="仿宋_GB2312" w:eastAsia="仿宋_GB2312" w:cs="仿宋_GB2312"/>
                <w:color w:val="000000"/>
                <w:kern w:val="0"/>
                <w:sz w:val="24"/>
                <w:szCs w:val="24"/>
                <w:lang w:eastAsia="zh-CN"/>
              </w:rPr>
              <w:t>大兴区</w:t>
            </w:r>
            <w:r>
              <w:rPr>
                <w:rFonts w:hint="eastAsia" w:ascii="仿宋_GB2312" w:hAnsi="仿宋_GB2312" w:eastAsia="仿宋_GB2312" w:cs="仿宋_GB2312"/>
                <w:color w:val="000000"/>
                <w:kern w:val="0"/>
                <w:sz w:val="24"/>
                <w:szCs w:val="24"/>
              </w:rPr>
              <w:t>政法事业实现新发展。</w:t>
            </w:r>
          </w:p>
        </w:tc>
      </w:tr>
      <w:tr>
        <w:tblPrEx>
          <w:tblCellMar>
            <w:top w:w="0" w:type="dxa"/>
            <w:left w:w="108" w:type="dxa"/>
            <w:bottom w:w="0" w:type="dxa"/>
            <w:right w:w="108" w:type="dxa"/>
          </w:tblCellMar>
        </w:tblPrEx>
        <w:trPr>
          <w:trHeight w:val="126" w:hRule="atLeast"/>
        </w:trPr>
        <w:tc>
          <w:tcPr>
            <w:tcW w:w="8659"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left"/>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rPr>
              <w:t>绩效指标</w:t>
            </w:r>
          </w:p>
        </w:tc>
      </w:tr>
      <w:tr>
        <w:tblPrEx>
          <w:tblCellMar>
            <w:top w:w="0" w:type="dxa"/>
            <w:left w:w="108" w:type="dxa"/>
            <w:bottom w:w="0" w:type="dxa"/>
            <w:right w:w="108" w:type="dxa"/>
          </w:tblCellMar>
        </w:tblPrEx>
        <w:trPr>
          <w:trHeight w:val="126" w:hRule="atLeast"/>
        </w:trPr>
        <w:tc>
          <w:tcPr>
            <w:tcW w:w="2206"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绩效指标一</w:t>
            </w:r>
          </w:p>
        </w:tc>
        <w:tc>
          <w:tcPr>
            <w:tcW w:w="645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rPr>
              <w:t>全年任务保质保量完成</w:t>
            </w:r>
            <w:r>
              <w:rPr>
                <w:rFonts w:hint="eastAsia" w:ascii="仿宋_GB2312" w:hAnsi="仿宋_GB2312" w:eastAsia="仿宋_GB2312" w:cs="仿宋_GB2312"/>
                <w:color w:val="000000"/>
                <w:kern w:val="0"/>
                <w:sz w:val="24"/>
                <w:szCs w:val="24"/>
                <w:lang w:eastAsia="zh-CN"/>
              </w:rPr>
              <w:t>。</w:t>
            </w:r>
          </w:p>
        </w:tc>
      </w:tr>
      <w:tr>
        <w:tblPrEx>
          <w:tblCellMar>
            <w:top w:w="0" w:type="dxa"/>
            <w:left w:w="108" w:type="dxa"/>
            <w:bottom w:w="0" w:type="dxa"/>
            <w:right w:w="108" w:type="dxa"/>
          </w:tblCellMar>
        </w:tblPrEx>
        <w:trPr>
          <w:trHeight w:val="126" w:hRule="atLeast"/>
        </w:trPr>
        <w:tc>
          <w:tcPr>
            <w:tcW w:w="2206"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绩效指标二</w:t>
            </w:r>
          </w:p>
        </w:tc>
        <w:tc>
          <w:tcPr>
            <w:tcW w:w="645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left"/>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kern w:val="0"/>
                <w:sz w:val="24"/>
                <w:szCs w:val="24"/>
              </w:rPr>
              <w:t>按照预算批复，完成全年收支指标及工作任务</w:t>
            </w:r>
            <w:r>
              <w:rPr>
                <w:rFonts w:hint="eastAsia" w:ascii="仿宋_GB2312" w:hAnsi="仿宋_GB2312" w:eastAsia="仿宋_GB2312" w:cs="仿宋_GB2312"/>
                <w:color w:val="000000"/>
                <w:kern w:val="0"/>
                <w:sz w:val="24"/>
                <w:szCs w:val="24"/>
                <w:lang w:eastAsia="zh-CN"/>
              </w:rPr>
              <w:t>。</w:t>
            </w:r>
          </w:p>
        </w:tc>
      </w:tr>
      <w:tr>
        <w:tblPrEx>
          <w:tblCellMar>
            <w:top w:w="0" w:type="dxa"/>
            <w:left w:w="108" w:type="dxa"/>
            <w:bottom w:w="0" w:type="dxa"/>
            <w:right w:w="108" w:type="dxa"/>
          </w:tblCellMar>
        </w:tblPrEx>
        <w:trPr>
          <w:trHeight w:val="126" w:hRule="atLeast"/>
        </w:trPr>
        <w:tc>
          <w:tcPr>
            <w:tcW w:w="2206"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绩效指标三</w:t>
            </w:r>
          </w:p>
        </w:tc>
        <w:tc>
          <w:tcPr>
            <w:tcW w:w="645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left"/>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kern w:val="0"/>
                <w:sz w:val="24"/>
                <w:szCs w:val="24"/>
              </w:rPr>
              <w:t>严格按照要求编制预算，严格执行预算，少花钱多办事，严格控制实施成本</w:t>
            </w:r>
            <w:r>
              <w:rPr>
                <w:rFonts w:hint="eastAsia" w:ascii="仿宋_GB2312" w:hAnsi="仿宋_GB2312" w:eastAsia="仿宋_GB2312" w:cs="仿宋_GB2312"/>
                <w:color w:val="000000"/>
                <w:kern w:val="0"/>
                <w:sz w:val="24"/>
                <w:szCs w:val="24"/>
                <w:lang w:eastAsia="zh-CN"/>
              </w:rPr>
              <w:t>。</w:t>
            </w:r>
          </w:p>
        </w:tc>
      </w:tr>
      <w:tr>
        <w:tblPrEx>
          <w:tblCellMar>
            <w:top w:w="0" w:type="dxa"/>
            <w:left w:w="108" w:type="dxa"/>
            <w:bottom w:w="0" w:type="dxa"/>
            <w:right w:w="108" w:type="dxa"/>
          </w:tblCellMar>
        </w:tblPrEx>
        <w:trPr>
          <w:trHeight w:val="126" w:hRule="atLeast"/>
        </w:trPr>
        <w:tc>
          <w:tcPr>
            <w:tcW w:w="2206"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绩效指标四</w:t>
            </w:r>
          </w:p>
        </w:tc>
        <w:tc>
          <w:tcPr>
            <w:tcW w:w="645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left"/>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kern w:val="0"/>
                <w:sz w:val="24"/>
                <w:szCs w:val="24"/>
              </w:rPr>
              <w:t>保障工作任务完成的项目经费支出</w:t>
            </w:r>
            <w:r>
              <w:rPr>
                <w:rFonts w:hint="eastAsia" w:ascii="仿宋_GB2312" w:hAnsi="仿宋_GB2312" w:eastAsia="仿宋_GB2312" w:cs="仿宋_GB2312"/>
                <w:color w:val="000000"/>
                <w:kern w:val="0"/>
                <w:sz w:val="24"/>
                <w:szCs w:val="24"/>
                <w:lang w:eastAsia="zh-CN"/>
              </w:rPr>
              <w:t>。</w:t>
            </w:r>
          </w:p>
        </w:tc>
      </w:tr>
      <w:tr>
        <w:tblPrEx>
          <w:tblCellMar>
            <w:top w:w="0" w:type="dxa"/>
            <w:left w:w="108" w:type="dxa"/>
            <w:bottom w:w="0" w:type="dxa"/>
            <w:right w:w="108" w:type="dxa"/>
          </w:tblCellMar>
        </w:tblPrEx>
        <w:trPr>
          <w:trHeight w:val="126" w:hRule="atLeast"/>
        </w:trPr>
        <w:tc>
          <w:tcPr>
            <w:tcW w:w="2206"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绩效指标五</w:t>
            </w:r>
          </w:p>
        </w:tc>
        <w:tc>
          <w:tcPr>
            <w:tcW w:w="645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left"/>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营造安全稳定的政治社会环境</w:t>
            </w:r>
            <w:r>
              <w:rPr>
                <w:rFonts w:hint="eastAsia" w:ascii="仿宋_GB2312" w:hAnsi="仿宋_GB2312" w:eastAsia="仿宋_GB2312" w:cs="仿宋_GB2312"/>
                <w:color w:val="000000"/>
                <w:sz w:val="24"/>
                <w:szCs w:val="24"/>
                <w:lang w:eastAsia="zh-CN"/>
              </w:rPr>
              <w:t>。</w:t>
            </w:r>
          </w:p>
        </w:tc>
      </w:tr>
      <w:tr>
        <w:tblPrEx>
          <w:tblCellMar>
            <w:top w:w="0" w:type="dxa"/>
            <w:left w:w="108" w:type="dxa"/>
            <w:bottom w:w="0" w:type="dxa"/>
            <w:right w:w="108" w:type="dxa"/>
          </w:tblCellMar>
        </w:tblPrEx>
        <w:trPr>
          <w:trHeight w:val="129" w:hRule="atLeast"/>
        </w:trPr>
        <w:tc>
          <w:tcPr>
            <w:tcW w:w="2206" w:type="dxa"/>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绩效指标六</w:t>
            </w:r>
          </w:p>
        </w:tc>
        <w:tc>
          <w:tcPr>
            <w:tcW w:w="645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560" w:lineRule="exact"/>
              <w:jc w:val="left"/>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建设高水平平安</w:t>
            </w:r>
            <w:r>
              <w:rPr>
                <w:rFonts w:hint="eastAsia" w:ascii="仿宋_GB2312" w:hAnsi="仿宋_GB2312" w:eastAsia="仿宋_GB2312" w:cs="仿宋_GB2312"/>
                <w:color w:val="000000"/>
                <w:sz w:val="24"/>
                <w:szCs w:val="24"/>
                <w:lang w:eastAsia="zh-CN"/>
              </w:rPr>
              <w:t>大兴</w:t>
            </w:r>
            <w:r>
              <w:rPr>
                <w:rFonts w:hint="eastAsia" w:ascii="仿宋_GB2312" w:hAnsi="仿宋_GB2312" w:eastAsia="仿宋_GB2312" w:cs="仿宋_GB2312"/>
                <w:color w:val="000000"/>
                <w:sz w:val="24"/>
                <w:szCs w:val="24"/>
              </w:rPr>
              <w:t>、法治</w:t>
            </w:r>
            <w:r>
              <w:rPr>
                <w:rFonts w:hint="eastAsia" w:ascii="仿宋_GB2312" w:hAnsi="仿宋_GB2312" w:eastAsia="仿宋_GB2312" w:cs="仿宋_GB2312"/>
                <w:color w:val="000000"/>
                <w:sz w:val="24"/>
                <w:szCs w:val="24"/>
                <w:lang w:eastAsia="zh-CN"/>
              </w:rPr>
              <w:t>大兴</w:t>
            </w:r>
            <w:r>
              <w:rPr>
                <w:rFonts w:hint="eastAsia" w:ascii="仿宋_GB2312" w:hAnsi="仿宋_GB2312" w:eastAsia="仿宋_GB2312" w:cs="仿宋_GB2312"/>
                <w:color w:val="000000"/>
                <w:sz w:val="24"/>
                <w:szCs w:val="24"/>
              </w:rPr>
              <w:t>，努力推动</w:t>
            </w:r>
            <w:r>
              <w:rPr>
                <w:rFonts w:hint="eastAsia" w:ascii="仿宋_GB2312" w:hAnsi="仿宋_GB2312" w:eastAsia="仿宋_GB2312" w:cs="仿宋_GB2312"/>
                <w:color w:val="000000"/>
                <w:sz w:val="24"/>
                <w:szCs w:val="24"/>
                <w:lang w:eastAsia="zh-CN"/>
              </w:rPr>
              <w:t>大兴</w:t>
            </w:r>
            <w:r>
              <w:rPr>
                <w:rFonts w:hint="eastAsia" w:ascii="仿宋_GB2312" w:hAnsi="仿宋_GB2312" w:eastAsia="仿宋_GB2312" w:cs="仿宋_GB2312"/>
                <w:color w:val="000000"/>
                <w:sz w:val="24"/>
                <w:szCs w:val="24"/>
              </w:rPr>
              <w:t>政法事业实现新发展</w:t>
            </w:r>
            <w:r>
              <w:rPr>
                <w:rFonts w:hint="eastAsia" w:ascii="仿宋_GB2312" w:hAnsi="仿宋_GB2312" w:eastAsia="仿宋_GB2312" w:cs="仿宋_GB2312"/>
                <w:color w:val="000000"/>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spacing w:line="560" w:lineRule="exact"/>
        <w:ind w:left="105" w:leftChars="50" w:firstLine="420" w:firstLineChars="150"/>
        <w:outlineLvl w:val="1"/>
        <w:rPr>
          <w:rFonts w:hint="eastAsia" w:ascii="仿宋" w:hAnsi="仿宋" w:eastAsia="仿宋_GB2312" w:cs="Times New Roman"/>
          <w:sz w:val="28"/>
          <w:szCs w:val="28"/>
          <w:lang w:val="en-US" w:eastAsia="zh-CN"/>
        </w:rPr>
      </w:pPr>
      <w:r>
        <w:rPr>
          <w:rFonts w:hint="eastAsia" w:ascii="仿宋" w:hAnsi="仿宋" w:eastAsia="仿宋_GB2312" w:cs="Times New Roman"/>
          <w:sz w:val="28"/>
          <w:szCs w:val="28"/>
          <w:lang w:val="en-US" w:eastAsia="zh-CN"/>
        </w:rPr>
        <w:t>2024年全年预算数6874.63万元，其中基本支出预算数1927.46万元，项目支出预算数4947.17万元，其他支出预算数0万元。资金合计支出6562.30万元，其中，基本支出1927.46万元，项目支出4634.84万元，其他支出0万元。预算执行率为95.46%。</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pPr>
        <w:spacing w:line="560" w:lineRule="exact"/>
        <w:ind w:left="105" w:leftChars="50" w:firstLine="420" w:firstLineChars="150"/>
        <w:outlineLvl w:val="1"/>
        <w:rPr>
          <w:rFonts w:ascii="楷体_GB2312" w:eastAsia="楷体_GB2312"/>
          <w:sz w:val="28"/>
          <w:szCs w:val="28"/>
        </w:rPr>
      </w:pPr>
      <w:r>
        <w:rPr>
          <w:rFonts w:hint="eastAsia" w:ascii="楷体_GB2312" w:eastAsia="楷体_GB2312"/>
          <w:sz w:val="28"/>
          <w:szCs w:val="28"/>
        </w:rPr>
        <w:t>（一）产出完成情况分析</w:t>
      </w:r>
    </w:p>
    <w:p>
      <w:pPr>
        <w:spacing w:line="560" w:lineRule="exact"/>
        <w:ind w:left="105" w:leftChars="50" w:firstLine="420" w:firstLineChars="150"/>
        <w:outlineLvl w:val="1"/>
        <w:rPr>
          <w:rFonts w:ascii="楷体_GB2312" w:eastAsia="楷体_GB2312"/>
          <w:sz w:val="28"/>
          <w:szCs w:val="28"/>
        </w:rPr>
      </w:pPr>
      <w:r>
        <w:rPr>
          <w:rFonts w:hint="eastAsia" w:ascii="仿宋" w:hAnsi="仿宋" w:eastAsia="仿宋_GB2312"/>
          <w:sz w:val="28"/>
          <w:szCs w:val="28"/>
        </w:rPr>
        <w:t>坚持以习近平新时代中国特色社会主义思想为指导，深入学习贯彻落实党的二十大</w:t>
      </w:r>
      <w:r>
        <w:rPr>
          <w:rFonts w:hint="eastAsia" w:ascii="仿宋" w:hAnsi="仿宋" w:eastAsia="仿宋_GB2312"/>
          <w:sz w:val="28"/>
          <w:szCs w:val="28"/>
          <w:lang w:eastAsia="zh-CN"/>
        </w:rPr>
        <w:t>、二十届三中会</w:t>
      </w:r>
      <w:r>
        <w:rPr>
          <w:rFonts w:hint="eastAsia" w:ascii="仿宋" w:hAnsi="仿宋" w:eastAsia="仿宋_GB2312"/>
          <w:sz w:val="28"/>
          <w:szCs w:val="28"/>
        </w:rPr>
        <w:t>精神，坚持党对政法工作的绝对领导，围绕</w:t>
      </w:r>
      <w:r>
        <w:rPr>
          <w:rFonts w:hint="eastAsia" w:ascii="仿宋" w:hAnsi="仿宋" w:eastAsia="仿宋_GB2312"/>
          <w:sz w:val="28"/>
          <w:szCs w:val="28"/>
          <w:lang w:eastAsia="zh-CN"/>
        </w:rPr>
        <w:t>大兴区</w:t>
      </w:r>
      <w:r>
        <w:rPr>
          <w:rFonts w:hint="eastAsia" w:ascii="仿宋" w:hAnsi="仿宋" w:eastAsia="仿宋_GB2312"/>
          <w:sz w:val="28"/>
          <w:szCs w:val="28"/>
        </w:rPr>
        <w:t>中心工作，坚持统筹发展和安全，营造安全稳定的政治社会环境，奋力建设高水平平安</w:t>
      </w:r>
      <w:r>
        <w:rPr>
          <w:rFonts w:hint="eastAsia" w:ascii="仿宋" w:hAnsi="仿宋" w:eastAsia="仿宋_GB2312"/>
          <w:sz w:val="28"/>
          <w:szCs w:val="28"/>
          <w:lang w:eastAsia="zh-CN"/>
        </w:rPr>
        <w:t>大兴</w:t>
      </w:r>
      <w:r>
        <w:rPr>
          <w:rFonts w:hint="eastAsia" w:ascii="仿宋" w:hAnsi="仿宋" w:eastAsia="仿宋_GB2312"/>
          <w:sz w:val="28"/>
          <w:szCs w:val="28"/>
        </w:rPr>
        <w:t>、法治</w:t>
      </w:r>
      <w:r>
        <w:rPr>
          <w:rFonts w:hint="eastAsia" w:ascii="仿宋" w:hAnsi="仿宋" w:eastAsia="仿宋_GB2312"/>
          <w:sz w:val="28"/>
          <w:szCs w:val="28"/>
          <w:lang w:eastAsia="zh-CN"/>
        </w:rPr>
        <w:t>大兴</w:t>
      </w:r>
      <w:r>
        <w:rPr>
          <w:rFonts w:hint="eastAsia" w:ascii="仿宋" w:hAnsi="仿宋" w:eastAsia="仿宋_GB2312"/>
          <w:sz w:val="28"/>
          <w:szCs w:val="28"/>
        </w:rPr>
        <w:t>，努力推动</w:t>
      </w:r>
      <w:r>
        <w:rPr>
          <w:rFonts w:hint="eastAsia" w:ascii="仿宋" w:hAnsi="仿宋" w:eastAsia="仿宋_GB2312"/>
          <w:sz w:val="28"/>
          <w:szCs w:val="28"/>
          <w:lang w:eastAsia="zh-CN"/>
        </w:rPr>
        <w:t>大兴</w:t>
      </w:r>
      <w:r>
        <w:rPr>
          <w:rFonts w:hint="eastAsia" w:ascii="仿宋" w:hAnsi="仿宋" w:eastAsia="仿宋_GB2312"/>
          <w:sz w:val="28"/>
          <w:szCs w:val="28"/>
        </w:rPr>
        <w:t>政法事业实现新发展。</w:t>
      </w:r>
    </w:p>
    <w:p>
      <w:pPr>
        <w:spacing w:line="560" w:lineRule="exact"/>
        <w:ind w:firstLine="560" w:firstLineChars="200"/>
        <w:outlineLvl w:val="1"/>
        <w:rPr>
          <w:rFonts w:ascii="楷体_GB2312" w:eastAsia="楷体_GB2312"/>
          <w:sz w:val="28"/>
          <w:szCs w:val="28"/>
        </w:rPr>
      </w:pPr>
      <w:r>
        <w:rPr>
          <w:rFonts w:hint="eastAsia" w:ascii="楷体_GB2312" w:eastAsia="楷体_GB2312"/>
          <w:sz w:val="28"/>
          <w:szCs w:val="28"/>
        </w:rPr>
        <w:t>（二）效果</w:t>
      </w:r>
      <w:r>
        <w:rPr>
          <w:rFonts w:ascii="楷体_GB2312" w:eastAsia="楷体_GB2312"/>
          <w:sz w:val="28"/>
          <w:szCs w:val="28"/>
        </w:rPr>
        <w:t>实现情况分析</w:t>
      </w:r>
    </w:p>
    <w:p>
      <w:pPr>
        <w:snapToGrid w:val="0"/>
        <w:spacing w:line="560" w:lineRule="exact"/>
        <w:ind w:firstLine="560" w:firstLineChars="200"/>
        <w:rPr>
          <w:rFonts w:hint="eastAsia" w:ascii="黑体" w:hAnsi="黑体" w:eastAsia="黑体" w:cs="宋体"/>
          <w:color w:val="000000"/>
          <w:kern w:val="0"/>
          <w:sz w:val="28"/>
          <w:szCs w:val="28"/>
          <w:highlight w:val="none"/>
        </w:rPr>
      </w:pPr>
      <w:r>
        <w:rPr>
          <w:rFonts w:hint="eastAsia" w:ascii="仿宋_GB2312" w:hAnsi="仿宋_GB2312" w:eastAsia="仿宋_GB2312" w:cs="仿宋_GB2312"/>
          <w:sz w:val="28"/>
          <w:szCs w:val="28"/>
        </w:rPr>
        <w:t>我委坚持以习近平新时代中国特色社会主义思想为指导，深入学习宣传贯彻党的</w:t>
      </w:r>
      <w:r>
        <w:rPr>
          <w:rFonts w:hint="eastAsia" w:ascii="仿宋_GB2312" w:hAnsi="仿宋_GB2312" w:eastAsia="仿宋_GB2312" w:cs="仿宋_GB2312"/>
          <w:sz w:val="28"/>
          <w:szCs w:val="28"/>
          <w:lang w:eastAsia="zh-CN"/>
        </w:rPr>
        <w:t>二十大、</w:t>
      </w:r>
      <w:r>
        <w:rPr>
          <w:rFonts w:ascii="仿宋_GB2312" w:hAnsi="仿宋_GB2312" w:eastAsia="仿宋_GB2312" w:cs="仿宋_GB2312"/>
          <w:sz w:val="28"/>
          <w:szCs w:val="28"/>
        </w:rPr>
        <w:t>二十</w:t>
      </w:r>
      <w:r>
        <w:rPr>
          <w:rFonts w:hint="eastAsia" w:ascii="仿宋_GB2312" w:hAnsi="仿宋_GB2312" w:eastAsia="仿宋_GB2312" w:cs="仿宋_GB2312"/>
          <w:sz w:val="28"/>
          <w:szCs w:val="28"/>
          <w:lang w:eastAsia="zh-CN"/>
        </w:rPr>
        <w:t>届</w:t>
      </w:r>
      <w:r>
        <w:rPr>
          <w:rFonts w:hint="eastAsia" w:ascii="仿宋_GB2312" w:hAnsi="仿宋_GB2312" w:eastAsia="仿宋_GB2312" w:cs="仿宋_GB2312"/>
          <w:sz w:val="28"/>
          <w:szCs w:val="28"/>
        </w:rPr>
        <w:t>三中全会</w:t>
      </w:r>
      <w:r>
        <w:rPr>
          <w:rFonts w:ascii="仿宋_GB2312" w:hAnsi="仿宋_GB2312" w:eastAsia="仿宋_GB2312" w:cs="仿宋_GB2312"/>
          <w:sz w:val="28"/>
          <w:szCs w:val="28"/>
        </w:rPr>
        <w:t>精神和</w:t>
      </w:r>
      <w:r>
        <w:rPr>
          <w:rFonts w:hint="eastAsia" w:ascii="仿宋_GB2312" w:hAnsi="仿宋_GB2312" w:eastAsia="仿宋_GB2312" w:cs="仿宋_GB2312"/>
          <w:sz w:val="28"/>
          <w:szCs w:val="28"/>
        </w:rPr>
        <w:t>习近平总书记关于做好新时代党的政法工作的重要思想，贯彻</w:t>
      </w:r>
      <w:r>
        <w:rPr>
          <w:rFonts w:ascii="仿宋_GB2312" w:hAnsi="仿宋_GB2312" w:eastAsia="仿宋_GB2312" w:cs="仿宋_GB2312"/>
          <w:sz w:val="28"/>
          <w:szCs w:val="28"/>
        </w:rPr>
        <w:t>落实</w:t>
      </w:r>
      <w:r>
        <w:rPr>
          <w:rFonts w:hint="eastAsia" w:ascii="仿宋_GB2312" w:hAnsi="仿宋_GB2312" w:eastAsia="仿宋_GB2312" w:cs="仿宋_GB2312"/>
          <w:sz w:val="28"/>
          <w:szCs w:val="28"/>
        </w:rPr>
        <w:t>中央政法工作会议精神</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按照中政委、市政法委工作要求，全面落实中央、市委各项决策部署，推动我区政法工作取得了新成效。</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（一）财务管理</w:t>
      </w:r>
    </w:p>
    <w:p>
      <w:pPr>
        <w:spacing w:line="56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1.财务</w:t>
      </w:r>
      <w:r>
        <w:rPr>
          <w:rFonts w:ascii="仿宋_GB2312" w:hAnsi="宋体" w:eastAsia="仿宋_GB2312" w:cs="宋体"/>
          <w:color w:val="000000"/>
          <w:kern w:val="0"/>
          <w:sz w:val="28"/>
          <w:szCs w:val="28"/>
        </w:rPr>
        <w:t>管理制度健全性</w:t>
      </w:r>
    </w:p>
    <w:p>
      <w:pPr>
        <w:spacing w:line="560" w:lineRule="exact"/>
        <w:ind w:left="105" w:leftChars="50" w:firstLine="420" w:firstLineChars="150"/>
        <w:rPr>
          <w:rFonts w:ascii="仿宋_GB2312" w:hAnsi="宋体" w:eastAsia="仿宋_GB2312" w:cs="宋体"/>
          <w:color w:val="000000"/>
          <w:kern w:val="0"/>
          <w:sz w:val="28"/>
          <w:szCs w:val="28"/>
        </w:rPr>
      </w:pPr>
      <w:r>
        <w:rPr>
          <w:rFonts w:hint="eastAsia" w:ascii="仿宋_GB2312" w:eastAsia="仿宋_GB2312" w:cs="仿宋_GB2312"/>
          <w:snapToGrid w:val="0"/>
          <w:kern w:val="0"/>
          <w:sz w:val="28"/>
          <w:szCs w:val="28"/>
        </w:rPr>
        <w:t>为加强区委政法委财务管理，进一步防范内控风险，结合政法工作实际，我委</w:t>
      </w:r>
      <w:r>
        <w:rPr>
          <w:rFonts w:hint="eastAsia" w:ascii="仿宋_GB2312" w:hAnsi="宋体" w:eastAsia="仿宋_GB2312" w:cs="宋体"/>
          <w:color w:val="000000"/>
          <w:kern w:val="0"/>
          <w:sz w:val="28"/>
          <w:szCs w:val="28"/>
        </w:rPr>
        <w:t>严格按照财政相关规定执行经费的使用和管理程序，并制定了《内部控制管理手册》，规范部门预算管理、采购管理、合同管理、固定资产管理等内容。</w:t>
      </w:r>
    </w:p>
    <w:p>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2.资金使用合规性</w:t>
      </w:r>
      <w:r>
        <w:rPr>
          <w:rFonts w:ascii="仿宋_GB2312" w:hAnsi="宋体" w:eastAsia="仿宋_GB2312" w:cs="宋体"/>
          <w:color w:val="000000"/>
          <w:kern w:val="0"/>
          <w:sz w:val="28"/>
          <w:szCs w:val="28"/>
        </w:rPr>
        <w:t>和安全性</w:t>
      </w:r>
    </w:p>
    <w:p>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资金使用严格按照区财政局及区委政法委各项规定制度执行。资金拨付有完整的审批流程，重大项目支出经过</w:t>
      </w:r>
      <w:r>
        <w:rPr>
          <w:rFonts w:hint="eastAsia" w:ascii="仿宋_GB2312" w:hAnsi="宋体" w:eastAsia="仿宋_GB2312" w:cs="宋体"/>
          <w:color w:val="000000"/>
          <w:kern w:val="0"/>
          <w:sz w:val="28"/>
          <w:szCs w:val="28"/>
          <w:lang w:eastAsia="zh-CN"/>
        </w:rPr>
        <w:t>班子会</w:t>
      </w:r>
      <w:r>
        <w:rPr>
          <w:rFonts w:hint="eastAsia" w:ascii="仿宋_GB2312" w:hAnsi="宋体" w:eastAsia="仿宋_GB2312" w:cs="宋体"/>
          <w:color w:val="000000"/>
          <w:kern w:val="0"/>
          <w:sz w:val="28"/>
          <w:szCs w:val="28"/>
        </w:rPr>
        <w:t>集体审议，不存在截留、挤占、挪用、虚列支出等情况。</w:t>
      </w:r>
    </w:p>
    <w:p>
      <w:pPr>
        <w:spacing w:line="560" w:lineRule="exact"/>
        <w:ind w:left="105" w:leftChars="50" w:firstLine="420" w:firstLineChars="150"/>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3.</w:t>
      </w:r>
      <w:r>
        <w:rPr>
          <w:rFonts w:hint="eastAsia" w:ascii="仿宋_GB2312" w:hAnsi="宋体" w:eastAsia="仿宋_GB2312" w:cs="宋体"/>
          <w:color w:val="000000"/>
          <w:kern w:val="0"/>
          <w:sz w:val="28"/>
          <w:szCs w:val="28"/>
        </w:rPr>
        <w:t>会计</w:t>
      </w:r>
      <w:r>
        <w:rPr>
          <w:rFonts w:ascii="仿宋_GB2312" w:hAnsi="宋体" w:eastAsia="仿宋_GB2312" w:cs="宋体"/>
          <w:color w:val="000000"/>
          <w:kern w:val="0"/>
          <w:sz w:val="28"/>
          <w:szCs w:val="28"/>
        </w:rPr>
        <w:t>基础信息完善性</w:t>
      </w:r>
    </w:p>
    <w:p>
      <w:pPr>
        <w:spacing w:line="56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eastAsia="zh-CN"/>
        </w:rPr>
        <w:t>区委政法委</w:t>
      </w:r>
      <w:r>
        <w:rPr>
          <w:rFonts w:hint="eastAsia" w:ascii="仿宋_GB2312" w:hAnsi="宋体" w:eastAsia="仿宋_GB2312" w:cs="宋体"/>
          <w:color w:val="000000"/>
          <w:kern w:val="0"/>
          <w:sz w:val="28"/>
          <w:szCs w:val="28"/>
        </w:rPr>
        <w:t>为区</w:t>
      </w:r>
      <w:r>
        <w:rPr>
          <w:rFonts w:hint="eastAsia" w:ascii="仿宋_GB2312" w:hAnsi="宋体" w:eastAsia="仿宋_GB2312" w:cs="宋体"/>
          <w:color w:val="000000"/>
          <w:kern w:val="0"/>
          <w:sz w:val="28"/>
          <w:szCs w:val="28"/>
          <w:lang w:eastAsia="zh-CN"/>
        </w:rPr>
        <w:t>结算中心</w:t>
      </w:r>
      <w:r>
        <w:rPr>
          <w:rFonts w:hint="eastAsia" w:ascii="仿宋_GB2312" w:hAnsi="宋体" w:eastAsia="仿宋_GB2312" w:cs="宋体"/>
          <w:color w:val="000000"/>
          <w:kern w:val="0"/>
          <w:sz w:val="28"/>
          <w:szCs w:val="28"/>
        </w:rPr>
        <w:t>代管单位，不涉及此项工作。</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（二）资产管理</w:t>
      </w:r>
    </w:p>
    <w:p>
      <w:pPr>
        <w:snapToGrid w:val="0"/>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部门</w:t>
      </w:r>
      <w:r>
        <w:rPr>
          <w:rFonts w:hint="eastAsia" w:ascii="仿宋_GB2312" w:hAnsi="仿宋_GB2312" w:eastAsia="仿宋_GB2312" w:cs="仿宋_GB2312"/>
          <w:sz w:val="28"/>
          <w:szCs w:val="28"/>
        </w:rPr>
        <w:t>资产安全完整，资产配置合理，对资产实行分类管理，定期对固定资产进行盘点，不断完善资产管理制度，管好、用好各项资产</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（三）绩效管理</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各业务科室是项目预算绩效管理的责任主体，负责本科室申报项目绩效管理的具体实施，制定清晰、量化、便于考核的绩效指标，将预算绩效贯穿预算编制、执行全过程。定期对预算绩效管理和绩效评价结果总结、分析；按照区财政局的要求报送预算绩效结果情况。</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（四）部门预决算差异率</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通过年度决算与年初预算对比，对各科室的年度支出情况进行监督，保障预算资金使用安全规范、确保绩效目标实现。</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五、总体评价结论</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（一）评价得分情况</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通过各项绩效指标评价的结果，反映出部门整体支出、收入、执行及调整等事项安排合理、运行稳健，在产出和效益等方面取得了较好的成绩。综上所述，综合评定等级为“优”。</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项目绩效目标设定的明确性有待更一步加强；项目监督管理规范性还有提升空间；项目绩效展示不够充分。主要原因就是绩效意识有所欠缺。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六、措施建议</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加强绩效管理意识，规范项目绩效目标的设定，明确总目标及绩效指标，提高目标的可评价程度；加强项目管理的规范性，明确监管制度，确保资金规范使用；加强项目绩效效果的分析提炼，充分发挥财政资金绩效。</w:t>
      </w: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rPr>
          <w:rFonts w:hint="eastAsia" w:ascii="仿宋_GB2312" w:hAnsi="仿宋_GB2312" w:eastAsia="仿宋_GB2312" w:cs="仿宋_GB2312"/>
          <w:i w:val="0"/>
          <w:iCs w:val="0"/>
          <w:color w:val="000000"/>
          <w:kern w:val="0"/>
          <w:sz w:val="24"/>
          <w:szCs w:val="24"/>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2</w:t>
      </w:r>
    </w:p>
    <w:p>
      <w:pPr>
        <w:keepNext w:val="0"/>
        <w:keepLines w:val="0"/>
        <w:pageBreakBefore w:val="0"/>
        <w:widowControl w:val="0"/>
        <w:kinsoku/>
        <w:wordWrap/>
        <w:overflowPunct/>
        <w:topLinePunct w:val="0"/>
        <w:autoSpaceDE/>
        <w:autoSpaceDN/>
        <w:bidi w:val="0"/>
        <w:snapToGrid/>
        <w:spacing w:line="560" w:lineRule="exact"/>
        <w:jc w:val="center"/>
        <w:rPr>
          <w:rFonts w:hint="eastAsia" w:ascii="宋体" w:hAnsi="宋体" w:eastAsia="宋体" w:cs="宋体"/>
          <w:b/>
          <w:bCs/>
          <w:sz w:val="32"/>
          <w:szCs w:val="32"/>
          <w:highlight w:val="none"/>
        </w:rPr>
      </w:pPr>
    </w:p>
    <w:p>
      <w:pPr>
        <w:keepNext w:val="0"/>
        <w:keepLines w:val="0"/>
        <w:pageBreakBefore w:val="0"/>
        <w:widowControl w:val="0"/>
        <w:kinsoku/>
        <w:wordWrap/>
        <w:overflowPunct/>
        <w:topLinePunct w:val="0"/>
        <w:autoSpaceDE/>
        <w:autoSpaceDN/>
        <w:bidi w:val="0"/>
        <w:snapToGrid/>
        <w:spacing w:line="560" w:lineRule="exact"/>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项目支出</w:t>
      </w:r>
      <w:r>
        <w:rPr>
          <w:rFonts w:hint="eastAsia" w:ascii="宋体" w:hAnsi="宋体" w:cs="宋体"/>
          <w:b/>
          <w:bCs/>
          <w:sz w:val="32"/>
          <w:szCs w:val="32"/>
          <w:highlight w:val="none"/>
          <w:lang w:eastAsia="zh-CN"/>
        </w:rPr>
        <w:t>部门</w:t>
      </w:r>
      <w:r>
        <w:rPr>
          <w:rFonts w:hint="eastAsia" w:ascii="宋体" w:hAnsi="宋体" w:eastAsia="宋体" w:cs="宋体"/>
          <w:b/>
          <w:bCs/>
          <w:sz w:val="32"/>
          <w:szCs w:val="32"/>
          <w:highlight w:val="none"/>
        </w:rPr>
        <w:t>绩效评价报告</w:t>
      </w:r>
    </w:p>
    <w:p>
      <w:pPr>
        <w:keepNext w:val="0"/>
        <w:keepLines w:val="0"/>
        <w:pageBreakBefore w:val="0"/>
        <w:widowControl w:val="0"/>
        <w:kinsoku/>
        <w:wordWrap/>
        <w:overflowPunct/>
        <w:topLinePunct w:val="0"/>
        <w:autoSpaceDE/>
        <w:autoSpaceDN/>
        <w:bidi w:val="0"/>
        <w:snapToGrid/>
        <w:spacing w:line="560" w:lineRule="exact"/>
        <w:jc w:val="center"/>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一、基本情况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（一）项目概况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按照</w:t>
      </w:r>
      <w:r>
        <w:rPr>
          <w:rFonts w:hint="eastAsia" w:ascii="仿宋_GB2312" w:hAnsi="仿宋_GB2312" w:eastAsia="仿宋_GB2312" w:cs="仿宋_GB2312"/>
          <w:color w:val="000000"/>
          <w:kern w:val="0"/>
          <w:sz w:val="28"/>
          <w:szCs w:val="28"/>
          <w:highlight w:val="none"/>
          <w:lang w:val="en-US" w:eastAsia="zh-CN"/>
        </w:rPr>
        <w:t>《关于加强社会治安防控体系建设的意见》《北京市智慧城市发展行动纲要》等</w:t>
      </w:r>
      <w:r>
        <w:rPr>
          <w:rFonts w:hint="eastAsia" w:ascii="仿宋_GB2312" w:hAnsi="仿宋_GB2312" w:eastAsia="仿宋_GB2312" w:cs="仿宋_GB2312"/>
          <w:color w:val="000000"/>
          <w:kern w:val="0"/>
          <w:sz w:val="28"/>
          <w:szCs w:val="28"/>
          <w:highlight w:val="none"/>
          <w:lang w:val="en-US" w:eastAsia="zh"/>
        </w:rPr>
        <w:t>文件</w:t>
      </w:r>
      <w:r>
        <w:rPr>
          <w:rFonts w:hint="eastAsia" w:ascii="仿宋_GB2312" w:hAnsi="仿宋_GB2312" w:eastAsia="仿宋_GB2312" w:cs="仿宋_GB2312"/>
          <w:color w:val="000000"/>
          <w:kern w:val="0"/>
          <w:sz w:val="28"/>
          <w:szCs w:val="28"/>
          <w:highlight w:val="none"/>
          <w:lang w:val="en-US" w:eastAsia="zh-CN"/>
        </w:rPr>
        <w:t>要求，将视频监控资源纳入智慧大兴、平安大兴建设总体规划，</w:t>
      </w:r>
      <w:r>
        <w:rPr>
          <w:rFonts w:hint="eastAsia" w:ascii="仿宋_GB2312" w:hAnsi="仿宋_GB2312" w:eastAsia="仿宋_GB2312" w:cs="仿宋_GB2312"/>
          <w:color w:val="000000"/>
          <w:kern w:val="0"/>
          <w:sz w:val="28"/>
          <w:szCs w:val="28"/>
          <w:highlight w:val="none"/>
        </w:rPr>
        <w:t>围绕视频图像资源汇聚、跨行业跨地域跨层级共享等内容，开展大兴区视频监控资源管理平台建设，有效整合各类视频图像资源，实现区、街镇、社区/村庄多级视频图像汇聚共享与融合赋能。在全区视频联网汇聚共享的基础上，通过AI共享赋能体系建设，进一步挖掘视频图像数据价值，提升视频图像资源在社会治理、综治维稳等领域</w:t>
      </w:r>
      <w:r>
        <w:rPr>
          <w:rFonts w:hint="eastAsia" w:ascii="仿宋_GB2312" w:hAnsi="仿宋_GB2312" w:eastAsia="仿宋_GB2312" w:cs="仿宋_GB2312"/>
          <w:color w:val="000000"/>
          <w:kern w:val="0"/>
          <w:sz w:val="28"/>
          <w:szCs w:val="28"/>
          <w:highlight w:val="none"/>
          <w:lang w:val="en-US" w:eastAsia="zh-CN"/>
        </w:rPr>
        <w:t>的</w:t>
      </w:r>
      <w:r>
        <w:rPr>
          <w:rFonts w:hint="eastAsia" w:ascii="仿宋_GB2312" w:hAnsi="仿宋_GB2312" w:eastAsia="仿宋_GB2312" w:cs="仿宋_GB2312"/>
          <w:color w:val="000000"/>
          <w:kern w:val="0"/>
          <w:sz w:val="28"/>
          <w:szCs w:val="28"/>
          <w:highlight w:val="none"/>
        </w:rPr>
        <w:t>整体效能。本项目建设内容主要包括大兴区视频监控资源管理平台</w:t>
      </w:r>
      <w:r>
        <w:rPr>
          <w:rFonts w:hint="eastAsia" w:ascii="仿宋_GB2312" w:hAnsi="仿宋_GB2312" w:eastAsia="仿宋_GB2312" w:cs="仿宋_GB2312"/>
          <w:color w:val="000000"/>
          <w:kern w:val="0"/>
          <w:sz w:val="28"/>
          <w:szCs w:val="28"/>
          <w:highlight w:val="none"/>
          <w:lang w:val="en-US" w:eastAsia="zh-CN"/>
        </w:rPr>
        <w:t>建设</w:t>
      </w:r>
      <w:r>
        <w:rPr>
          <w:rFonts w:hint="eastAsia" w:ascii="仿宋_GB2312" w:hAnsi="仿宋_GB2312" w:eastAsia="仿宋_GB2312" w:cs="仿宋_GB2312"/>
          <w:color w:val="000000"/>
          <w:kern w:val="0"/>
          <w:sz w:val="28"/>
          <w:szCs w:val="28"/>
          <w:highlight w:val="none"/>
        </w:rPr>
        <w:t>、镇街视频平台改造</w:t>
      </w:r>
      <w:r>
        <w:rPr>
          <w:rFonts w:hint="eastAsia" w:ascii="仿宋_GB2312" w:hAnsi="仿宋_GB2312" w:eastAsia="仿宋_GB2312" w:cs="仿宋_GB2312"/>
          <w:color w:val="000000"/>
          <w:kern w:val="0"/>
          <w:sz w:val="28"/>
          <w:szCs w:val="28"/>
          <w:highlight w:val="none"/>
          <w:lang w:val="en-US" w:eastAsia="zh-CN"/>
        </w:rPr>
        <w:t>和</w:t>
      </w:r>
      <w:r>
        <w:rPr>
          <w:rFonts w:hint="eastAsia" w:ascii="仿宋_GB2312" w:hAnsi="仿宋_GB2312" w:eastAsia="仿宋_GB2312" w:cs="仿宋_GB2312"/>
          <w:color w:val="000000"/>
          <w:kern w:val="0"/>
          <w:sz w:val="28"/>
          <w:szCs w:val="28"/>
          <w:highlight w:val="none"/>
        </w:rPr>
        <w:t>安全</w:t>
      </w:r>
      <w:r>
        <w:rPr>
          <w:rFonts w:hint="eastAsia" w:ascii="仿宋_GB2312" w:hAnsi="仿宋_GB2312" w:eastAsia="仿宋_GB2312" w:cs="仿宋_GB2312"/>
          <w:color w:val="000000"/>
          <w:kern w:val="0"/>
          <w:sz w:val="28"/>
          <w:szCs w:val="28"/>
          <w:highlight w:val="none"/>
          <w:lang w:val="en-US" w:eastAsia="zh-CN"/>
        </w:rPr>
        <w:t>系统</w:t>
      </w:r>
      <w:r>
        <w:rPr>
          <w:rFonts w:hint="eastAsia" w:ascii="仿宋_GB2312" w:hAnsi="仿宋_GB2312" w:eastAsia="仿宋_GB2312" w:cs="仿宋_GB2312"/>
          <w:color w:val="000000"/>
          <w:kern w:val="0"/>
          <w:sz w:val="28"/>
          <w:szCs w:val="28"/>
          <w:highlight w:val="none"/>
        </w:rPr>
        <w:t>建设三部分，具体内容如下：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
        </w:rPr>
        <w:t>1.</w:t>
      </w:r>
      <w:r>
        <w:rPr>
          <w:rFonts w:hint="eastAsia" w:ascii="仿宋_GB2312" w:hAnsi="仿宋_GB2312" w:eastAsia="仿宋_GB2312" w:cs="仿宋_GB2312"/>
          <w:color w:val="000000"/>
          <w:kern w:val="0"/>
          <w:sz w:val="28"/>
          <w:szCs w:val="28"/>
          <w:highlight w:val="none"/>
        </w:rPr>
        <w:t>大兴区视频监控资源管理平台</w:t>
      </w:r>
      <w:r>
        <w:rPr>
          <w:rFonts w:hint="eastAsia" w:ascii="仿宋_GB2312" w:hAnsi="仿宋_GB2312" w:eastAsia="仿宋_GB2312" w:cs="仿宋_GB2312"/>
          <w:color w:val="000000"/>
          <w:kern w:val="0"/>
          <w:sz w:val="28"/>
          <w:szCs w:val="28"/>
          <w:highlight w:val="none"/>
          <w:lang w:val="en-US" w:eastAsia="zh-CN"/>
        </w:rPr>
        <w:t>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val="en-US" w:eastAsia="zh"/>
        </w:rPr>
      </w:pPr>
      <w:r>
        <w:rPr>
          <w:rFonts w:hint="eastAsia" w:ascii="仿宋_GB2312" w:hAnsi="仿宋_GB2312" w:eastAsia="仿宋_GB2312" w:cs="仿宋_GB2312"/>
          <w:color w:val="000000"/>
          <w:kern w:val="0"/>
          <w:sz w:val="28"/>
          <w:szCs w:val="28"/>
          <w:highlight w:val="none"/>
          <w:lang w:val="en-US" w:eastAsia="zh-CN"/>
        </w:rPr>
        <w:t>共有13个子系统。分别是：</w:t>
      </w:r>
      <w:r>
        <w:rPr>
          <w:rFonts w:hint="eastAsia" w:ascii="仿宋_GB2312" w:hAnsi="仿宋_GB2312" w:eastAsia="仿宋_GB2312" w:cs="仿宋_GB2312"/>
          <w:color w:val="000000"/>
          <w:kern w:val="0"/>
          <w:sz w:val="28"/>
          <w:szCs w:val="28"/>
          <w:highlight w:val="none"/>
          <w:lang w:val="en-US" w:eastAsia="zh"/>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一是</w:t>
      </w:r>
      <w:r>
        <w:rPr>
          <w:rFonts w:hint="eastAsia" w:ascii="仿宋_GB2312" w:hAnsi="仿宋_GB2312" w:eastAsia="仿宋_GB2312" w:cs="仿宋_GB2312"/>
          <w:color w:val="000000"/>
          <w:kern w:val="0"/>
          <w:sz w:val="28"/>
          <w:szCs w:val="28"/>
          <w:highlight w:val="none"/>
        </w:rPr>
        <w:t>统一门户</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系统提供用户体系管理和身份认证功能，各平台（如区级平台、街镇平台）通过与本系统对接后可实现“一次认证、全网访问”的单点登录效果</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并且基于单点登录的服务能力，本系统也提供了统一门户的功能，门户支持集成多个平台的功能页面，门户整体风格和内容能够以主题方式实现切换，支持按角色对功能页面、主题进行访问控制。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二是</w:t>
      </w:r>
      <w:r>
        <w:rPr>
          <w:rFonts w:hint="eastAsia" w:ascii="仿宋_GB2312" w:hAnsi="仿宋_GB2312" w:eastAsia="仿宋_GB2312" w:cs="仿宋_GB2312"/>
          <w:color w:val="000000"/>
          <w:kern w:val="0"/>
          <w:sz w:val="28"/>
          <w:szCs w:val="28"/>
          <w:highlight w:val="none"/>
        </w:rPr>
        <w:t>资源目录</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主要包括资源目录采集和资源目录管理两个功能，针对视频图像共享交换平台中视频监控资源目录信息进行采集和管理，并生成资源目录信息库。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三是</w:t>
      </w:r>
      <w:r>
        <w:rPr>
          <w:rFonts w:hint="eastAsia" w:ascii="仿宋_GB2312" w:hAnsi="仿宋_GB2312" w:eastAsia="仿宋_GB2312" w:cs="仿宋_GB2312"/>
          <w:color w:val="000000"/>
          <w:kern w:val="0"/>
          <w:sz w:val="28"/>
          <w:szCs w:val="28"/>
          <w:highlight w:val="none"/>
        </w:rPr>
        <w:t>申请审批</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实现资源共享申请的核准及授权，主要由申请工单流转和审批情况统计组成。申请工单流转实现视频监控点位资源申请授权流程的业务流转，申请授权统计负责管理、维护申请授权系统的共享业务数据库，并支持向其他系统提供查询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四是</w:t>
      </w:r>
      <w:r>
        <w:rPr>
          <w:rFonts w:hint="eastAsia" w:ascii="仿宋_GB2312" w:hAnsi="仿宋_GB2312" w:eastAsia="仿宋_GB2312" w:cs="仿宋_GB2312"/>
          <w:color w:val="000000"/>
          <w:kern w:val="0"/>
          <w:sz w:val="28"/>
          <w:szCs w:val="28"/>
          <w:highlight w:val="none"/>
        </w:rPr>
        <w:t>视频调阅</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负责对接视频共享交换平台（包含政法委视频平台、镇街视频平台及部分委办局视频平台），满足不同部门行业用户基于权限控制的、对共享视频资源的查看与调阅。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五是</w:t>
      </w:r>
      <w:r>
        <w:rPr>
          <w:rFonts w:hint="eastAsia" w:ascii="仿宋_GB2312" w:hAnsi="仿宋_GB2312" w:eastAsia="仿宋_GB2312" w:cs="仿宋_GB2312"/>
          <w:color w:val="000000"/>
          <w:kern w:val="0"/>
          <w:sz w:val="28"/>
          <w:szCs w:val="28"/>
          <w:highlight w:val="none"/>
        </w:rPr>
        <w:t>汇聚共享</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提供视频资源获取、查询服务，实现全网视频资源的汇聚和集中管理，以及平台间的视频资源共享，满足GB/T28181协议，另外提供实时视频取流路径规划、调度并进行媒体定位的服务和流式媒体的服务，实现视频图像资源的互联互通和全面整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六是</w:t>
      </w:r>
      <w:r>
        <w:rPr>
          <w:rFonts w:hint="eastAsia" w:ascii="仿宋_GB2312" w:hAnsi="仿宋_GB2312" w:eastAsia="仿宋_GB2312" w:cs="仿宋_GB2312"/>
          <w:color w:val="000000"/>
          <w:kern w:val="0"/>
          <w:sz w:val="28"/>
          <w:szCs w:val="28"/>
          <w:highlight w:val="none"/>
        </w:rPr>
        <w:t>点位治理</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针对设备属性进行治理，赋予更多的空间信息，例如场所、经纬度，满足应用的需求；同时可以针对设备给予更多的业务属性或者业务标签，丰富应用的集成使用。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七是</w:t>
      </w:r>
      <w:r>
        <w:rPr>
          <w:rFonts w:hint="eastAsia" w:ascii="仿宋_GB2312" w:hAnsi="仿宋_GB2312" w:eastAsia="仿宋_GB2312" w:cs="仿宋_GB2312"/>
          <w:color w:val="000000"/>
          <w:kern w:val="0"/>
          <w:sz w:val="28"/>
          <w:szCs w:val="28"/>
          <w:highlight w:val="none"/>
        </w:rPr>
        <w:t>运维管理</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聚焦物联设备、IT基础设施、应用软件和视频图像数据运维等，利用物联网技术、视频技术，为用户提供设备台账、设备全生命周期管理、统一运行监控、故障工单管理、运维统计和服务报告等功能。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八是</w:t>
      </w:r>
      <w:r>
        <w:rPr>
          <w:rFonts w:hint="eastAsia" w:ascii="仿宋_GB2312" w:hAnsi="仿宋_GB2312" w:eastAsia="仿宋_GB2312" w:cs="仿宋_GB2312"/>
          <w:color w:val="000000"/>
          <w:kern w:val="0"/>
          <w:sz w:val="28"/>
          <w:szCs w:val="28"/>
          <w:highlight w:val="none"/>
        </w:rPr>
        <w:t>算法库</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根据业务场景需求，通过算法库灵活调度、加载各种算法，为统筹开展算法的调度应用提供基础。构建算法相关标准体系，支持通用类算法包的导入，也支持算法服务的接入。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九是</w:t>
      </w:r>
      <w:r>
        <w:rPr>
          <w:rFonts w:hint="eastAsia" w:ascii="仿宋_GB2312" w:hAnsi="仿宋_GB2312" w:eastAsia="仿宋_GB2312" w:cs="仿宋_GB2312"/>
          <w:color w:val="000000"/>
          <w:kern w:val="0"/>
          <w:sz w:val="28"/>
          <w:szCs w:val="28"/>
          <w:highlight w:val="none"/>
        </w:rPr>
        <w:t>监控资源全景图</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面向区领导、区级视频资源管理机构使用，将全区视频监控资源落图并进行实时预览，同时聚合全区视频资源与权限审批、运维运营等信息，帮助用户了解掌握全区的视频资源汇聚、视频资源共享、视频资源运维运营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十是</w:t>
      </w:r>
      <w:r>
        <w:rPr>
          <w:rFonts w:hint="eastAsia" w:ascii="仿宋_GB2312" w:hAnsi="仿宋_GB2312" w:eastAsia="仿宋_GB2312" w:cs="仿宋_GB2312"/>
          <w:color w:val="000000"/>
          <w:kern w:val="0"/>
          <w:sz w:val="28"/>
          <w:szCs w:val="28"/>
          <w:highlight w:val="none"/>
        </w:rPr>
        <w:t>政法应用场景（含算法）</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选取政法综治维稳领域关注的部分重点场所，以维护重要点位稳定、及时发现异常情况并进行实时预警为基本要求进行场景设计。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十一是</w:t>
      </w:r>
      <w:r>
        <w:rPr>
          <w:rFonts w:hint="eastAsia" w:ascii="仿宋_GB2312" w:hAnsi="仿宋_GB2312" w:eastAsia="仿宋_GB2312" w:cs="仿宋_GB2312"/>
          <w:color w:val="000000"/>
          <w:kern w:val="0"/>
          <w:sz w:val="28"/>
          <w:szCs w:val="28"/>
          <w:highlight w:val="none"/>
        </w:rPr>
        <w:t>可视化引擎</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由数据API、WEB客户端、服务端等多部分组成，核心内容是数据展现部分，支持绘制各类基础图表，接入ECharts、AntV-G2等第三方图表库，支持专业级地理信息可视化，配套丰富的行业模版，最终可视化引擎能实现灵活部署与适配，并呈现丰富的数据展现形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十二是</w:t>
      </w:r>
      <w:r>
        <w:rPr>
          <w:rFonts w:hint="eastAsia" w:ascii="仿宋_GB2312" w:hAnsi="仿宋_GB2312" w:eastAsia="仿宋_GB2312" w:cs="仿宋_GB2312"/>
          <w:color w:val="000000"/>
          <w:kern w:val="0"/>
          <w:sz w:val="28"/>
          <w:szCs w:val="28"/>
          <w:highlight w:val="none"/>
        </w:rPr>
        <w:t>项目规划系统</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在项目规划阶段，项目建设单位通过填报摄像机类型、点位名称、安装地点、经纬度、杆件、视场角、光缆方式、接入网络、接入平台、存储方式、取电方式、监控目标、建设必要性、资源共享范围等相关信息，进行项目规划申请。审核单位可分项审核规划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十三是</w:t>
      </w:r>
      <w:r>
        <w:rPr>
          <w:rFonts w:hint="eastAsia" w:ascii="仿宋_GB2312" w:hAnsi="仿宋_GB2312" w:eastAsia="仿宋_GB2312" w:cs="仿宋_GB2312"/>
          <w:color w:val="000000"/>
          <w:kern w:val="0"/>
          <w:sz w:val="28"/>
          <w:szCs w:val="28"/>
          <w:highlight w:val="none"/>
        </w:rPr>
        <w:t>接口功能</w:t>
      </w:r>
      <w:r>
        <w:rPr>
          <w:rFonts w:hint="eastAsia" w:ascii="仿宋_GB2312" w:hAnsi="仿宋_GB2312" w:eastAsia="仿宋_GB2312" w:cs="仿宋_GB2312"/>
          <w:color w:val="000000"/>
          <w:kern w:val="0"/>
          <w:sz w:val="28"/>
          <w:szCs w:val="28"/>
          <w:highlight w:val="none"/>
          <w:lang w:eastAsia="zh"/>
        </w:rPr>
        <w:t>。</w:t>
      </w:r>
      <w:r>
        <w:rPr>
          <w:rFonts w:hint="eastAsia" w:ascii="仿宋_GB2312" w:hAnsi="仿宋_GB2312" w:eastAsia="仿宋_GB2312" w:cs="仿宋_GB2312"/>
          <w:color w:val="000000"/>
          <w:kern w:val="0"/>
          <w:sz w:val="28"/>
          <w:szCs w:val="28"/>
          <w:highlight w:val="none"/>
        </w:rPr>
        <w:t>与市级京办、区级大数据平台、区级时空云平台等系统的对接。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2.</w:t>
      </w:r>
      <w:r>
        <w:rPr>
          <w:rFonts w:hint="eastAsia" w:ascii="仿宋_GB2312" w:hAnsi="仿宋_GB2312" w:eastAsia="仿宋_GB2312" w:cs="仿宋_GB2312"/>
          <w:color w:val="000000"/>
          <w:kern w:val="0"/>
          <w:sz w:val="28"/>
          <w:szCs w:val="28"/>
          <w:highlight w:val="none"/>
        </w:rPr>
        <w:t>镇街</w:t>
      </w:r>
      <w:r>
        <w:rPr>
          <w:rFonts w:hint="eastAsia" w:ascii="仿宋_GB2312" w:hAnsi="仿宋_GB2312" w:eastAsia="仿宋_GB2312" w:cs="仿宋_GB2312"/>
          <w:color w:val="000000"/>
          <w:kern w:val="0"/>
          <w:sz w:val="28"/>
          <w:szCs w:val="28"/>
          <w:highlight w:val="none"/>
          <w:lang w:val="en-US" w:eastAsia="zh-CN"/>
        </w:rPr>
        <w:t>管理</w:t>
      </w:r>
      <w:r>
        <w:rPr>
          <w:rFonts w:hint="eastAsia" w:ascii="仿宋_GB2312" w:hAnsi="仿宋_GB2312" w:eastAsia="仿宋_GB2312" w:cs="仿宋_GB2312"/>
          <w:color w:val="000000"/>
          <w:kern w:val="0"/>
          <w:sz w:val="28"/>
          <w:szCs w:val="28"/>
          <w:highlight w:val="none"/>
        </w:rPr>
        <w:t>平台改造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配合区级新建视频管理平台，改造镇街视频平台，实现统一认证、统一门户、资源目录管理、申请审批流程、视频调阅及点位治理等功能。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镇街侧改造主要内容包括</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实现与区级新建平台对接；改造设备管理模块实现对跨部门、跨区域设备进行管理；改造视频联网模块，实现对区级下发或撤销的视频接入与撤销；改造视频预览、录像回放模块，实现针对跨部门、跨区域设备生成独立视频预览结构树；改造街镇认证体系，实现与区级门户统一认证对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
        </w:rPr>
        <w:t>3.</w:t>
      </w:r>
      <w:r>
        <w:rPr>
          <w:rFonts w:hint="eastAsia" w:ascii="仿宋_GB2312" w:hAnsi="仿宋_GB2312" w:eastAsia="仿宋_GB2312" w:cs="仿宋_GB2312"/>
          <w:color w:val="000000"/>
          <w:kern w:val="0"/>
          <w:sz w:val="28"/>
          <w:szCs w:val="28"/>
          <w:highlight w:val="none"/>
        </w:rPr>
        <w:t>安全系统</w:t>
      </w:r>
      <w:r>
        <w:rPr>
          <w:rFonts w:hint="eastAsia" w:ascii="仿宋_GB2312" w:hAnsi="仿宋_GB2312" w:eastAsia="仿宋_GB2312" w:cs="仿宋_GB2312"/>
          <w:color w:val="000000"/>
          <w:kern w:val="0"/>
          <w:sz w:val="28"/>
          <w:szCs w:val="28"/>
          <w:highlight w:val="none"/>
          <w:lang w:val="en-US" w:eastAsia="zh-CN"/>
        </w:rPr>
        <w:t>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本项目所建系统满足安全等级三级保护要求</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建设范围主要涉及软件系统，软件应用安全由项目实施保障，而物理安全、网络安全、系统安全等涉及硬件和底层系统的安全措施则依托于大兴区政务云平台及政务网保障。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（二）项目资金投入和使用情况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CN"/>
        </w:rPr>
        <w:t>本</w:t>
      </w:r>
      <w:r>
        <w:rPr>
          <w:rFonts w:hint="eastAsia" w:ascii="仿宋_GB2312" w:hAnsi="仿宋_GB2312" w:eastAsia="仿宋_GB2312" w:cs="仿宋_GB2312"/>
          <w:color w:val="000000"/>
          <w:kern w:val="0"/>
          <w:sz w:val="28"/>
          <w:szCs w:val="28"/>
          <w:highlight w:val="none"/>
        </w:rPr>
        <w:t>项目</w:t>
      </w:r>
      <w:r>
        <w:rPr>
          <w:rFonts w:hint="eastAsia" w:ascii="仿宋_GB2312" w:hAnsi="仿宋_GB2312" w:eastAsia="仿宋_GB2312" w:cs="仿宋_GB2312"/>
          <w:color w:val="000000"/>
          <w:kern w:val="0"/>
          <w:sz w:val="28"/>
          <w:szCs w:val="28"/>
          <w:highlight w:val="none"/>
          <w:lang w:val="en-US" w:eastAsia="zh-CN"/>
        </w:rPr>
        <w:t>2024年度</w:t>
      </w:r>
      <w:r>
        <w:rPr>
          <w:rFonts w:hint="eastAsia" w:ascii="仿宋_GB2312" w:hAnsi="仿宋_GB2312" w:eastAsia="仿宋_GB2312" w:cs="仿宋_GB2312"/>
          <w:color w:val="000000"/>
          <w:kern w:val="0"/>
          <w:sz w:val="28"/>
          <w:szCs w:val="28"/>
          <w:highlight w:val="none"/>
        </w:rPr>
        <w:t>预算为</w:t>
      </w:r>
      <w:r>
        <w:rPr>
          <w:rFonts w:hint="eastAsia" w:ascii="仿宋_GB2312" w:hAnsi="仿宋_GB2312" w:eastAsia="仿宋_GB2312" w:cs="仿宋_GB2312"/>
          <w:color w:val="000000"/>
          <w:kern w:val="0"/>
          <w:sz w:val="28"/>
          <w:szCs w:val="28"/>
          <w:highlight w:val="none"/>
          <w:lang w:val="en-US" w:eastAsia="zh"/>
        </w:rPr>
        <w:t>767.796</w:t>
      </w:r>
      <w:r>
        <w:rPr>
          <w:rFonts w:hint="eastAsia" w:ascii="仿宋_GB2312" w:hAnsi="仿宋_GB2312" w:eastAsia="仿宋_GB2312" w:cs="仿宋_GB2312"/>
          <w:color w:val="000000"/>
          <w:kern w:val="0"/>
          <w:sz w:val="28"/>
          <w:szCs w:val="28"/>
          <w:highlight w:val="none"/>
        </w:rPr>
        <w:t>万元，由区财政负担，目前已全部支出完毕。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eastAsia="zh"/>
        </w:rPr>
        <w:t>三</w:t>
      </w:r>
      <w:r>
        <w:rPr>
          <w:rFonts w:hint="eastAsia" w:ascii="仿宋_GB2312" w:hAnsi="仿宋_GB2312" w:eastAsia="仿宋_GB2312" w:cs="仿宋_GB2312"/>
          <w:color w:val="000000"/>
          <w:kern w:val="0"/>
          <w:sz w:val="28"/>
          <w:szCs w:val="28"/>
          <w:highlight w:val="none"/>
        </w:rPr>
        <w:t>）项目绩效目标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本项目是</w:t>
      </w:r>
      <w:r>
        <w:rPr>
          <w:rFonts w:hint="eastAsia" w:ascii="仿宋_GB2312" w:hAnsi="仿宋_GB2312" w:eastAsia="仿宋_GB2312" w:cs="仿宋_GB2312"/>
          <w:color w:val="000000"/>
          <w:kern w:val="0"/>
          <w:sz w:val="28"/>
          <w:szCs w:val="28"/>
          <w:highlight w:val="none"/>
        </w:rPr>
        <w:t>落实区委、区政府关于全区公共安全视频监控建设联网应用的工作要求，进一步完善大兴区立体化、信息化社会治安防控体系建设，着力打造共建共享共治的社会治理格局，提升社会治理现代化水平。</w:t>
      </w:r>
      <w:r>
        <w:rPr>
          <w:rFonts w:hint="eastAsia" w:ascii="仿宋_GB2312" w:hAnsi="仿宋_GB2312" w:eastAsia="仿宋_GB2312" w:cs="仿宋_GB2312"/>
          <w:color w:val="000000"/>
          <w:kern w:val="0"/>
          <w:sz w:val="28"/>
          <w:szCs w:val="28"/>
          <w:highlight w:val="none"/>
          <w:lang w:eastAsia="zh"/>
        </w:rPr>
        <w:t>具体建设目标如下</w:t>
      </w:r>
      <w:r>
        <w:rPr>
          <w:rFonts w:hint="eastAsia" w:ascii="仿宋_GB2312" w:hAnsi="仿宋_GB2312" w:eastAsia="仿宋_GB2312" w:cs="仿宋_GB2312"/>
          <w:color w:val="000000"/>
          <w:kern w:val="0"/>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eastAsia="zh"/>
        </w:rPr>
        <w:t>一是奠定新型智慧城市数据基础。本项目为全区开展各类视频监控普查、核对、规划、编码工作提供信息化支撑手段，可以将前端的类型、地理位置、建设时间、权属单位、业务属性等基础信息要素“数据化”，支撑“用数据说话、用数据决策、用数据管理、用数据创新”的城市管理新理念，提升城市运行管理的精细化和精准化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val="en-US" w:eastAsia="zh"/>
        </w:rPr>
        <w:t>二是</w:t>
      </w:r>
      <w:r>
        <w:rPr>
          <w:rFonts w:hint="eastAsia" w:ascii="仿宋_GB2312" w:hAnsi="仿宋_GB2312" w:eastAsia="仿宋_GB2312" w:cs="仿宋_GB2312"/>
          <w:color w:val="000000"/>
          <w:kern w:val="0"/>
          <w:sz w:val="28"/>
          <w:szCs w:val="28"/>
          <w:highlight w:val="none"/>
          <w:lang w:eastAsia="zh"/>
        </w:rPr>
        <w:t>统筹视频资源授权调阅管理。充分统筹全区视频资源管理能力，通过深化目录管理内容，统一授权管理审批，强化视频调阅手段，建立跨部门、跨行业、跨地域视频监控资源共享交换管理体系。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val="en-US" w:eastAsia="zh"/>
        </w:rPr>
        <w:t>三是</w:t>
      </w:r>
      <w:r>
        <w:rPr>
          <w:rFonts w:hint="eastAsia" w:ascii="仿宋_GB2312" w:hAnsi="仿宋_GB2312" w:eastAsia="仿宋_GB2312" w:cs="仿宋_GB2312"/>
          <w:color w:val="000000"/>
          <w:kern w:val="0"/>
          <w:sz w:val="28"/>
          <w:szCs w:val="28"/>
          <w:highlight w:val="none"/>
          <w:lang w:eastAsia="zh"/>
        </w:rPr>
        <w:t>扩展视频资源应用管理能力。在已有视频接入能力的基础上，进一步扩展其视频接入管理能力，横向拓展视频资源的管理范围，纵向提升视频资源对各部门业务的支撑能力，采用视频解析技术，挖掘视频流数据价值，提升视频智能化赋能业务应用能力，提升社会治理智能化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四是</w:t>
      </w:r>
      <w:r>
        <w:rPr>
          <w:rFonts w:hint="eastAsia" w:ascii="仿宋_GB2312" w:hAnsi="仿宋_GB2312" w:eastAsia="仿宋_GB2312" w:cs="仿宋_GB2312"/>
          <w:color w:val="000000"/>
          <w:kern w:val="0"/>
          <w:sz w:val="28"/>
          <w:szCs w:val="28"/>
          <w:highlight w:val="none"/>
          <w:lang w:eastAsia="zh"/>
        </w:rPr>
        <w:t>提升全区视频运维管理水平。进一步提升视频图像信息系统故障早发现、早解决的能力，确保前端设备、后端系统、网络应用的连续、可靠、安全运行，实现视频监控资源的全面管理、自动监控、量化考核，提高全区视频运行管理水平和服务保障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w:t>
      </w:r>
      <w:r>
        <w:rPr>
          <w:rFonts w:hint="eastAsia" w:ascii="仿宋_GB2312" w:hAnsi="仿宋_GB2312" w:eastAsia="仿宋_GB2312" w:cs="仿宋_GB2312"/>
          <w:color w:val="000000"/>
          <w:kern w:val="0"/>
          <w:sz w:val="28"/>
          <w:szCs w:val="28"/>
          <w:highlight w:val="none"/>
          <w:lang w:eastAsia="zh"/>
        </w:rPr>
        <w:t>绩效评价目的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eastAsia="zh"/>
        </w:rPr>
        <w:t>提高项目资金使用效益，对项目支出情况开展绩效评价。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w:t>
      </w:r>
      <w:r>
        <w:rPr>
          <w:rFonts w:hint="eastAsia" w:ascii="仿宋_GB2312" w:hAnsi="仿宋_GB2312" w:eastAsia="仿宋_GB2312" w:cs="仿宋_GB2312"/>
          <w:color w:val="000000"/>
          <w:kern w:val="0"/>
          <w:sz w:val="28"/>
          <w:szCs w:val="28"/>
          <w:highlight w:val="none"/>
          <w:lang w:eastAsia="zh"/>
        </w:rPr>
        <w:t>绩效评价原则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eastAsia="zh"/>
        </w:rPr>
        <w:t>本着客观公正性原则，按照设定的指标体系，科室干部全部参与评价并打分，由项目负责人进行梳理。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w:t>
      </w:r>
      <w:r>
        <w:rPr>
          <w:rFonts w:hint="eastAsia" w:ascii="仿宋_GB2312" w:hAnsi="仿宋_GB2312" w:eastAsia="仿宋_GB2312" w:cs="仿宋_GB2312"/>
          <w:color w:val="000000"/>
          <w:kern w:val="0"/>
          <w:sz w:val="28"/>
          <w:szCs w:val="28"/>
          <w:highlight w:val="none"/>
          <w:lang w:eastAsia="zh"/>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
        </w:rPr>
      </w:pPr>
      <w:r>
        <w:rPr>
          <w:rFonts w:hint="eastAsia" w:ascii="仿宋_GB2312" w:hAnsi="仿宋_GB2312" w:eastAsia="仿宋_GB2312" w:cs="仿宋_GB2312"/>
          <w:color w:val="000000"/>
          <w:kern w:val="0"/>
          <w:sz w:val="28"/>
          <w:szCs w:val="28"/>
          <w:highlight w:val="none"/>
          <w:lang w:val="en-US" w:eastAsia="zh"/>
        </w:rPr>
        <w:t>1.前期准备。召集科室干部学习评价指标体系和绩效相关文件精神。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
        </w:rPr>
      </w:pPr>
      <w:r>
        <w:rPr>
          <w:rFonts w:hint="eastAsia" w:ascii="仿宋_GB2312" w:hAnsi="仿宋_GB2312" w:eastAsia="仿宋_GB2312" w:cs="仿宋_GB2312"/>
          <w:color w:val="000000"/>
          <w:kern w:val="0"/>
          <w:sz w:val="28"/>
          <w:szCs w:val="28"/>
          <w:highlight w:val="none"/>
          <w:lang w:val="en-US" w:eastAsia="zh"/>
        </w:rPr>
        <w:t>2.组织实施。按照规定的程序组织绩效评价，注重评价质量，撰写评价报告。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val="en-US" w:eastAsia="zh"/>
        </w:rPr>
        <w:t>3.分析评价。对评价结果进行分析整理</w:t>
      </w:r>
      <w:r>
        <w:rPr>
          <w:rFonts w:hint="eastAsia" w:ascii="仿宋_GB2312" w:hAnsi="仿宋_GB2312" w:eastAsia="仿宋_GB2312" w:cs="仿宋_GB2312"/>
          <w:color w:val="000000"/>
          <w:kern w:val="0"/>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项目评价得分</w:t>
      </w:r>
      <w:r>
        <w:rPr>
          <w:rFonts w:hint="eastAsia" w:ascii="仿宋_GB2312" w:hAnsi="仿宋_GB2312" w:eastAsia="仿宋_GB2312" w:cs="仿宋_GB2312"/>
          <w:color w:val="000000"/>
          <w:kern w:val="0"/>
          <w:sz w:val="28"/>
          <w:szCs w:val="28"/>
          <w:highlight w:val="none"/>
          <w:lang w:val="en-US" w:eastAsia="zh"/>
        </w:rPr>
        <w:t>100</w:t>
      </w:r>
      <w:r>
        <w:rPr>
          <w:rFonts w:hint="eastAsia" w:ascii="仿宋_GB2312" w:hAnsi="仿宋_GB2312" w:eastAsia="仿宋_GB2312" w:cs="仿宋_GB2312"/>
          <w:color w:val="000000"/>
          <w:kern w:val="0"/>
          <w:sz w:val="28"/>
          <w:szCs w:val="28"/>
          <w:highlight w:val="none"/>
          <w:lang w:val="en-US" w:eastAsia="zh-CN"/>
        </w:rPr>
        <w:t>分，评价结论为优。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eastAsia="zh"/>
        </w:rPr>
        <w:t>本项目经科室会动议，班子会研究通过。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val="en-US" w:eastAsia="zh"/>
        </w:rPr>
      </w:pPr>
      <w:r>
        <w:rPr>
          <w:rFonts w:hint="eastAsia" w:ascii="仿宋_GB2312" w:hAnsi="仿宋_GB2312" w:eastAsia="仿宋_GB2312" w:cs="仿宋_GB2312"/>
          <w:color w:val="000000"/>
          <w:kern w:val="0"/>
          <w:sz w:val="28"/>
          <w:szCs w:val="28"/>
          <w:highlight w:val="none"/>
          <w:lang w:eastAsia="zh"/>
        </w:rPr>
        <w:t>本项目经区经信局技术评审、区发改委项目评审，采用公开招投标形式确定承建单位进行项目建设。本项目于</w:t>
      </w:r>
      <w:r>
        <w:rPr>
          <w:rFonts w:hint="eastAsia" w:ascii="仿宋_GB2312" w:hAnsi="仿宋_GB2312" w:eastAsia="仿宋_GB2312" w:cs="仿宋_GB2312"/>
          <w:color w:val="000000"/>
          <w:kern w:val="0"/>
          <w:sz w:val="28"/>
          <w:szCs w:val="28"/>
          <w:highlight w:val="none"/>
          <w:lang w:val="en-US" w:eastAsia="zh"/>
        </w:rPr>
        <w:t>2023年11月10日开工，2024年8月9日通过竣工验收</w:t>
      </w:r>
      <w:r>
        <w:rPr>
          <w:rFonts w:hint="eastAsia" w:ascii="仿宋_GB2312" w:hAnsi="仿宋_GB2312" w:eastAsia="仿宋_GB2312" w:cs="仿宋_GB2312"/>
          <w:color w:val="000000"/>
          <w:kern w:val="0"/>
          <w:sz w:val="28"/>
          <w:szCs w:val="28"/>
          <w:highlight w:val="none"/>
          <w:lang w:eastAsia="zh"/>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eastAsia="zh"/>
        </w:rPr>
        <w:t>本项目的实施，节约了监管执法和管理成本，将全面提高大兴区视频图像标准化管理及建设的质量和效率，减少冗余工作，优化工作程序，节省人力成本、降低行政经费支出。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
        </w:rPr>
      </w:pPr>
      <w:r>
        <w:rPr>
          <w:rFonts w:hint="eastAsia" w:ascii="仿宋_GB2312" w:hAnsi="仿宋_GB2312" w:eastAsia="仿宋_GB2312" w:cs="仿宋_GB2312"/>
          <w:color w:val="000000"/>
          <w:kern w:val="0"/>
          <w:sz w:val="28"/>
          <w:szCs w:val="28"/>
          <w:highlight w:val="none"/>
          <w:lang w:eastAsia="zh"/>
        </w:rPr>
        <w:t>社会效益方面</w:t>
      </w:r>
      <w:bookmarkStart w:id="0" w:name="_Toc477010082"/>
      <w:r>
        <w:rPr>
          <w:rFonts w:hint="eastAsia" w:ascii="仿宋_GB2312" w:hAnsi="仿宋_GB2312" w:eastAsia="仿宋_GB2312" w:cs="仿宋_GB2312"/>
          <w:color w:val="000000"/>
          <w:kern w:val="0"/>
          <w:sz w:val="28"/>
          <w:szCs w:val="28"/>
          <w:highlight w:val="none"/>
          <w:lang w:eastAsia="zh"/>
        </w:rPr>
        <w:t>。本项目建成以后，通过联网对接相关委办局、属地镇街视频平台，联网汇聚全区视频监控资源，形成区级统一的视频图像资源池，为相关委办局、属地镇街等相关单位共享全区公共安全视频监控资源，为各单位开展打击犯罪、社会维稳、突发应急、治安防范、社会管理、服务民生、城市管理、道路交通秩序整顿、防汛抗旱、消防救援、景区人员检测、水务管理、园林管理、疫情防控、大型活动安保等工作，提供强有力的视频支撑保障，筑牢智慧城市视频感知体系基础。</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
        </w:rPr>
        <w:t>经济效益方面。通过全区监控资源的汇聚共享，提升政府部门开展城市治理各项工作的工作效率，提高公安机关在打击犯罪、维护社会治安稳定以及城市智能化的管理能力，缩短事件指挥响应时间，为事件处置节省了大量人力成本，间接节省了城市维护运行成本</w:t>
      </w:r>
      <w:r>
        <w:rPr>
          <w:rFonts w:hint="eastAsia" w:ascii="仿宋_GB2312" w:hAnsi="仿宋_GB2312" w:eastAsia="仿宋_GB2312" w:cs="仿宋_GB2312"/>
          <w:color w:val="000000"/>
          <w:kern w:val="0"/>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五、主要经验及做法、存在的问题及原因分析</w:t>
      </w:r>
    </w:p>
    <w:p>
      <w:pPr>
        <w:pStyle w:val="7"/>
        <w:keepNext w:val="0"/>
        <w:keepLines w:val="0"/>
        <w:pageBreakBefore w:val="0"/>
        <w:widowControl w:val="0"/>
        <w:kinsoku/>
        <w:wordWrap/>
        <w:overflowPunct/>
        <w:topLinePunct w:val="0"/>
        <w:autoSpaceDE/>
        <w:autoSpaceDN/>
        <w:bidi w:val="0"/>
        <w:snapToGrid/>
        <w:spacing w:line="560" w:lineRule="exact"/>
        <w:rPr>
          <w:rFonts w:hint="eastAsia" w:ascii="仿宋_GB2312" w:hAnsi="仿宋_GB2312" w:eastAsia="仿宋_GB2312" w:cs="仿宋_GB2312"/>
          <w:color w:val="000000"/>
          <w:kern w:val="0"/>
          <w:sz w:val="28"/>
          <w:szCs w:val="28"/>
          <w:highlight w:val="none"/>
          <w:lang w:val="en-US" w:eastAsia="zh" w:bidi="ar-SA"/>
        </w:rPr>
      </w:pPr>
      <w:r>
        <w:rPr>
          <w:rFonts w:hint="eastAsia" w:ascii="仿宋_GB2312" w:hAnsi="仿宋_GB2312" w:eastAsia="仿宋_GB2312" w:cs="仿宋_GB2312"/>
          <w:color w:val="000000"/>
          <w:kern w:val="0"/>
          <w:sz w:val="28"/>
          <w:szCs w:val="28"/>
          <w:highlight w:val="none"/>
          <w:lang w:val="en-US" w:eastAsia="zh" w:bidi="ar-SA"/>
        </w:rPr>
        <w:t>主要经验及做法：加强绩效管理意识，规范项目绩效目标的设定，明确总目标及绩效指标，提高目标的可评价程度；加强项目管理的规范性，明确监管制度，确保资金规范使用；加强项目绩效效果的分析提炼，充分发挥财政资金绩效。</w:t>
      </w:r>
    </w:p>
    <w:p>
      <w:pPr>
        <w:pStyle w:val="7"/>
        <w:keepNext w:val="0"/>
        <w:keepLines w:val="0"/>
        <w:pageBreakBefore w:val="0"/>
        <w:widowControl w:val="0"/>
        <w:kinsoku/>
        <w:wordWrap/>
        <w:overflowPunct/>
        <w:topLinePunct w:val="0"/>
        <w:autoSpaceDE/>
        <w:autoSpaceDN/>
        <w:bidi w:val="0"/>
        <w:snapToGrid/>
        <w:spacing w:line="560" w:lineRule="exact"/>
        <w:ind w:left="0" w:leftChars="0" w:firstLine="560" w:firstLineChars="200"/>
        <w:rPr>
          <w:rFonts w:hint="eastAsia" w:ascii="仿宋_GB2312" w:hAnsi="仿宋_GB2312" w:eastAsia="仿宋_GB2312" w:cs="仿宋_GB2312"/>
          <w:color w:val="000000"/>
          <w:kern w:val="0"/>
          <w:sz w:val="28"/>
          <w:szCs w:val="28"/>
          <w:highlight w:val="none"/>
          <w:lang w:val="en-US" w:eastAsia="zh" w:bidi="ar-SA"/>
        </w:rPr>
      </w:pPr>
      <w:r>
        <w:rPr>
          <w:rFonts w:hint="eastAsia" w:ascii="仿宋_GB2312" w:hAnsi="仿宋_GB2312" w:eastAsia="仿宋_GB2312" w:cs="仿宋_GB2312"/>
          <w:color w:val="000000"/>
          <w:kern w:val="0"/>
          <w:sz w:val="28"/>
          <w:szCs w:val="28"/>
          <w:highlight w:val="none"/>
          <w:lang w:val="en-US" w:eastAsia="zh" w:bidi="ar-SA"/>
        </w:rPr>
        <w:t>存在的问题及原因分析：暂无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六、有关建议</w:t>
      </w:r>
    </w:p>
    <w:p>
      <w:pPr>
        <w:pStyle w:val="7"/>
        <w:keepNext w:val="0"/>
        <w:keepLines w:val="0"/>
        <w:pageBreakBefore w:val="0"/>
        <w:widowControl w:val="0"/>
        <w:kinsoku/>
        <w:wordWrap/>
        <w:overflowPunct/>
        <w:topLinePunct w:val="0"/>
        <w:autoSpaceDE/>
        <w:autoSpaceDN/>
        <w:bidi w:val="0"/>
        <w:snapToGrid/>
        <w:spacing w:line="560" w:lineRule="exact"/>
        <w:rPr>
          <w:rFonts w:hint="eastAsia" w:ascii="仿宋_GB2312" w:hAnsi="仿宋_GB2312" w:eastAsia="仿宋_GB2312" w:cs="仿宋_GB2312"/>
          <w:color w:val="000000"/>
          <w:kern w:val="0"/>
          <w:sz w:val="28"/>
          <w:szCs w:val="28"/>
          <w:highlight w:val="none"/>
          <w:lang w:val="en-US" w:eastAsia="zh-CN" w:bidi="ar-SA"/>
        </w:rPr>
      </w:pPr>
      <w:r>
        <w:rPr>
          <w:rFonts w:hint="eastAsia" w:ascii="仿宋_GB2312" w:hAnsi="仿宋_GB2312" w:eastAsia="仿宋_GB2312" w:cs="仿宋_GB2312"/>
          <w:color w:val="000000"/>
          <w:kern w:val="0"/>
          <w:sz w:val="28"/>
          <w:szCs w:val="28"/>
          <w:highlight w:val="none"/>
          <w:lang w:val="en-US" w:eastAsia="zh-CN" w:bidi="ar-SA"/>
        </w:rPr>
        <w:t>无</w:t>
      </w:r>
    </w:p>
    <w:p>
      <w:pPr>
        <w:pStyle w:val="7"/>
        <w:keepNext w:val="0"/>
        <w:keepLines w:val="0"/>
        <w:pageBreakBefore w:val="0"/>
        <w:widowControl w:val="0"/>
        <w:kinsoku/>
        <w:wordWrap/>
        <w:overflowPunct/>
        <w:topLinePunct w:val="0"/>
        <w:autoSpaceDE/>
        <w:autoSpaceDN/>
        <w:bidi w:val="0"/>
        <w:snapToGrid/>
        <w:spacing w:line="560" w:lineRule="exact"/>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七、其他需要说明的问题</w:t>
      </w:r>
    </w:p>
    <w:p>
      <w:pPr>
        <w:pStyle w:val="7"/>
        <w:keepNext w:val="0"/>
        <w:keepLines w:val="0"/>
        <w:pageBreakBefore w:val="0"/>
        <w:widowControl w:val="0"/>
        <w:kinsoku/>
        <w:wordWrap/>
        <w:overflowPunct/>
        <w:topLinePunct w:val="0"/>
        <w:autoSpaceDE/>
        <w:autoSpaceDN/>
        <w:bidi w:val="0"/>
        <w:snapToGrid/>
        <w:spacing w:line="560" w:lineRule="exact"/>
        <w:rPr>
          <w:rFonts w:hint="eastAsia" w:ascii="仿宋_GB2312" w:hAnsi="仿宋_GB2312" w:eastAsia="仿宋_GB2312" w:cs="仿宋_GB2312"/>
          <w:color w:val="000000"/>
          <w:kern w:val="0"/>
          <w:sz w:val="28"/>
          <w:szCs w:val="28"/>
          <w:highlight w:val="none"/>
          <w:lang w:val="en-US" w:eastAsia="zh-CN" w:bidi="ar-SA"/>
        </w:rPr>
      </w:pPr>
      <w:r>
        <w:rPr>
          <w:rFonts w:hint="eastAsia" w:ascii="仿宋_GB2312" w:hAnsi="仿宋_GB2312" w:eastAsia="仿宋_GB2312" w:cs="仿宋_GB2312"/>
          <w:color w:val="000000"/>
          <w:kern w:val="0"/>
          <w:sz w:val="28"/>
          <w:szCs w:val="28"/>
          <w:highlight w:val="none"/>
          <w:lang w:val="en-US" w:eastAsia="zh-CN" w:bidi="ar-SA"/>
        </w:rPr>
        <w:t>无</w:t>
      </w:r>
    </w:p>
    <w:p>
      <w:pPr>
        <w:rPr>
          <w:rFonts w:hint="eastAsia"/>
        </w:rPr>
      </w:pPr>
      <w:r>
        <w:rPr>
          <w:rFonts w:hint="eastAsia"/>
        </w:rPr>
        <w:br w:type="page"/>
      </w:r>
    </w:p>
    <w:p>
      <w:pPr>
        <w:adjustRightInd w:val="0"/>
        <w:snapToGrid w:val="0"/>
        <w:spacing w:line="560" w:lineRule="exact"/>
        <w:jc w:val="left"/>
        <w:rPr>
          <w:rFonts w:hint="default"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2-1</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区委政法委</w:t>
      </w:r>
      <w:r>
        <w:rPr>
          <w:rFonts w:hint="eastAsia" w:ascii="仿宋_GB2312" w:hAnsi="宋体" w:eastAsia="仿宋_GB2312"/>
          <w:sz w:val="32"/>
          <w:szCs w:val="32"/>
          <w:lang w:eastAsia="zh-CN"/>
        </w:rPr>
        <w:t>大兴区视频监控资源管理平台建设运营项目</w:t>
      </w:r>
      <w:r>
        <w:rPr>
          <w:rFonts w:hint="eastAsia" w:ascii="仿宋_GB2312" w:hAnsi="宋体" w:eastAsia="仿宋_GB2312"/>
          <w:sz w:val="32"/>
          <w:szCs w:val="32"/>
        </w:rPr>
        <w:t>绩效自评指标体系及评分表</w:t>
      </w:r>
    </w:p>
    <w:p>
      <w:pPr>
        <w:rPr>
          <w:rFonts w:hint="eastAsia"/>
        </w:rPr>
      </w:pPr>
      <w:r>
        <w:rPr>
          <w:rFonts w:hint="eastAsia"/>
        </w:rPr>
        <w:object>
          <v:shape id="_x0000_i1025" o:spt="75" type="#_x0000_t75" style="height:422.5pt;width:402pt;" o:ole="t" filled="f" o:preferrelative="t" stroked="f" coordsize="21600,21600">
            <v:path/>
            <v:fill on="f" focussize="0,0"/>
            <v:stroke on="f"/>
            <v:imagedata r:id="rId5" croptop="6264f" o:title=""/>
            <o:lock v:ext="edit" aspectratio="f"/>
            <w10:wrap type="none"/>
            <w10:anchorlock/>
          </v:shape>
          <o:OLEObject Type="Embed" ProgID="Excel.Sheet.12" ShapeID="_x0000_i1025" DrawAspect="Content" ObjectID="_1468075725" r:id="rId4">
            <o:LockedField>false</o:LockedField>
          </o:OLEObject>
        </w:object>
      </w:r>
    </w:p>
    <w:p>
      <w:pPr>
        <w:pStyle w:val="3"/>
        <w:rPr>
          <w:rFonts w:hint="eastAsia"/>
        </w:rPr>
      </w:pPr>
    </w:p>
    <w:p>
      <w:pPr>
        <w:rPr>
          <w:rFonts w:hint="eastAsia"/>
        </w:rPr>
      </w:pPr>
    </w:p>
    <w:p>
      <w:pPr>
        <w:pStyle w:val="3"/>
        <w:rPr>
          <w:rFonts w:hint="eastAsia"/>
        </w:rPr>
      </w:pPr>
    </w:p>
    <w:p>
      <w:pPr>
        <w:rPr>
          <w:rFonts w:hint="eastAsia"/>
        </w:rPr>
      </w:pPr>
    </w:p>
    <w:p>
      <w:pPr>
        <w:pStyle w:val="3"/>
        <w:rPr>
          <w:rFonts w:hint="eastAsia"/>
        </w:rPr>
      </w:pPr>
    </w:p>
    <w:p>
      <w:pPr>
        <w:rPr>
          <w:rFonts w:hint="eastAsia"/>
        </w:rPr>
      </w:pPr>
    </w:p>
    <w:p>
      <w:pPr>
        <w:pStyle w:val="3"/>
        <w:rPr>
          <w:rFonts w:hint="eastAsia"/>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05"/>
        <w:gridCol w:w="642"/>
        <w:gridCol w:w="937"/>
        <w:gridCol w:w="643"/>
        <w:gridCol w:w="640"/>
        <w:gridCol w:w="190"/>
        <w:gridCol w:w="1016"/>
        <w:gridCol w:w="851"/>
        <w:gridCol w:w="470"/>
        <w:gridCol w:w="417"/>
        <w:gridCol w:w="497"/>
        <w:gridCol w:w="425"/>
        <w:gridCol w:w="642"/>
        <w:gridCol w:w="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5000" w:type="pct"/>
            <w:gridSpan w:val="14"/>
            <w:tcBorders>
              <w:top w:val="nil"/>
              <w:left w:val="nil"/>
              <w:bottom w:val="nil"/>
              <w:right w:val="nil"/>
            </w:tcBorders>
            <w:shd w:val="clear"/>
            <w:vAlign w:val="center"/>
          </w:tcPr>
          <w:p>
            <w:pPr>
              <w:adjustRightInd w:val="0"/>
              <w:snapToGrid w:val="0"/>
              <w:spacing w:line="560" w:lineRule="exact"/>
              <w:jc w:val="left"/>
              <w:rPr>
                <w:rFonts w:hint="default"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3</w:t>
            </w: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4"/>
            <w:tcBorders>
              <w:top w:val="nil"/>
              <w:left w:val="nil"/>
              <w:bottom w:val="nil"/>
              <w:right w:val="nil"/>
            </w:tcBorders>
            <w:shd w:val="clear"/>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8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319" w:type="pct"/>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大兴区视频监控资源管理平台建设运营项目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8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1979"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大兴区委政法委</w:t>
            </w:r>
          </w:p>
        </w:tc>
        <w:tc>
          <w:tcPr>
            <w:tcW w:w="78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58"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大兴区委政法委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80"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34"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7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665"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780"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543"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33"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38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34"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5"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7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33"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2"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7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767.796</w:t>
            </w:r>
          </w:p>
        </w:tc>
        <w:tc>
          <w:tcPr>
            <w:tcW w:w="78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767.796</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63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3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79"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767.796</w:t>
            </w:r>
          </w:p>
        </w:tc>
        <w:tc>
          <w:tcPr>
            <w:tcW w:w="78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79"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FF0000"/>
                <w:sz w:val="18"/>
                <w:szCs w:val="18"/>
                <w:u w:val="none"/>
              </w:rPr>
            </w:pPr>
          </w:p>
        </w:tc>
        <w:tc>
          <w:tcPr>
            <w:tcW w:w="78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bdr w:val="none" w:color="auto" w:sz="0" w:space="0"/>
                <w:lang w:val="en-US" w:eastAsia="zh-CN" w:bidi="ar"/>
              </w:rPr>
              <w:t xml:space="preserve"> 其他资金</w:t>
            </w:r>
          </w:p>
        </w:tc>
        <w:tc>
          <w:tcPr>
            <w:tcW w:w="379"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FF0000"/>
                <w:sz w:val="18"/>
                <w:szCs w:val="18"/>
                <w:u w:val="none"/>
              </w:rPr>
            </w:pPr>
          </w:p>
        </w:tc>
        <w:tc>
          <w:tcPr>
            <w:tcW w:w="78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bdr w:val="none" w:color="auto" w:sz="0" w:space="0"/>
                <w:lang w:val="en-US" w:eastAsia="zh-CN" w:bidi="ar"/>
              </w:rPr>
              <w:t xml:space="preserve">  中央直达资金</w:t>
            </w:r>
            <w:r>
              <w:rPr>
                <w:rStyle w:val="9"/>
                <w:bdr w:val="none" w:color="auto" w:sz="0" w:space="0"/>
                <w:lang w:val="en-US" w:eastAsia="zh-CN" w:bidi="ar"/>
              </w:rPr>
              <w:t xml:space="preserve"> </w:t>
            </w:r>
          </w:p>
        </w:tc>
        <w:tc>
          <w:tcPr>
            <w:tcW w:w="379"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FF0000"/>
                <w:sz w:val="18"/>
                <w:szCs w:val="18"/>
                <w:u w:val="none"/>
              </w:rPr>
            </w:pPr>
          </w:p>
        </w:tc>
        <w:tc>
          <w:tcPr>
            <w:tcW w:w="78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3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359"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33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300"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59"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落实区委、区政府关于全区公共安全视频监控建设联网应用的工作要求，进一步完善大兴区立体化、信息化社会治安防控体系建设，着力打造共建共享共治的社会治理格局，提升社会治理现代化水平。</w:t>
            </w:r>
          </w:p>
        </w:tc>
        <w:tc>
          <w:tcPr>
            <w:tcW w:w="233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落实区委、区政府关于全区公共安全视频监控建设联网应用的工作要求，进一步完善大兴区立体化、信息化社会治安防控体系建设，着力打造共建共享共治的社会治理格局，提升社会治理现代化水平。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5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553"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指标1：完成镇街平台改造情况</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Style w:val="10"/>
                <w:rFonts w:eastAsia="宋体"/>
                <w:bdr w:val="none" w:color="auto" w:sz="0" w:space="0"/>
                <w:lang w:val="en-US" w:eastAsia="zh-CN" w:bidi="ar"/>
              </w:rPr>
              <w:t>≥20</w:t>
            </w:r>
            <w:r>
              <w:rPr>
                <w:rStyle w:val="8"/>
                <w:bdr w:val="none" w:color="auto" w:sz="0" w:space="0"/>
                <w:lang w:val="en-US" w:eastAsia="zh-CN" w:bidi="ar"/>
              </w:rPr>
              <w:t>个</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20个</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3"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指标2：完成点位治理情况</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≥10000个</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13000个</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指标1：视频平台应用是否达到预期效果</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是或否</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指标1：是否在年底前完成项目支出</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是或否</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5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指标1：实际支出不超过全年预算数</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Style w:val="11"/>
                <w:rFonts w:eastAsia="宋体"/>
                <w:bdr w:val="none" w:color="auto" w:sz="0" w:space="0"/>
                <w:lang w:val="en-US" w:eastAsia="zh-CN" w:bidi="ar"/>
              </w:rPr>
              <w:t>≤7677960</w:t>
            </w:r>
            <w:r>
              <w:rPr>
                <w:rStyle w:val="12"/>
                <w:bdr w:val="none" w:color="auto" w:sz="0" w:space="0"/>
                <w:lang w:val="en-US" w:eastAsia="zh-CN" w:bidi="ar"/>
              </w:rPr>
              <w:t>元</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7677960元</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auto"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效益指标（30分）</w:t>
            </w:r>
          </w:p>
        </w:tc>
        <w:tc>
          <w:tcPr>
            <w:tcW w:w="553"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指标1：在建设过程中与各相关单位对接是否顺利</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是否顺利</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0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553"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87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指标1：涉及的各相关单位满意度</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6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161" w:type="pct"/>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5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4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62" w:type="pct"/>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bl>
    <w:p>
      <w:pPr>
        <w:pStyle w:val="3"/>
      </w:pPr>
    </w:p>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09"/>
        <w:gridCol w:w="649"/>
        <w:gridCol w:w="1035"/>
        <w:gridCol w:w="649"/>
        <w:gridCol w:w="648"/>
        <w:gridCol w:w="198"/>
        <w:gridCol w:w="937"/>
        <w:gridCol w:w="859"/>
        <w:gridCol w:w="479"/>
        <w:gridCol w:w="421"/>
        <w:gridCol w:w="505"/>
        <w:gridCol w:w="385"/>
        <w:gridCol w:w="648"/>
        <w:gridCol w:w="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14"/>
            <w:tcBorders>
              <w:top w:val="nil"/>
              <w:left w:val="nil"/>
              <w:bottom w:val="nil"/>
              <w:right w:val="nil"/>
            </w:tcBorders>
            <w:shd w:val="clear"/>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319" w:type="pct"/>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物业管理-3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项目负责人</w:t>
            </w:r>
          </w:p>
        </w:tc>
        <w:tc>
          <w:tcPr>
            <w:tcW w:w="2034"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王宁</w:t>
            </w:r>
          </w:p>
        </w:tc>
        <w:tc>
          <w:tcPr>
            <w:tcW w:w="78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联系电话</w:t>
            </w:r>
          </w:p>
        </w:tc>
        <w:tc>
          <w:tcPr>
            <w:tcW w:w="1501"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89292602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988"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665"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783"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543"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606"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35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88"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5"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783"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5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8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78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77.838353</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60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86.49%</w:t>
            </w:r>
          </w:p>
        </w:tc>
        <w:tc>
          <w:tcPr>
            <w:tcW w:w="3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8.65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8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8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0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3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8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8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0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3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8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8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0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3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8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8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0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3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9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17"/>
                <w:kern w:val="0"/>
                <w:sz w:val="18"/>
                <w:szCs w:val="18"/>
                <w:u w:val="none"/>
                <w:bdr w:val="none" w:color="auto" w:sz="0" w:space="0"/>
                <w:lang w:val="en-US" w:eastAsia="zh-CN" w:bidi="ar"/>
              </w:rPr>
              <w:t>年度总体目标</w:t>
            </w:r>
          </w:p>
        </w:tc>
        <w:tc>
          <w:tcPr>
            <w:tcW w:w="2414"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285"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29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414"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确保政法委办公设施设备正常运转，组织召开的各项会议顺利召开，确保政法委内部安全，保障各项日常工作的顺利开展。</w:t>
            </w:r>
          </w:p>
        </w:tc>
        <w:tc>
          <w:tcPr>
            <w:tcW w:w="2285"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确保政法委办公设施设备正常运转，组织召开的各项会议顺利召开，确保政法委内部安全，保障各项日常工作的顺利开展。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99"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60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87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5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7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9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607"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87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指标1：保安保洁员人员数量</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10人</w:t>
            </w:r>
          </w:p>
        </w:tc>
        <w:tc>
          <w:tcPr>
            <w:tcW w:w="5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10人</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73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07"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87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指标1：确保政法委机关内部安全。</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优良中差</w:t>
            </w:r>
          </w:p>
        </w:tc>
        <w:tc>
          <w:tcPr>
            <w:tcW w:w="5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3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07"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87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指标2：确保政法委机关环境卫生。</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优良中差</w:t>
            </w:r>
          </w:p>
        </w:tc>
        <w:tc>
          <w:tcPr>
            <w:tcW w:w="5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3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9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607" w:type="pct"/>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87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指标1：保安保洁服务及其他各项保障服务费用，严格按照年初预算执行。</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优良中差</w:t>
            </w:r>
          </w:p>
        </w:tc>
        <w:tc>
          <w:tcPr>
            <w:tcW w:w="5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3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auto"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效益指标（30分）</w:t>
            </w:r>
          </w:p>
        </w:tc>
        <w:tc>
          <w:tcPr>
            <w:tcW w:w="607" w:type="pct"/>
            <w:tcBorders>
              <w:top w:val="single" w:color="auto"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87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指标1：保障政法委机关各项履职工作的顺利工展。</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优良中差</w:t>
            </w:r>
          </w:p>
        </w:tc>
        <w:tc>
          <w:tcPr>
            <w:tcW w:w="5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73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9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607"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87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指标1：干部职工满意度。</w:t>
            </w:r>
          </w:p>
        </w:tc>
        <w:tc>
          <w:tcPr>
            <w:tcW w:w="5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5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3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217" w:type="pct"/>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5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2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98.65 </w:t>
            </w:r>
          </w:p>
        </w:tc>
        <w:tc>
          <w:tcPr>
            <w:tcW w:w="732" w:type="pct"/>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bl>
    <w:p>
      <w:pPr>
        <w:pStyle w:val="3"/>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46"/>
        <w:gridCol w:w="711"/>
        <w:gridCol w:w="1087"/>
        <w:gridCol w:w="818"/>
        <w:gridCol w:w="846"/>
        <w:gridCol w:w="242"/>
        <w:gridCol w:w="891"/>
        <w:gridCol w:w="953"/>
        <w:gridCol w:w="119"/>
        <w:gridCol w:w="527"/>
        <w:gridCol w:w="460"/>
        <w:gridCol w:w="547"/>
        <w:gridCol w:w="72"/>
        <w:gridCol w:w="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14"/>
            <w:tcBorders>
              <w:top w:val="nil"/>
              <w:left w:val="nil"/>
              <w:bottom w:val="nil"/>
              <w:right w:val="nil"/>
            </w:tcBorders>
            <w:shd w:val="clear"/>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203" w:type="pct"/>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临时辅助用工经费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2279"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大兴区委政法委</w:t>
            </w:r>
          </w:p>
        </w:tc>
        <w:tc>
          <w:tcPr>
            <w:tcW w:w="6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296"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大兴区委政法委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1118"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664"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27"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57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363"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35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18"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4"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27"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7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63"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1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42.7582</w:t>
            </w:r>
          </w:p>
        </w:tc>
        <w:tc>
          <w:tcPr>
            <w:tcW w:w="6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189.79723</w:t>
            </w:r>
          </w:p>
        </w:tc>
        <w:tc>
          <w:tcPr>
            <w:tcW w:w="6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189.79723</w:t>
            </w:r>
          </w:p>
        </w:tc>
        <w:tc>
          <w:tcPr>
            <w:tcW w:w="5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36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1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42.7582</w:t>
            </w:r>
          </w:p>
        </w:tc>
        <w:tc>
          <w:tcPr>
            <w:tcW w:w="6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189.79723</w:t>
            </w:r>
          </w:p>
        </w:tc>
        <w:tc>
          <w:tcPr>
            <w:tcW w:w="62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189.79723</w:t>
            </w:r>
          </w:p>
        </w:tc>
        <w:tc>
          <w:tcPr>
            <w:tcW w:w="5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6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1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27"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63"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1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27"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63"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1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27"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63"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7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696"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192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9" w:hRule="atLeast"/>
        </w:trPr>
        <w:tc>
          <w:tcPr>
            <w:tcW w:w="3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696"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通过按时发放临时性辅助用工的工资，保障政法委辅助用工工作正常有序的开展</w:t>
            </w:r>
          </w:p>
        </w:tc>
        <w:tc>
          <w:tcPr>
            <w:tcW w:w="192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通过按时发放临时性辅助用工的工资，实现保障政法委辅助用工工作正常有序的开展的目标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379"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6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7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638"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指标1：工资发放人员数量</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7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3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指标2：补充待遇发放人员数量</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37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38"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指标1：辅助用工人员完成工作质量</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38"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指标1：按时发放工资</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每季度一次</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每季度一次</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 w:type="pct"/>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6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指标1：辅助用工人员工资</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按照实际应发金额发放</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按照实际应发金额发放</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7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 w:type="pct"/>
            <w:tcBorders>
              <w:top w:val="single" w:color="auto" w:sz="4" w:space="0"/>
              <w:left w:val="single" w:color="000000" w:sz="4" w:space="0"/>
              <w:bottom w:val="nil"/>
              <w:right w:val="single" w:color="auto" w:sz="4" w:space="0"/>
            </w:tcBorders>
            <w:shd w:val="clear"/>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效益指标（30分）</w:t>
            </w:r>
          </w:p>
        </w:tc>
        <w:tc>
          <w:tcPr>
            <w:tcW w:w="638" w:type="pct"/>
            <w:tcBorders>
              <w:top w:val="single" w:color="000000" w:sz="4" w:space="0"/>
              <w:left w:val="single" w:color="auto"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指标1：政法委辅助用工按时按质按量完成工作</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促进社会和谐稳定发展</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促进社会和谐稳定发展</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79"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638"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指标1：辅助用工满意度</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9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33" w:type="pct"/>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37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395" w:type="pct"/>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bl>
    <w:p/>
    <w:p>
      <w:pPr>
        <w:pStyle w:val="3"/>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31"/>
        <w:gridCol w:w="709"/>
        <w:gridCol w:w="1128"/>
        <w:gridCol w:w="677"/>
        <w:gridCol w:w="707"/>
        <w:gridCol w:w="244"/>
        <w:gridCol w:w="711"/>
        <w:gridCol w:w="932"/>
        <w:gridCol w:w="211"/>
        <w:gridCol w:w="518"/>
        <w:gridCol w:w="312"/>
        <w:gridCol w:w="530"/>
        <w:gridCol w:w="411"/>
        <w:gridCol w:w="8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14"/>
            <w:tcBorders>
              <w:top w:val="nil"/>
              <w:left w:val="nil"/>
              <w:bottom w:val="nil"/>
              <w:right w:val="nil"/>
            </w:tcBorders>
            <w:shd w:val="clear"/>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213" w:type="pct"/>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党建活动经费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2034"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大兴区委政法委</w:t>
            </w:r>
          </w:p>
        </w:tc>
        <w:tc>
          <w:tcPr>
            <w:tcW w:w="66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509"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大兴区委政法委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105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55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66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487"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552"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46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5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2"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6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5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1.77</w:t>
            </w:r>
          </w:p>
        </w:tc>
        <w:tc>
          <w:tcPr>
            <w:tcW w:w="55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1.77</w:t>
            </w:r>
          </w:p>
        </w:tc>
        <w:tc>
          <w:tcPr>
            <w:tcW w:w="66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1.51</w:t>
            </w:r>
          </w:p>
        </w:tc>
        <w:tc>
          <w:tcPr>
            <w:tcW w:w="48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5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85.45%</w:t>
            </w:r>
          </w:p>
        </w:tc>
        <w:tc>
          <w:tcPr>
            <w:tcW w:w="4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8.545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5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5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5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5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5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5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5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55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9"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8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52"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7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2450"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17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9" w:hRule="atLeast"/>
        </w:trPr>
        <w:tc>
          <w:tcPr>
            <w:tcW w:w="370"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450"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开展党建活动，严格落实“三会一课”等制度，提升党支部的凝聚力、战斗力和影响力。开展党内学习教育，强化党员身份意识，增强党员“四个意识”，强化党员对党支部的归属感，带头发挥模范带头作用。 </w:t>
            </w:r>
          </w:p>
        </w:tc>
        <w:tc>
          <w:tcPr>
            <w:tcW w:w="217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严格落实“三会一课”、党员活动日等制度，按照要求开展组织活动，有效发挥了党支部战斗堡垒作用。精心组织党员学习教育，提升党员党性修养，有效发挥了党员先锋模范作用。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70"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7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662"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指标1：开展党建活动</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大于等于1次</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1次</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7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2"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指标2：开展党员学习教育，订阅报刊杂志</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大于等于1次</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1次</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7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2"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指标1：购买党员学习资料</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优良中差</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62"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指标1：每月1次党员活动日</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12次</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7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指标1：严格控制应支出项目成本，明确支出范围</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小于等于1.77</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1.51</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7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662"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指标1：有效发挥党员先锋模范作用</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70"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662"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9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指标1：党员对党组织的归属感和满意度</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大于等于100%</w:t>
            </w:r>
          </w:p>
        </w:tc>
        <w:tc>
          <w:tcPr>
            <w:tcW w:w="5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10"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366" w:type="pct"/>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4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9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98.545</w:t>
            </w:r>
          </w:p>
        </w:tc>
        <w:tc>
          <w:tcPr>
            <w:tcW w:w="710" w:type="pct"/>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2000000000000000000"/>
    <w:charset w:val="86"/>
    <w:family w:val="script"/>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Aparajita">
    <w:panose1 w:val="020B0604020202020204"/>
    <w:charset w:val="00"/>
    <w:family w:val="auto"/>
    <w:pitch w:val="default"/>
    <w:sig w:usb0="00008003"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Arial Narrow">
    <w:panose1 w:val="020B0606020202030204"/>
    <w:charset w:val="00"/>
    <w:family w:val="auto"/>
    <w:pitch w:val="default"/>
    <w:sig w:usb0="00000287" w:usb1="00000800" w:usb2="00000000" w:usb3="00000000" w:csb0="2000009F" w:csb1="DFD70000"/>
  </w:font>
  <w:font w:name="Browallia New">
    <w:panose1 w:val="020B0604020202020204"/>
    <w:charset w:val="00"/>
    <w:family w:val="auto"/>
    <w:pitch w:val="default"/>
    <w:sig w:usb0="81000003" w:usb1="00000000" w:usb2="00000000" w:usb3="00000000" w:csb0="00010001" w:csb1="00000000"/>
  </w:font>
  <w:font w:name="BrowalliaUPC">
    <w:panose1 w:val="020B0604020202020204"/>
    <w:charset w:val="00"/>
    <w:family w:val="auto"/>
    <w:pitch w:val="default"/>
    <w:sig w:usb0="81000003" w:usb1="00000000" w:usb2="00000000" w:usb3="00000000" w:csb0="00010001" w:csb1="00000000"/>
  </w:font>
  <w:font w:name="SimSun-ExtB">
    <w:panose1 w:val="02010609060101010101"/>
    <w:charset w:val="86"/>
    <w:family w:val="auto"/>
    <w:pitch w:val="default"/>
    <w:sig w:usb0="00000001" w:usb1="02000000" w:usb2="00000000" w:usb3="00000000" w:csb0="00040001" w:csb1="00000000"/>
  </w:font>
  <w:font w:name="MingLiU_HKSCS-ExtB">
    <w:panose1 w:val="02020500000000000000"/>
    <w:charset w:val="88"/>
    <w:family w:val="auto"/>
    <w:pitch w:val="default"/>
    <w:sig w:usb0="8000002F" w:usb1="02000008" w:usb2="00000000" w:usb3="00000000" w:csb0="00100001" w:csb1="00000000"/>
  </w:font>
  <w:font w:name="等线">
    <w:altName w:val="微软雅黑"/>
    <w:panose1 w:val="02010600030101010101"/>
    <w:charset w:val="00"/>
    <w:family w:val="auto"/>
    <w:pitch w:val="default"/>
    <w:sig w:usb0="00000000" w:usb1="00000000" w:usb2="00000016" w:usb3="00000000" w:csb0="0004000F" w:csb1="00000000"/>
  </w:font>
  <w:font w:name="Arial">
    <w:panose1 w:val="020B0604020202020204"/>
    <w:charset w:val="86"/>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56486C"/>
    <w:multiLevelType w:val="multilevel"/>
    <w:tmpl w:val="2756486C"/>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B631713"/>
    <w:rsid w:val="11A702C0"/>
    <w:rsid w:val="39EE46CA"/>
    <w:rsid w:val="69756114"/>
    <w:rsid w:val="6E523812"/>
    <w:rsid w:val="763F2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toc 3"/>
    <w:basedOn w:val="1"/>
    <w:next w:val="1"/>
    <w:qFormat/>
    <w:uiPriority w:val="0"/>
    <w:pPr>
      <w:ind w:left="420"/>
    </w:pPr>
    <w:rPr>
      <w:rFonts w:ascii="等线" w:hAnsi="等线" w:eastAsia="等线"/>
      <w:b/>
      <w:sz w:val="30"/>
      <w:szCs w:val="30"/>
    </w:rPr>
  </w:style>
  <w:style w:type="paragraph" w:styleId="6">
    <w:name w:val="List Paragraph"/>
    <w:basedOn w:val="1"/>
    <w:qFormat/>
    <w:uiPriority w:val="34"/>
    <w:pPr>
      <w:ind w:firstLine="420" w:firstLineChars="200"/>
    </w:pPr>
  </w:style>
  <w:style w:type="paragraph" w:customStyle="1" w:styleId="7">
    <w:name w:val="普通正文"/>
    <w:autoRedefine/>
    <w:qFormat/>
    <w:uiPriority w:val="0"/>
    <w:pPr>
      <w:widowControl w:val="0"/>
      <w:adjustRightInd w:val="0"/>
      <w:spacing w:before="120" w:after="120" w:line="360" w:lineRule="auto"/>
      <w:ind w:firstLine="480"/>
      <w:textAlignment w:val="baseline"/>
    </w:pPr>
    <w:rPr>
      <w:rFonts w:ascii="Arial" w:hAnsi="Arial" w:eastAsia="宋体" w:cs="Times New Roman"/>
      <w:sz w:val="24"/>
      <w:szCs w:val="24"/>
      <w:lang w:val="en-US" w:eastAsia="zh-CN" w:bidi="ar-SA"/>
    </w:rPr>
  </w:style>
  <w:style w:type="character" w:customStyle="1" w:styleId="8">
    <w:name w:val="font21"/>
    <w:basedOn w:val="5"/>
    <w:uiPriority w:val="0"/>
    <w:rPr>
      <w:rFonts w:hint="eastAsia" w:ascii="宋体" w:hAnsi="宋体" w:eastAsia="宋体" w:cs="宋体"/>
      <w:color w:val="000000"/>
      <w:sz w:val="18"/>
      <w:szCs w:val="18"/>
      <w:u w:val="none"/>
    </w:rPr>
  </w:style>
  <w:style w:type="character" w:customStyle="1" w:styleId="9">
    <w:name w:val="font91"/>
    <w:basedOn w:val="5"/>
    <w:uiPriority w:val="0"/>
    <w:rPr>
      <w:rFonts w:hint="eastAsia" w:ascii="宋体" w:hAnsi="宋体" w:eastAsia="宋体" w:cs="宋体"/>
      <w:color w:val="000000"/>
      <w:sz w:val="13"/>
      <w:szCs w:val="13"/>
      <w:u w:val="none"/>
    </w:rPr>
  </w:style>
  <w:style w:type="character" w:customStyle="1" w:styleId="10">
    <w:name w:val="font61"/>
    <w:basedOn w:val="5"/>
    <w:uiPriority w:val="0"/>
    <w:rPr>
      <w:rFonts w:hint="default" w:ascii="Arial" w:hAnsi="Arial" w:cs="Arial"/>
      <w:color w:val="000000"/>
      <w:sz w:val="18"/>
      <w:szCs w:val="18"/>
      <w:u w:val="none"/>
    </w:rPr>
  </w:style>
  <w:style w:type="character" w:customStyle="1" w:styleId="11">
    <w:name w:val="font71"/>
    <w:basedOn w:val="5"/>
    <w:uiPriority w:val="0"/>
    <w:rPr>
      <w:rFonts w:hint="default" w:ascii="Arial" w:hAnsi="Arial" w:cs="Arial"/>
      <w:color w:val="000000"/>
      <w:sz w:val="18"/>
      <w:szCs w:val="18"/>
      <w:u w:val="none"/>
    </w:rPr>
  </w:style>
  <w:style w:type="character" w:customStyle="1" w:styleId="12">
    <w:name w:val="font31"/>
    <w:basedOn w:val="5"/>
    <w:uiPriority w:val="0"/>
    <w:rPr>
      <w:rFonts w:hint="eastAsia" w:ascii="宋体" w:hAnsi="宋体" w:eastAsia="宋体" w:cs="宋体"/>
      <w:color w:val="000000"/>
      <w:sz w:val="18"/>
      <w:szCs w:val="18"/>
      <w:u w:val="none"/>
    </w:rPr>
  </w:style>
  <w:style w:type="character" w:customStyle="1" w:styleId="13">
    <w:name w:val="font41"/>
    <w:basedOn w:val="5"/>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17</TotalTime>
  <ScaleCrop>false</ScaleCrop>
  <LinksUpToDate>false</LinksUpToDate>
  <CharactersWithSpaces>0</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2025-10-01T01:05:04Z</dcterms:created>
  <dc:creator>Administrator</dc:creator>
  <cp:lastModifiedBy>Administrator</cp:lastModifiedBy>
  <dcterms:modified xsi:type="dcterms:W3CDTF">2025-10-01T06:15:22Z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BE466F9DB5F74A32890E3706237AFE4A_12</vt:lpwstr>
  </property>
</Properties>
</file>