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r>
        <w:rPr>
          <w:rFonts w:hint="eastAsia" w:ascii="黑体" w:eastAsia="黑体"/>
          <w:b/>
          <w:sz w:val="28"/>
          <w:szCs w:val="28"/>
          <w:highlight w:val="none"/>
        </w:rPr>
        <w:t>、部门基</w:t>
      </w:r>
      <w:r>
        <w:rPr>
          <w:rFonts w:hint="eastAsia" w:ascii="黑体" w:eastAsia="黑体"/>
          <w:b/>
          <w:sz w:val="28"/>
          <w:szCs w:val="28"/>
        </w:rPr>
        <w:t>本情况</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sz w:val="28"/>
          <w:szCs w:val="28"/>
          <w:lang w:eastAsia="zh-CN"/>
        </w:rPr>
        <w:t>（</w:t>
      </w:r>
      <w:r>
        <w:rPr>
          <w:rFonts w:hint="eastAsia" w:ascii="仿宋_GB2312" w:eastAsia="仿宋_GB2312"/>
          <w:kern w:val="0"/>
          <w:sz w:val="28"/>
          <w:szCs w:val="28"/>
          <w:lang w:val="en-US" w:eastAsia="zh-CN"/>
        </w:rPr>
        <w:t>一）机构设置</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 xml:space="preserve">我委机关下设中共北京市大兴区委政法委员会办公室等科室。 </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（二）职责</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kern w:val="0"/>
          <w:sz w:val="28"/>
          <w:szCs w:val="28"/>
          <w:lang w:val="en-US" w:eastAsia="zh-CN"/>
        </w:rPr>
        <w:t>中共北京市大兴区委政法委员会职责涉密。</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6570.91</w:t>
      </w:r>
      <w:r>
        <w:rPr>
          <w:rFonts w:hint="eastAsia" w:ascii="仿宋_GB2312" w:eastAsia="仿宋_GB2312"/>
          <w:sz w:val="28"/>
          <w:szCs w:val="28"/>
        </w:rPr>
        <w:t>万元</w:t>
      </w:r>
      <w:r>
        <w:rPr>
          <w:rFonts w:hint="eastAsia" w:ascii="仿宋_GB2312" w:eastAsia="仿宋_GB2312"/>
          <w:color w:val="auto"/>
          <w:sz w:val="28"/>
          <w:szCs w:val="28"/>
        </w:rPr>
        <w:t>，比上年减少</w:t>
      </w:r>
      <w:r>
        <w:rPr>
          <w:rFonts w:hint="default" w:ascii="仿宋_GB2312" w:eastAsia="仿宋_GB2312"/>
          <w:color w:val="auto"/>
          <w:sz w:val="28"/>
          <w:szCs w:val="28"/>
          <w:lang w:val="en"/>
        </w:rPr>
        <w:t>5498.09</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45.</w:t>
      </w:r>
      <w:r>
        <w:rPr>
          <w:rFonts w:hint="default" w:ascii="仿宋_GB2312" w:eastAsia="仿宋_GB2312"/>
          <w:color w:val="auto"/>
          <w:sz w:val="28"/>
          <w:szCs w:val="28"/>
          <w:lang w:val="en" w:eastAsia="zh-CN"/>
        </w:rPr>
        <w:t>56</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5649.31</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减少1462.1</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20.56</w:t>
      </w:r>
      <w:r>
        <w:rPr>
          <w:rFonts w:hint="eastAsia" w:ascii="仿宋_GB2312" w:eastAsia="仿宋_GB2312"/>
          <w:sz w:val="28"/>
          <w:szCs w:val="28"/>
          <w:highlight w:val="none"/>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5648.31</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5648.31万元，占收入合计的</w:t>
      </w:r>
      <w:r>
        <w:rPr>
          <w:rFonts w:hint="eastAsia" w:ascii="仿宋_GB2312" w:eastAsia="仿宋_GB2312"/>
          <w:sz w:val="28"/>
          <w:szCs w:val="28"/>
          <w:lang w:val="en-US" w:eastAsia="zh-CN"/>
        </w:rPr>
        <w:t>99.98</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bookmarkStart w:id="0" w:name="_GoBack"/>
      <w:bookmarkEnd w:id="0"/>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0.02</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年度本年支出合计6562.3</w:t>
      </w:r>
      <w:r>
        <w:rPr>
          <w:rFonts w:hint="eastAsia" w:ascii="仿宋_GB2312" w:eastAsia="仿宋_GB2312"/>
          <w:sz w:val="28"/>
          <w:szCs w:val="28"/>
          <w:lang w:val="en-US" w:eastAsia="zh-CN"/>
        </w:rPr>
        <w:t>0</w:t>
      </w:r>
      <w:r>
        <w:rPr>
          <w:rFonts w:hint="eastAsia" w:ascii="仿宋_GB2312" w:eastAsia="仿宋_GB2312"/>
          <w:sz w:val="28"/>
          <w:szCs w:val="28"/>
        </w:rPr>
        <w:t>万元，比上年减少5506.</w:t>
      </w:r>
      <w:r>
        <w:rPr>
          <w:rFonts w:hint="eastAsia" w:ascii="仿宋_GB2312" w:eastAsia="仿宋_GB2312"/>
          <w:sz w:val="28"/>
          <w:szCs w:val="28"/>
          <w:lang w:val="en-US" w:eastAsia="zh-CN"/>
        </w:rPr>
        <w:t>70</w:t>
      </w:r>
      <w:r>
        <w:rPr>
          <w:rFonts w:hint="eastAsia" w:ascii="仿宋_GB2312" w:eastAsia="仿宋_GB2312"/>
          <w:sz w:val="28"/>
          <w:szCs w:val="28"/>
        </w:rPr>
        <w:t>万元，下降</w:t>
      </w:r>
      <w:r>
        <w:rPr>
          <w:rFonts w:hint="eastAsia" w:ascii="仿宋_GB2312" w:eastAsia="仿宋_GB2312"/>
          <w:sz w:val="28"/>
          <w:szCs w:val="28"/>
          <w:lang w:val="en-US" w:eastAsia="zh-CN"/>
        </w:rPr>
        <w:t>45.63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1927.46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29.37</w:t>
      </w:r>
      <w:r>
        <w:rPr>
          <w:rFonts w:hint="eastAsia" w:ascii="仿宋_GB2312" w:eastAsia="仿宋_GB2312"/>
          <w:sz w:val="28"/>
          <w:szCs w:val="28"/>
          <w:highlight w:val="none"/>
        </w:rPr>
        <w:t>%；项目支出</w:t>
      </w:r>
      <w:r>
        <w:rPr>
          <w:rFonts w:ascii="仿宋_GB2312" w:eastAsia="仿宋_GB2312"/>
          <w:sz w:val="28"/>
          <w:szCs w:val="28"/>
          <w:highlight w:val="none"/>
        </w:rPr>
        <w:t>4634.84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70.63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6560.06</w:t>
      </w:r>
      <w:r>
        <w:rPr>
          <w:rFonts w:hint="eastAsia" w:ascii="仿宋_GB2312" w:eastAsia="仿宋_GB2312"/>
          <w:color w:val="auto"/>
          <w:sz w:val="28"/>
          <w:szCs w:val="28"/>
        </w:rPr>
        <w:t>万元，比上年减少550</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94</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45.65</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项目调整。</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6560.06</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
        </w:rPr>
        <w:t>5904.45</w:t>
      </w:r>
      <w:r>
        <w:rPr>
          <w:rFonts w:hint="eastAsia" w:ascii="仿宋_GB2312" w:eastAsia="仿宋_GB2312"/>
          <w:sz w:val="28"/>
          <w:szCs w:val="28"/>
        </w:rPr>
        <w:t>万元，占本年财政拨款支出</w:t>
      </w:r>
      <w:r>
        <w:rPr>
          <w:rFonts w:hint="eastAsia" w:ascii="仿宋_GB2312" w:eastAsia="仿宋_GB2312"/>
          <w:sz w:val="28"/>
          <w:szCs w:val="28"/>
          <w:lang w:val="en"/>
        </w:rPr>
        <w:t>90.01</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3.91万元，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0.06%；社会保障和就业支出224.51万元，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3.42%</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127.84万元，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1.95%；交通运输支出155.40万元，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2.37%；住房保障支出143.95万元，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2.19%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color w:val="auto"/>
          <w:sz w:val="28"/>
          <w:szCs w:val="28"/>
          <w:highlight w:val="none"/>
          <w:lang w:eastAsia="zh-CN"/>
        </w:rPr>
      </w:pPr>
      <w:r>
        <w:rPr>
          <w:rFonts w:hint="eastAsia" w:ascii="仿宋_GB2312" w:eastAsia="仿宋_GB2312"/>
          <w:color w:val="auto"/>
          <w:sz w:val="28"/>
          <w:szCs w:val="28"/>
        </w:rPr>
        <w:t>1.“一般公共服务支出”（类）</w:t>
      </w:r>
      <w:r>
        <w:rPr>
          <w:rFonts w:hint="eastAsia" w:ascii="仿宋_GB2312" w:eastAsia="仿宋_GB2312"/>
          <w:color w:val="auto"/>
          <w:sz w:val="28"/>
          <w:szCs w:val="28"/>
          <w:highlight w:val="none"/>
        </w:rPr>
        <w:t>2024年度年初预算</w:t>
      </w:r>
      <w:r>
        <w:rPr>
          <w:rFonts w:hint="eastAsia" w:ascii="仿宋_GB2312" w:eastAsia="仿宋_GB2312"/>
          <w:color w:val="auto"/>
          <w:sz w:val="28"/>
          <w:szCs w:val="28"/>
          <w:highlight w:val="none"/>
          <w:lang w:val="en-US" w:eastAsia="zh-CN"/>
        </w:rPr>
        <w:t>2749.12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w:t>
      </w:r>
      <w:r>
        <w:rPr>
          <w:rFonts w:hint="eastAsia" w:ascii="仿宋_GB2312" w:eastAsia="仿宋_GB2312"/>
          <w:color w:val="auto"/>
          <w:sz w:val="28"/>
          <w:szCs w:val="28"/>
        </w:rPr>
        <w:t>2</w:t>
      </w:r>
      <w:r>
        <w:rPr>
          <w:rFonts w:hint="eastAsia" w:ascii="仿宋_GB2312" w:eastAsia="仿宋_GB2312"/>
          <w:color w:val="auto"/>
          <w:sz w:val="28"/>
          <w:szCs w:val="28"/>
          <w:highlight w:val="none"/>
        </w:rPr>
        <w:t>024年度决算</w:t>
      </w:r>
      <w:r>
        <w:rPr>
          <w:rFonts w:hint="eastAsia" w:ascii="仿宋_GB2312" w:eastAsia="仿宋_GB2312"/>
          <w:color w:val="auto"/>
          <w:sz w:val="28"/>
          <w:szCs w:val="28"/>
          <w:highlight w:val="none"/>
          <w:lang w:val="en-US" w:eastAsia="zh-CN"/>
        </w:rPr>
        <w:t>5904.45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214.78%。</w:t>
      </w:r>
      <w:r>
        <w:rPr>
          <w:rFonts w:hint="eastAsia" w:ascii="仿宋_GB2312" w:eastAsia="仿宋_GB2312"/>
          <w:color w:val="auto"/>
          <w:sz w:val="28"/>
          <w:szCs w:val="28"/>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lang w:val="en-US" w:eastAsia="zh-CN"/>
        </w:rPr>
      </w:pPr>
      <w:r>
        <w:rPr>
          <w:rFonts w:hint="eastAsia" w:ascii="仿宋_GB2312" w:hAnsi="Times New Roman" w:eastAsia="仿宋_GB2312" w:cs="Times New Roman"/>
          <w:color w:val="auto"/>
          <w:sz w:val="28"/>
          <w:szCs w:val="28"/>
          <w:highlight w:val="none"/>
        </w:rPr>
        <w:t>“其他共产党事务支出”（款）</w:t>
      </w:r>
      <w:r>
        <w:rPr>
          <w:rFonts w:hint="eastAsia" w:ascii="仿宋_GB2312" w:eastAsia="仿宋_GB2312" w:cs="Times New Roman"/>
          <w:color w:val="auto"/>
          <w:sz w:val="28"/>
          <w:szCs w:val="28"/>
          <w:highlight w:val="none"/>
          <w:lang w:val="en-US" w:eastAsia="zh-CN"/>
        </w:rPr>
        <w:t>2024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2749.12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w:t>
      </w:r>
      <w:r>
        <w:rPr>
          <w:rFonts w:hint="eastAsia" w:ascii="仿宋_GB2312" w:eastAsia="仿宋_GB2312"/>
          <w:color w:val="auto"/>
          <w:sz w:val="28"/>
          <w:szCs w:val="28"/>
        </w:rPr>
        <w:t>2</w:t>
      </w:r>
      <w:r>
        <w:rPr>
          <w:rFonts w:hint="eastAsia" w:ascii="仿宋_GB2312" w:eastAsia="仿宋_GB2312"/>
          <w:color w:val="auto"/>
          <w:sz w:val="28"/>
          <w:szCs w:val="28"/>
          <w:highlight w:val="none"/>
        </w:rPr>
        <w:t>024年度决算</w:t>
      </w:r>
      <w:r>
        <w:rPr>
          <w:rFonts w:hint="eastAsia" w:ascii="仿宋_GB2312" w:eastAsia="仿宋_GB2312"/>
          <w:color w:val="auto"/>
          <w:sz w:val="28"/>
          <w:szCs w:val="28"/>
          <w:highlight w:val="none"/>
          <w:lang w:val="en-US" w:eastAsia="zh-CN"/>
        </w:rPr>
        <w:t>5904.45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214.78%</w:t>
      </w:r>
      <w:r>
        <w:rPr>
          <w:rFonts w:hint="eastAsia" w:ascii="仿宋_GB2312" w:hAnsi="Times New Roman" w:eastAsia="仿宋_GB2312" w:cs="Times New Roman"/>
          <w:color w:val="auto"/>
          <w:sz w:val="28"/>
          <w:szCs w:val="28"/>
          <w:highlight w:val="none"/>
        </w:rPr>
        <w:t>。主要原因：</w:t>
      </w:r>
      <w:r>
        <w:rPr>
          <w:rFonts w:hint="eastAsia" w:ascii="仿宋_GB2312" w:hAnsi="Times New Roman" w:eastAsia="仿宋_GB2312" w:cs="Times New Roman"/>
          <w:color w:val="auto"/>
          <w:sz w:val="28"/>
          <w:szCs w:val="28"/>
          <w:highlight w:val="none"/>
          <w:lang w:eastAsia="zh-CN"/>
        </w:rPr>
        <w:t>项目经费调整</w:t>
      </w:r>
      <w:r>
        <w:rPr>
          <w:rFonts w:hint="eastAsia" w:ascii="仿宋_GB2312" w:hAnsi="Times New Roman" w:eastAsia="仿宋_GB2312" w:cs="Times New Roman"/>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2.“教育支出”(类) 2024年度年初预算</w:t>
      </w:r>
      <w:r>
        <w:rPr>
          <w:rFonts w:hint="eastAsia" w:ascii="仿宋_GB2312" w:eastAsia="仿宋_GB2312"/>
          <w:color w:val="auto"/>
          <w:sz w:val="28"/>
          <w:szCs w:val="28"/>
          <w:highlight w:val="none"/>
          <w:lang w:val="en-US" w:eastAsia="zh-CN"/>
        </w:rPr>
        <w:t>11.28万元，</w:t>
      </w:r>
      <w:r>
        <w:rPr>
          <w:rFonts w:hint="eastAsia" w:ascii="仿宋_GB2312" w:eastAsia="仿宋_GB2312"/>
          <w:color w:val="auto"/>
          <w:sz w:val="28"/>
          <w:szCs w:val="28"/>
          <w:highlight w:val="none"/>
        </w:rPr>
        <w:t>2024年度决算</w:t>
      </w:r>
      <w:r>
        <w:rPr>
          <w:rFonts w:hint="eastAsia" w:ascii="仿宋_GB2312" w:eastAsia="仿宋_GB2312"/>
          <w:color w:val="auto"/>
          <w:sz w:val="28"/>
          <w:szCs w:val="28"/>
          <w:highlight w:val="none"/>
          <w:lang w:val="en-US" w:eastAsia="zh-CN"/>
        </w:rPr>
        <w:t>3.91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34.63%</w:t>
      </w:r>
      <w:r>
        <w:rPr>
          <w:rFonts w:hint="eastAsia" w:ascii="仿宋_GB2312" w:eastAsia="仿宋_GB2312"/>
          <w:color w:val="auto"/>
          <w:sz w:val="28"/>
          <w:szCs w:val="28"/>
          <w:highlight w:val="none"/>
        </w:rPr>
        <w:t>。</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“进修及培训”（款）2024年度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11.28万元，</w:t>
      </w:r>
      <w:r>
        <w:rPr>
          <w:rFonts w:hint="eastAsia" w:ascii="仿宋_GB2312" w:eastAsia="仿宋_GB2312"/>
          <w:color w:val="auto"/>
          <w:sz w:val="28"/>
          <w:szCs w:val="28"/>
          <w:highlight w:val="none"/>
        </w:rPr>
        <w:t>2024年度决算</w:t>
      </w:r>
      <w:r>
        <w:rPr>
          <w:rFonts w:hint="eastAsia" w:ascii="仿宋_GB2312" w:eastAsia="仿宋_GB2312"/>
          <w:color w:val="auto"/>
          <w:sz w:val="28"/>
          <w:szCs w:val="28"/>
          <w:highlight w:val="none"/>
          <w:lang w:val="en-US" w:eastAsia="zh-CN"/>
        </w:rPr>
        <w:t>3.91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34.63%</w:t>
      </w:r>
      <w:r>
        <w:rPr>
          <w:rFonts w:hint="eastAsia" w:ascii="仿宋_GB2312" w:eastAsia="仿宋_GB2312"/>
          <w:color w:val="auto"/>
          <w:sz w:val="28"/>
          <w:szCs w:val="28"/>
          <w:highlight w:val="none"/>
        </w:rPr>
        <w:t>。主要原因：</w:t>
      </w:r>
      <w:r>
        <w:rPr>
          <w:rFonts w:hint="eastAsia" w:ascii="仿宋_GB2312" w:eastAsia="仿宋_GB2312"/>
          <w:color w:val="auto"/>
          <w:sz w:val="28"/>
          <w:szCs w:val="28"/>
          <w:lang w:eastAsia="zh-CN"/>
        </w:rPr>
        <w:t>个别项目未开展，节省了经费开支</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“社会保障和就业支出”(类) 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198.93万元，</w:t>
      </w:r>
      <w:r>
        <w:rPr>
          <w:rFonts w:hint="eastAsia" w:ascii="仿宋_GB2312" w:eastAsia="仿宋_GB2312"/>
          <w:color w:val="auto"/>
          <w:sz w:val="28"/>
          <w:szCs w:val="28"/>
        </w:rPr>
        <w:t>2024年度决算</w:t>
      </w:r>
      <w:r>
        <w:rPr>
          <w:rFonts w:hint="eastAsia" w:ascii="仿宋_GB2312" w:eastAsia="仿宋_GB2312"/>
          <w:color w:val="auto"/>
          <w:sz w:val="28"/>
          <w:szCs w:val="28"/>
          <w:lang w:val="en-US" w:eastAsia="zh-CN"/>
        </w:rPr>
        <w:t>224.51</w:t>
      </w:r>
      <w:r>
        <w:rPr>
          <w:rFonts w:hint="eastAsia" w:ascii="仿宋_GB2312" w:eastAsia="仿宋_GB2312"/>
          <w:color w:val="auto"/>
          <w:sz w:val="28"/>
          <w:szCs w:val="28"/>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112.86</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rPr>
        <w:t>“行政事业单位养老支出”（款）2024年度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198.93万元，</w:t>
      </w:r>
      <w:r>
        <w:rPr>
          <w:rFonts w:hint="eastAsia" w:ascii="仿宋_GB2312" w:eastAsia="仿宋_GB2312"/>
          <w:color w:val="auto"/>
          <w:sz w:val="28"/>
          <w:szCs w:val="28"/>
        </w:rPr>
        <w:t>2024年度决算</w:t>
      </w:r>
      <w:r>
        <w:rPr>
          <w:rFonts w:hint="eastAsia" w:ascii="仿宋_GB2312" w:eastAsia="仿宋_GB2312"/>
          <w:color w:val="auto"/>
          <w:sz w:val="28"/>
          <w:szCs w:val="28"/>
          <w:lang w:val="en-US" w:eastAsia="zh-CN"/>
        </w:rPr>
        <w:t>224.51</w:t>
      </w:r>
      <w:r>
        <w:rPr>
          <w:rFonts w:hint="eastAsia" w:ascii="仿宋_GB2312" w:eastAsia="仿宋_GB2312"/>
          <w:color w:val="auto"/>
          <w:sz w:val="28"/>
          <w:szCs w:val="28"/>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112.86</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人员增加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“卫生健康支出”(类)2024年度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129.20万元，</w:t>
      </w:r>
      <w:r>
        <w:rPr>
          <w:rFonts w:hint="eastAsia" w:ascii="仿宋_GB2312" w:eastAsia="仿宋_GB2312"/>
          <w:color w:val="auto"/>
          <w:sz w:val="28"/>
          <w:szCs w:val="28"/>
        </w:rPr>
        <w:t>2024年度决算</w:t>
      </w:r>
      <w:r>
        <w:rPr>
          <w:rFonts w:hint="eastAsia" w:ascii="仿宋_GB2312" w:eastAsia="仿宋_GB2312"/>
          <w:color w:val="auto"/>
          <w:sz w:val="28"/>
          <w:szCs w:val="28"/>
          <w:lang w:val="en-US" w:eastAsia="zh-CN"/>
        </w:rPr>
        <w:t>127.84</w:t>
      </w:r>
      <w:r>
        <w:rPr>
          <w:rFonts w:hint="eastAsia" w:ascii="仿宋_GB2312" w:eastAsia="仿宋_GB2312"/>
          <w:color w:val="auto"/>
          <w:sz w:val="28"/>
          <w:szCs w:val="28"/>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98.95</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“行政事业单位医疗”（款）2024年度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129.20万元，</w:t>
      </w:r>
      <w:r>
        <w:rPr>
          <w:rFonts w:hint="eastAsia" w:ascii="仿宋_GB2312" w:eastAsia="仿宋_GB2312"/>
          <w:color w:val="auto"/>
          <w:sz w:val="28"/>
          <w:szCs w:val="28"/>
        </w:rPr>
        <w:t>2024年度决算</w:t>
      </w:r>
      <w:r>
        <w:rPr>
          <w:rFonts w:hint="eastAsia" w:ascii="仿宋_GB2312" w:eastAsia="仿宋_GB2312"/>
          <w:color w:val="auto"/>
          <w:sz w:val="28"/>
          <w:szCs w:val="28"/>
          <w:lang w:val="en-US" w:eastAsia="zh-CN"/>
        </w:rPr>
        <w:t>127.84</w:t>
      </w:r>
      <w:r>
        <w:rPr>
          <w:rFonts w:hint="eastAsia" w:ascii="仿宋_GB2312" w:eastAsia="仿宋_GB2312"/>
          <w:color w:val="auto"/>
          <w:sz w:val="28"/>
          <w:szCs w:val="28"/>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98.95</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社保基数调整</w:t>
      </w:r>
      <w:r>
        <w:rPr>
          <w:rFonts w:hint="eastAsia" w:ascii="仿宋_GB2312" w:eastAsia="仿宋_GB2312"/>
          <w:color w:val="auto"/>
          <w:sz w:val="28"/>
          <w:szCs w:val="28"/>
          <w:lang w:val="en-US" w:eastAsia="zh-CN"/>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5.</w:t>
      </w:r>
      <w:r>
        <w:rPr>
          <w:rFonts w:hint="eastAsia" w:ascii="仿宋_GB2312" w:eastAsia="仿宋_GB2312"/>
          <w:color w:val="auto"/>
          <w:sz w:val="28"/>
          <w:szCs w:val="28"/>
        </w:rPr>
        <w:t>“交通运输支出”(类) 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392.00万元，</w:t>
      </w:r>
      <w:r>
        <w:rPr>
          <w:rFonts w:hint="eastAsia" w:ascii="仿宋_GB2312" w:eastAsia="仿宋_GB2312"/>
          <w:color w:val="auto"/>
          <w:sz w:val="28"/>
          <w:szCs w:val="28"/>
        </w:rPr>
        <w:t>2024年度决算</w:t>
      </w:r>
      <w:r>
        <w:rPr>
          <w:rFonts w:hint="eastAsia" w:ascii="仿宋_GB2312" w:eastAsia="仿宋_GB2312"/>
          <w:color w:val="auto"/>
          <w:sz w:val="28"/>
          <w:szCs w:val="28"/>
          <w:lang w:val="en-US" w:eastAsia="zh-CN"/>
        </w:rPr>
        <w:t>155.40</w:t>
      </w:r>
      <w:r>
        <w:rPr>
          <w:rFonts w:hint="eastAsia" w:ascii="仿宋_GB2312" w:eastAsia="仿宋_GB2312"/>
          <w:color w:val="auto"/>
          <w:sz w:val="28"/>
          <w:szCs w:val="28"/>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39.64</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“铁路运输”（款）2024年度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392.00万元，</w:t>
      </w:r>
      <w:r>
        <w:rPr>
          <w:rFonts w:hint="eastAsia" w:ascii="仿宋_GB2312" w:eastAsia="仿宋_GB2312"/>
          <w:color w:val="auto"/>
          <w:sz w:val="28"/>
          <w:szCs w:val="28"/>
        </w:rPr>
        <w:t>2024年度决算</w:t>
      </w:r>
      <w:r>
        <w:rPr>
          <w:rFonts w:hint="eastAsia" w:ascii="仿宋_GB2312" w:eastAsia="仿宋_GB2312"/>
          <w:color w:val="auto"/>
          <w:sz w:val="28"/>
          <w:szCs w:val="28"/>
          <w:lang w:val="en-US" w:eastAsia="zh-CN"/>
        </w:rPr>
        <w:t>155.40</w:t>
      </w:r>
      <w:r>
        <w:rPr>
          <w:rFonts w:hint="eastAsia" w:ascii="仿宋_GB2312" w:eastAsia="仿宋_GB2312"/>
          <w:color w:val="auto"/>
          <w:sz w:val="28"/>
          <w:szCs w:val="28"/>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39.64%</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个别项目未正常开展，节省了经费开支</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6.</w:t>
      </w:r>
      <w:r>
        <w:rPr>
          <w:rFonts w:hint="eastAsia" w:ascii="仿宋_GB2312" w:eastAsia="仿宋_GB2312"/>
          <w:color w:val="auto"/>
          <w:sz w:val="28"/>
          <w:szCs w:val="28"/>
        </w:rPr>
        <w:t>“住房保障支出”(类) 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0万元，</w:t>
      </w:r>
      <w:r>
        <w:rPr>
          <w:rFonts w:hint="eastAsia" w:ascii="仿宋_GB2312" w:eastAsia="仿宋_GB2312"/>
          <w:color w:val="auto"/>
          <w:sz w:val="28"/>
          <w:szCs w:val="28"/>
        </w:rPr>
        <w:t>2024年度决算</w:t>
      </w:r>
      <w:r>
        <w:rPr>
          <w:rFonts w:hint="eastAsia" w:ascii="仿宋_GB2312" w:eastAsia="仿宋_GB2312"/>
          <w:color w:val="auto"/>
          <w:sz w:val="28"/>
          <w:szCs w:val="28"/>
          <w:lang w:val="en-US" w:eastAsia="zh-CN"/>
        </w:rPr>
        <w:t>143.95</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lang w:val="en-US" w:eastAsia="zh-CN"/>
        </w:rPr>
      </w:pPr>
      <w:r>
        <w:rPr>
          <w:rFonts w:hint="eastAsia" w:ascii="仿宋_GB2312" w:eastAsia="仿宋_GB2312"/>
          <w:color w:val="auto"/>
          <w:sz w:val="28"/>
          <w:szCs w:val="28"/>
        </w:rPr>
        <w:t>“住房改革支出”（款）2024年度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0万元，</w:t>
      </w:r>
      <w:r>
        <w:rPr>
          <w:rFonts w:hint="eastAsia" w:ascii="仿宋_GB2312" w:eastAsia="仿宋_GB2312"/>
          <w:color w:val="auto"/>
          <w:sz w:val="28"/>
          <w:szCs w:val="28"/>
        </w:rPr>
        <w:t>2024年度决算</w:t>
      </w:r>
      <w:r>
        <w:rPr>
          <w:rFonts w:hint="eastAsia" w:ascii="仿宋_GB2312" w:eastAsia="仿宋_GB2312"/>
          <w:color w:val="auto"/>
          <w:sz w:val="28"/>
          <w:szCs w:val="28"/>
          <w:lang w:val="en-US" w:eastAsia="zh-CN"/>
        </w:rPr>
        <w:t>143.95</w:t>
      </w:r>
      <w:r>
        <w:rPr>
          <w:rFonts w:hint="eastAsia" w:ascii="仿宋_GB2312" w:eastAsia="仿宋_GB2312"/>
          <w:color w:val="auto"/>
          <w:sz w:val="28"/>
          <w:szCs w:val="28"/>
        </w:rPr>
        <w:t>万元。主要原因：</w:t>
      </w:r>
      <w:r>
        <w:rPr>
          <w:rFonts w:hint="eastAsia" w:ascii="仿宋_GB2312" w:eastAsia="仿宋_GB2312"/>
          <w:color w:val="auto"/>
          <w:sz w:val="28"/>
          <w:szCs w:val="28"/>
          <w:lang w:eastAsia="zh-CN"/>
        </w:rPr>
        <w:t>用于发放住房补贴</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黑体" w:eastAsia="黑体"/>
          <w:b/>
          <w:color w:val="auto"/>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eastAsia="zh-CN"/>
        </w:rPr>
        <w:t>本</w:t>
      </w:r>
      <w:r>
        <w:rPr>
          <w:rFonts w:hint="eastAsia" w:ascii="仿宋_GB2312" w:eastAsia="仿宋_GB2312"/>
          <w:color w:val="auto"/>
          <w:sz w:val="28"/>
          <w:szCs w:val="28"/>
        </w:rPr>
        <w:t>单位202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年度无政府性基金预算财政拨款安排的支出。</w:t>
      </w:r>
    </w:p>
    <w:p>
      <w:pPr>
        <w:spacing w:line="580" w:lineRule="exact"/>
        <w:ind w:firstLine="560" w:firstLineChars="200"/>
        <w:rPr>
          <w:rFonts w:hint="eastAsia" w:ascii="黑体" w:eastAsia="黑体"/>
          <w:b/>
          <w:color w:val="auto"/>
          <w:sz w:val="28"/>
          <w:szCs w:val="28"/>
        </w:rPr>
      </w:pPr>
      <w:r>
        <w:rPr>
          <w:rFonts w:hint="eastAsia" w:ascii="黑体" w:eastAsia="黑体"/>
          <w:b/>
          <w:color w:val="auto"/>
          <w:sz w:val="28"/>
          <w:szCs w:val="28"/>
        </w:rPr>
        <w:t>六、国有资本经营预算财</w:t>
      </w:r>
      <w:r>
        <w:rPr>
          <w:rFonts w:ascii="黑体" w:eastAsia="黑体"/>
          <w:b/>
          <w:color w:val="auto"/>
          <w:sz w:val="28"/>
          <w:szCs w:val="28"/>
        </w:rPr>
        <w:t>政拨款</w:t>
      </w:r>
      <w:r>
        <w:rPr>
          <w:rFonts w:hint="eastAsia" w:ascii="黑体" w:eastAsia="黑体"/>
          <w:b/>
          <w:color w:val="auto"/>
          <w:sz w:val="28"/>
          <w:szCs w:val="28"/>
        </w:rPr>
        <w:t>收支情况</w:t>
      </w:r>
    </w:p>
    <w:p>
      <w:pPr>
        <w:ind w:firstLine="537" w:firstLineChars="192"/>
        <w:rPr>
          <w:rFonts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年度国有资本经营预算财政</w:t>
      </w:r>
      <w:r>
        <w:rPr>
          <w:rFonts w:ascii="仿宋_GB2312" w:eastAsia="仿宋_GB2312"/>
          <w:color w:val="auto"/>
          <w:sz w:val="28"/>
          <w:szCs w:val="28"/>
        </w:rPr>
        <w:t>拨款</w:t>
      </w:r>
      <w:r>
        <w:rPr>
          <w:rFonts w:hint="eastAsia" w:ascii="仿宋_GB2312" w:eastAsia="仿宋_GB2312"/>
          <w:color w:val="auto"/>
          <w:sz w:val="28"/>
          <w:szCs w:val="28"/>
        </w:rPr>
        <w:t>收入总</w:t>
      </w:r>
      <w:r>
        <w:rPr>
          <w:rFonts w:ascii="仿宋_GB2312" w:eastAsia="仿宋_GB2312"/>
          <w:color w:val="auto"/>
          <w:sz w:val="28"/>
          <w:szCs w:val="28"/>
        </w:rPr>
        <w:t>计0</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2024年度</w:t>
      </w:r>
      <w:r>
        <w:rPr>
          <w:rFonts w:hint="eastAsia" w:ascii="仿宋_GB2312" w:eastAsia="仿宋_GB2312"/>
          <w:color w:val="auto"/>
          <w:sz w:val="28"/>
          <w:szCs w:val="28"/>
        </w:rPr>
        <w:t>国有资本经营预算财政</w:t>
      </w:r>
      <w:r>
        <w:rPr>
          <w:rFonts w:ascii="仿宋_GB2312" w:eastAsia="仿宋_GB2312"/>
          <w:color w:val="auto"/>
          <w:sz w:val="28"/>
          <w:szCs w:val="28"/>
        </w:rPr>
        <w:t>拨款</w:t>
      </w:r>
      <w:r>
        <w:rPr>
          <w:rFonts w:hint="eastAsia" w:ascii="仿宋_GB2312" w:eastAsia="仿宋_GB2312"/>
          <w:color w:val="auto"/>
          <w:sz w:val="28"/>
          <w:szCs w:val="28"/>
        </w:rPr>
        <w:t>支出总</w:t>
      </w:r>
      <w:r>
        <w:rPr>
          <w:rFonts w:ascii="仿宋_GB2312" w:eastAsia="仿宋_GB2312"/>
          <w:color w:val="auto"/>
          <w:sz w:val="28"/>
          <w:szCs w:val="28"/>
        </w:rPr>
        <w:t>计0</w:t>
      </w:r>
      <w:r>
        <w:rPr>
          <w:rFonts w:hint="eastAsia" w:ascii="仿宋_GB2312" w:eastAsia="仿宋_GB2312"/>
          <w:color w:val="auto"/>
          <w:sz w:val="28"/>
          <w:szCs w:val="28"/>
        </w:rPr>
        <w:t>万元。</w:t>
      </w:r>
    </w:p>
    <w:p>
      <w:pPr>
        <w:spacing w:line="580" w:lineRule="exact"/>
        <w:ind w:firstLine="548" w:firstLineChars="196"/>
        <w:rPr>
          <w:rFonts w:hint="eastAsia" w:ascii="黑体" w:eastAsia="黑体"/>
          <w:color w:val="auto"/>
          <w:sz w:val="28"/>
          <w:szCs w:val="28"/>
        </w:rPr>
      </w:pPr>
      <w:r>
        <w:rPr>
          <w:rFonts w:hint="eastAsia" w:ascii="黑体" w:eastAsia="黑体"/>
          <w:b/>
          <w:color w:val="auto"/>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年度使用一般公共预算财政拨款安排基本</w:t>
      </w:r>
      <w:r>
        <w:rPr>
          <w:rFonts w:hint="eastAsia" w:ascii="仿宋_GB2312" w:eastAsia="仿宋_GB2312"/>
          <w:sz w:val="28"/>
          <w:szCs w:val="28"/>
        </w:rPr>
        <w:t>支出</w:t>
      </w:r>
      <w:r>
        <w:rPr>
          <w:rFonts w:ascii="仿宋_GB2312" w:eastAsia="仿宋_GB2312"/>
          <w:sz w:val="28"/>
          <w:szCs w:val="28"/>
        </w:rPr>
        <w:t>1927.46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2.24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7.2</w:t>
      </w:r>
      <w:r>
        <w:rPr>
          <w:rFonts w:hint="eastAsia" w:ascii="仿宋_GB2312" w:eastAsia="仿宋_GB2312"/>
          <w:sz w:val="28"/>
          <w:szCs w:val="28"/>
        </w:rPr>
        <w:t>万元减少</w:t>
      </w: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96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highlight w:val="none"/>
        </w:rPr>
        <w:t>本年度无此项支出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highlight w:val="none"/>
        </w:rPr>
        <w:t>本年度无此项支出</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default" w:ascii="仿宋_GB2312" w:eastAsia="仿宋_GB2312"/>
          <w:sz w:val="28"/>
          <w:szCs w:val="28"/>
          <w:highlight w:val="none"/>
          <w:lang w:val="en"/>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2.24</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7.2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减少</w:t>
      </w:r>
      <w:r>
        <w:rPr>
          <w:rFonts w:hint="eastAsia" w:ascii="仿宋_GB2312" w:eastAsia="仿宋_GB2312"/>
          <w:sz w:val="28"/>
          <w:szCs w:val="28"/>
          <w:lang w:val="en-US" w:eastAsia="zh-CN"/>
        </w:rPr>
        <w:t>4.96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highlight w:val="none"/>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2.24</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w:t>
      </w:r>
      <w:r>
        <w:rPr>
          <w:rFonts w:hint="eastAsia" w:ascii="仿宋_GB2312" w:eastAsia="仿宋_GB2312"/>
          <w:sz w:val="28"/>
          <w:szCs w:val="28"/>
        </w:rPr>
        <w:t>厉行</w:t>
      </w:r>
      <w:r>
        <w:rPr>
          <w:rFonts w:hint="eastAsia" w:ascii="仿宋_GB2312" w:eastAsia="仿宋_GB2312"/>
          <w:sz w:val="28"/>
          <w:szCs w:val="28"/>
          <w:lang w:eastAsia="zh-CN"/>
        </w:rPr>
        <w:t>勤俭</w:t>
      </w:r>
      <w:r>
        <w:rPr>
          <w:rFonts w:hint="eastAsia" w:ascii="仿宋_GB2312" w:eastAsia="仿宋_GB2312"/>
          <w:sz w:val="28"/>
          <w:szCs w:val="28"/>
        </w:rPr>
        <w:t>节约</w:t>
      </w:r>
      <w:r>
        <w:rPr>
          <w:rFonts w:hint="eastAsia" w:ascii="仿宋_GB2312" w:eastAsia="仿宋_GB2312"/>
          <w:sz w:val="28"/>
          <w:szCs w:val="28"/>
          <w:lang w:val="en-US" w:eastAsia="zh-CN"/>
        </w:rPr>
        <w:t>，减少公务用车出行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highlight w:val="none"/>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105.69</w:t>
      </w:r>
      <w:r>
        <w:rPr>
          <w:rFonts w:hint="eastAsia" w:ascii="仿宋_GB2312" w:eastAsia="仿宋_GB2312"/>
          <w:sz w:val="28"/>
          <w:szCs w:val="28"/>
        </w:rPr>
        <w:t>万元，</w:t>
      </w:r>
      <w:r>
        <w:rPr>
          <w:rFonts w:hint="eastAsia" w:ascii="仿宋_GB2312" w:eastAsia="仿宋_GB2312"/>
          <w:sz w:val="28"/>
          <w:szCs w:val="28"/>
          <w:highlight w:val="none"/>
        </w:rPr>
        <w:t>比上</w:t>
      </w:r>
      <w:r>
        <w:rPr>
          <w:rFonts w:hint="eastAsia" w:ascii="仿宋_GB2312" w:eastAsia="仿宋_GB2312"/>
          <w:color w:val="auto"/>
          <w:sz w:val="28"/>
          <w:szCs w:val="28"/>
          <w:highlight w:val="none"/>
        </w:rPr>
        <w:t>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3.29</w:t>
      </w:r>
      <w:r>
        <w:rPr>
          <w:rFonts w:hint="eastAsia" w:ascii="仿宋_GB2312" w:eastAsia="仿宋_GB2312"/>
          <w:sz w:val="28"/>
          <w:szCs w:val="28"/>
          <w:highlight w:val="none"/>
        </w:rPr>
        <w:t>万元，减少原因：</w:t>
      </w:r>
      <w:r>
        <w:rPr>
          <w:rFonts w:hint="eastAsia" w:ascii="仿宋_GB2312" w:eastAsia="仿宋_GB2312"/>
          <w:sz w:val="28"/>
          <w:szCs w:val="28"/>
          <w:lang w:eastAsia="zh-CN"/>
        </w:rPr>
        <w:t>落实政府过紧日子要求，</w:t>
      </w:r>
      <w:r>
        <w:rPr>
          <w:rFonts w:hint="eastAsia" w:ascii="仿宋_GB2312" w:eastAsia="仿宋_GB2312"/>
          <w:sz w:val="28"/>
          <w:szCs w:val="28"/>
          <w:highlight w:val="none"/>
          <w:lang w:eastAsia="zh-CN"/>
        </w:rPr>
        <w:t>厉行节俭</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273.46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ascii="仿宋_GB2312" w:eastAsia="仿宋_GB2312"/>
          <w:sz w:val="28"/>
          <w:szCs w:val="28"/>
        </w:rPr>
        <w:t>273.46</w:t>
      </w:r>
      <w:r>
        <w:rPr>
          <w:rFonts w:hint="eastAsia" w:ascii="仿宋_GB2312" w:eastAsia="仿宋_GB2312"/>
          <w:sz w:val="28"/>
          <w:szCs w:val="28"/>
        </w:rPr>
        <w:t>万元。授予中小企业合同金额</w:t>
      </w:r>
      <w:r>
        <w:rPr>
          <w:rFonts w:ascii="仿宋_GB2312" w:eastAsia="仿宋_GB2312"/>
          <w:sz w:val="28"/>
          <w:szCs w:val="28"/>
        </w:rPr>
        <w:t>272.16</w:t>
      </w:r>
      <w:r>
        <w:rPr>
          <w:rFonts w:hint="eastAsia" w:ascii="仿宋_GB2312" w:eastAsia="仿宋_GB2312"/>
          <w:sz w:val="28"/>
          <w:szCs w:val="28"/>
        </w:rPr>
        <w:t>万元，占政府采购支出总额的</w:t>
      </w:r>
      <w:r>
        <w:rPr>
          <w:rFonts w:hint="eastAsia" w:ascii="仿宋_GB2312" w:eastAsia="仿宋_GB2312"/>
          <w:sz w:val="28"/>
          <w:szCs w:val="28"/>
          <w:lang w:eastAsia="zh-CN"/>
        </w:rPr>
        <w:t>99.52</w:t>
      </w:r>
      <w:r>
        <w:rPr>
          <w:rFonts w:hint="eastAsia" w:ascii="仿宋_GB2312" w:eastAsia="仿宋_GB2312"/>
          <w:sz w:val="28"/>
          <w:szCs w:val="28"/>
        </w:rPr>
        <w:t>%，其中：授予小微企业合同金额</w:t>
      </w:r>
      <w:r>
        <w:rPr>
          <w:rFonts w:ascii="仿宋_GB2312" w:eastAsia="仿宋_GB2312"/>
          <w:sz w:val="28"/>
          <w:szCs w:val="28"/>
        </w:rPr>
        <w:t>267.51</w:t>
      </w:r>
      <w:r>
        <w:rPr>
          <w:rFonts w:hint="eastAsia" w:ascii="仿宋_GB2312" w:eastAsia="仿宋_GB2312"/>
          <w:sz w:val="28"/>
          <w:szCs w:val="28"/>
        </w:rPr>
        <w:t>万元，占政府采购支出总额的</w:t>
      </w:r>
      <w:r>
        <w:rPr>
          <w:rFonts w:ascii="仿宋_GB2312" w:eastAsia="仿宋_GB2312"/>
          <w:sz w:val="28"/>
          <w:szCs w:val="28"/>
        </w:rPr>
        <w:t>97.82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12月31日，中国共产党北京市大兴区委员会政法委员会</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政府购买服务决算188.22</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rPr>
        <w:t>7.</w:t>
      </w:r>
      <w:r>
        <w:rPr>
          <w:rFonts w:hint="eastAsia" w:ascii="仿宋_GB2312" w:eastAsia="仿宋_GB2312"/>
          <w:sz w:val="28"/>
          <w:szCs w:val="28"/>
          <w:lang w:eastAsia="zh-CN"/>
        </w:rPr>
        <w:t>一般公共服务支出（类）党政办公厅（室）及相关机构事务（款）行政运行（项）：反映行政单位（包括实行公务员管理的事业单位）的基本支出。</w:t>
      </w:r>
    </w:p>
    <w:p>
      <w:pPr>
        <w:ind w:firstLine="420" w:firstLineChars="150"/>
        <w:rPr>
          <w:rFonts w:hint="eastAsia" w:ascii="仿宋_GB2312" w:eastAsia="仿宋_GB2312"/>
          <w:sz w:val="28"/>
          <w:szCs w:val="28"/>
          <w:lang w:val="en-US"/>
        </w:rPr>
      </w:pPr>
      <w:r>
        <w:rPr>
          <w:rFonts w:hint="eastAsia" w:ascii="仿宋_GB2312" w:eastAsia="仿宋_GB2312"/>
          <w:sz w:val="28"/>
          <w:szCs w:val="28"/>
          <w:lang w:val="en-US" w:eastAsia="zh-CN"/>
        </w:rPr>
        <w:t>8.</w:t>
      </w:r>
      <w:r>
        <w:rPr>
          <w:rFonts w:hint="eastAsia" w:ascii="仿宋_GB2312" w:eastAsia="仿宋_GB2312"/>
          <w:sz w:val="28"/>
          <w:szCs w:val="28"/>
          <w:lang w:eastAsia="zh-CN"/>
        </w:rPr>
        <w:t>一般公共服务支出（类）党政办公厅（室）及相关机构事务（款）</w:t>
      </w:r>
      <w:r>
        <w:rPr>
          <w:rFonts w:hint="eastAsia" w:ascii="仿宋_GB2312" w:eastAsia="仿宋_GB2312"/>
          <w:sz w:val="28"/>
          <w:szCs w:val="28"/>
          <w:lang w:val="en-US" w:eastAsia="zh-CN"/>
        </w:rPr>
        <w:t>一般行政管理事务（项）：反映行政</w:t>
      </w:r>
      <w:r>
        <w:rPr>
          <w:rFonts w:hint="eastAsia" w:ascii="仿宋_GB2312" w:eastAsia="仿宋_GB2312"/>
          <w:sz w:val="28"/>
          <w:szCs w:val="28"/>
          <w:lang w:eastAsia="zh-CN"/>
        </w:rPr>
        <w:t>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9.一般公共服务支出（类）政府办公厅（室）及相关机构事务（款）事业运行（项）：反映事业单位的基本支出，不包括行政单位（包括实行公务员管理的事业单位）后勤服务中心、医务室等附属事业单位。</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10.一般公共服务支出（类）其他共产党事务支出（款）其他共产党事务支出（项）：反映除上述项目以外其他用于中国共产党事务的支出。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教育支出（类）进行及培训（款）培训支出（项）：反映各部门安排的用于培训的支出。教育部门的师资培训，党校、行政学院等专业干部教育机构的支出，以及退役士兵、转业士官的培训支出，不在本科目反映。</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14.社会保障和就业支出（类）行政事业单位养老支出（款）机关事业职业年金缴费支出（项）：反映机关事业单位实施养老保险制度由单位缴纳的职业年金支出。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15.卫生健康支出（类）行政事业单位医疗（款）行政单位医疗（项）：反映财政部门安排的行政单位基本医疗保险缴费经费。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16.卫生健康支出（类）行政事业单位医疗（款）事业单位医疗（项）：反映财政部门安排的事业单位基本医疗保险缴费经费。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17.卫生健康支出（类）行政事业单位医疗（款）公务员医疗补助（项）：反映财政部门安排的公务员医疗补助经费。</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详见附件</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pPr>
        <w:ind w:firstLine="420" w:firstLineChars="150"/>
        <w:rPr>
          <w:rFonts w:hint="eastAsia"/>
          <w:lang w:eastAsia="zh-CN"/>
        </w:rPr>
      </w:pPr>
      <w:r>
        <w:rPr>
          <w:rFonts w:hint="eastAsia" w:ascii="仿宋_GB2312" w:eastAsia="仿宋_GB2312"/>
          <w:sz w:val="28"/>
          <w:szCs w:val="28"/>
          <w:lang w:val="en-US" w:eastAsia="zh-CN"/>
        </w:rPr>
        <w:t>详见附件</w:t>
      </w: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pPr>
        <w:ind w:firstLine="420" w:firstLineChars="150"/>
        <w:rPr>
          <w:rFonts w:hint="eastAsia"/>
          <w:lang w:eastAsia="zh-CN"/>
        </w:rPr>
      </w:pPr>
      <w:r>
        <w:rPr>
          <w:rFonts w:hint="eastAsia" w:ascii="仿宋_GB2312" w:eastAsia="仿宋_GB2312"/>
          <w:sz w:val="28"/>
          <w:szCs w:val="28"/>
          <w:lang w:val="en-US" w:eastAsia="zh-CN"/>
        </w:rPr>
        <w:t>详见附件</w:t>
      </w: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A9642F"/>
    <w:rsid w:val="04C3537C"/>
    <w:rsid w:val="079004AC"/>
    <w:rsid w:val="07FF1611"/>
    <w:rsid w:val="0A86263E"/>
    <w:rsid w:val="0BA148CA"/>
    <w:rsid w:val="0C1165C4"/>
    <w:rsid w:val="0D6D544B"/>
    <w:rsid w:val="0DD136FE"/>
    <w:rsid w:val="0EC167E3"/>
    <w:rsid w:val="0F542F2C"/>
    <w:rsid w:val="0F8E2C57"/>
    <w:rsid w:val="1059665E"/>
    <w:rsid w:val="10AC13BA"/>
    <w:rsid w:val="14416127"/>
    <w:rsid w:val="145A6C1B"/>
    <w:rsid w:val="14B73493"/>
    <w:rsid w:val="167A2FF9"/>
    <w:rsid w:val="1764587C"/>
    <w:rsid w:val="18581C69"/>
    <w:rsid w:val="19B46A55"/>
    <w:rsid w:val="1AEC0734"/>
    <w:rsid w:val="1DEF20B0"/>
    <w:rsid w:val="1FF7AB17"/>
    <w:rsid w:val="214243FA"/>
    <w:rsid w:val="21AD613C"/>
    <w:rsid w:val="22467189"/>
    <w:rsid w:val="257A14F5"/>
    <w:rsid w:val="27196C26"/>
    <w:rsid w:val="29EF086F"/>
    <w:rsid w:val="2BC34C59"/>
    <w:rsid w:val="2EFFE297"/>
    <w:rsid w:val="2FF232FC"/>
    <w:rsid w:val="301437CA"/>
    <w:rsid w:val="33987371"/>
    <w:rsid w:val="349D1F0A"/>
    <w:rsid w:val="34DD0473"/>
    <w:rsid w:val="3A793656"/>
    <w:rsid w:val="3A8E35DC"/>
    <w:rsid w:val="3B4244BE"/>
    <w:rsid w:val="3C684897"/>
    <w:rsid w:val="3FE5CE27"/>
    <w:rsid w:val="433E495C"/>
    <w:rsid w:val="489F2FD7"/>
    <w:rsid w:val="4AC27CB3"/>
    <w:rsid w:val="4BF72BEF"/>
    <w:rsid w:val="4FA90297"/>
    <w:rsid w:val="4FC41A43"/>
    <w:rsid w:val="51DB3C59"/>
    <w:rsid w:val="550C0952"/>
    <w:rsid w:val="55234A17"/>
    <w:rsid w:val="55762E42"/>
    <w:rsid w:val="55BC458E"/>
    <w:rsid w:val="57A7B272"/>
    <w:rsid w:val="58470068"/>
    <w:rsid w:val="58747CAC"/>
    <w:rsid w:val="5A1720F9"/>
    <w:rsid w:val="5A306BFC"/>
    <w:rsid w:val="5B9C37C2"/>
    <w:rsid w:val="5BA7C654"/>
    <w:rsid w:val="5DF716AE"/>
    <w:rsid w:val="5F9F507E"/>
    <w:rsid w:val="60A54109"/>
    <w:rsid w:val="61D01CDF"/>
    <w:rsid w:val="63787AC4"/>
    <w:rsid w:val="64C0607C"/>
    <w:rsid w:val="65756C86"/>
    <w:rsid w:val="674D385B"/>
    <w:rsid w:val="676F09E1"/>
    <w:rsid w:val="67CFF663"/>
    <w:rsid w:val="70377185"/>
    <w:rsid w:val="71691990"/>
    <w:rsid w:val="71793A80"/>
    <w:rsid w:val="7357290B"/>
    <w:rsid w:val="7375798A"/>
    <w:rsid w:val="756E3DEA"/>
    <w:rsid w:val="76FB1693"/>
    <w:rsid w:val="78F7B6FE"/>
    <w:rsid w:val="798524E4"/>
    <w:rsid w:val="7A7F1C49"/>
    <w:rsid w:val="7B5B7AE6"/>
    <w:rsid w:val="7B7B6628"/>
    <w:rsid w:val="7BA7071E"/>
    <w:rsid w:val="7BDF6DA8"/>
    <w:rsid w:val="7C7EDC1A"/>
    <w:rsid w:val="7C8A69B5"/>
    <w:rsid w:val="7CCED98D"/>
    <w:rsid w:val="7D08410F"/>
    <w:rsid w:val="7DB96DED"/>
    <w:rsid w:val="7DD3AD81"/>
    <w:rsid w:val="7DFFF77E"/>
    <w:rsid w:val="7F53A862"/>
    <w:rsid w:val="7F7FE70F"/>
    <w:rsid w:val="7F7FF59B"/>
    <w:rsid w:val="7FDF365A"/>
    <w:rsid w:val="7FEC8BC6"/>
    <w:rsid w:val="7FFF772F"/>
    <w:rsid w:val="95F35EF6"/>
    <w:rsid w:val="9BFFD860"/>
    <w:rsid w:val="A77B4E4D"/>
    <w:rsid w:val="AC5F73DE"/>
    <w:rsid w:val="B5DDD2C8"/>
    <w:rsid w:val="B9DFABD9"/>
    <w:rsid w:val="BC0D83FC"/>
    <w:rsid w:val="BDDF1651"/>
    <w:rsid w:val="BF3BDEFB"/>
    <w:rsid w:val="BFB7A454"/>
    <w:rsid w:val="BFFF0D07"/>
    <w:rsid w:val="C75F6086"/>
    <w:rsid w:val="C7F7ED2D"/>
    <w:rsid w:val="CFAF854E"/>
    <w:rsid w:val="D35F06BB"/>
    <w:rsid w:val="D7FD0686"/>
    <w:rsid w:val="D8D7928E"/>
    <w:rsid w:val="D8FE3136"/>
    <w:rsid w:val="DDDE60B7"/>
    <w:rsid w:val="DE9F6A22"/>
    <w:rsid w:val="DF4B5BCD"/>
    <w:rsid w:val="DF4FCE6A"/>
    <w:rsid w:val="DFD6CE7C"/>
    <w:rsid w:val="DFE76F1E"/>
    <w:rsid w:val="DFE93440"/>
    <w:rsid w:val="DFEF5C84"/>
    <w:rsid w:val="E26EF6EE"/>
    <w:rsid w:val="E4FED278"/>
    <w:rsid w:val="E6FF8EBE"/>
    <w:rsid w:val="EDAA365C"/>
    <w:rsid w:val="EDADFC12"/>
    <w:rsid w:val="EE1D1912"/>
    <w:rsid w:val="EF2F231E"/>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toc 3"/>
    <w:basedOn w:val="1"/>
    <w:next w:val="1"/>
    <w:qFormat/>
    <w:uiPriority w:val="0"/>
    <w:pPr>
      <w:ind w:left="420"/>
    </w:pPr>
    <w:rPr>
      <w:rFonts w:ascii="等线" w:hAnsi="等线" w:eastAsia="等线"/>
      <w:b/>
      <w:sz w:val="30"/>
      <w:szCs w:val="30"/>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paragraph" w:customStyle="1" w:styleId="21">
    <w:name w:val="普通正文"/>
    <w:qFormat/>
    <w:uiPriority w:val="0"/>
    <w:pPr>
      <w:widowControl w:val="0"/>
      <w:adjustRightInd w:val="0"/>
      <w:spacing w:before="120" w:after="120" w:line="360" w:lineRule="auto"/>
      <w:ind w:firstLine="480"/>
      <w:textAlignment w:val="baseline"/>
    </w:pPr>
    <w:rPr>
      <w:rFonts w:ascii="Arial" w:hAnsi="Arial"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5648.31</c:v>
                </c:pt>
                <c:pt idx="1">
                  <c:v>0</c:v>
                </c:pt>
                <c:pt idx="2">
                  <c:v>0</c:v>
                </c:pt>
                <c:pt idx="3">
                  <c:v>0</c:v>
                </c:pt>
                <c:pt idx="4">
                  <c:v>0</c:v>
                </c:pt>
                <c:pt idx="5">
                  <c:v>1</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1927.46</c:v>
                </c:pt>
                <c:pt idx="1">
                  <c:v>4634.84</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2</TotalTime>
  <ScaleCrop>false</ScaleCrop>
  <LinksUpToDate>false</LinksUpToDate>
  <CharactersWithSpaces>298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2017-07-15T07:16:00Z</dcterms:created>
  <dc:creator>常程</dc:creator>
  <cp:lastModifiedBy>user</cp:lastModifiedBy>
  <cp:lastPrinted>2020-08-11T03:39:00Z</cp:lastPrinted>
  <dcterms:modified xsi:type="dcterms:W3CDTF">2025-10-24T14:02:18Z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