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黑体" w:hAnsi="黑体" w:eastAsia="黑体"/>
          <w:sz w:val="30"/>
          <w:szCs w:val="30"/>
          <w:highlight w:val="none"/>
          <w:lang w:val="en-US" w:eastAsia="zh-CN"/>
        </w:rPr>
      </w:pPr>
    </w:p>
    <w:tbl>
      <w:tblPr>
        <w:tblStyle w:val="7"/>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00"/>
        <w:gridCol w:w="1100"/>
        <w:gridCol w:w="1375"/>
        <w:gridCol w:w="3050"/>
        <w:gridCol w:w="3507"/>
        <w:gridCol w:w="1012"/>
        <w:gridCol w:w="1060"/>
        <w:gridCol w:w="658"/>
        <w:gridCol w:w="586"/>
        <w:gridCol w:w="7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14174" w:type="dxa"/>
            <w:gridSpan w:val="10"/>
            <w:tcBorders>
              <w:top w:val="nil"/>
              <w:left w:val="nil"/>
              <w:bottom w:val="single" w:color="auto"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32"/>
                <w:szCs w:val="32"/>
                <w:highlight w:val="none"/>
                <w:u w:val="none"/>
                <w:lang w:val="en-US" w:eastAsia="zh-CN" w:bidi="ar"/>
              </w:rPr>
              <w:br w:type="page"/>
            </w:r>
            <w:r>
              <w:rPr>
                <w:rFonts w:hint="eastAsia" w:ascii="宋体" w:hAnsi="宋体" w:eastAsia="宋体" w:cs="宋体"/>
                <w:b/>
                <w:bCs/>
                <w:i w:val="0"/>
                <w:iCs w:val="0"/>
                <w:color w:val="000000"/>
                <w:kern w:val="0"/>
                <w:sz w:val="32"/>
                <w:szCs w:val="32"/>
                <w:highlight w:val="none"/>
                <w:u w:val="none"/>
                <w:lang w:val="en-US" w:eastAsia="zh-CN" w:bidi="ar"/>
              </w:rPr>
              <w:t>2024年度部门整体绩效评价表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4174"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二级指标</w:t>
            </w:r>
          </w:p>
        </w:tc>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三级指标</w:t>
            </w:r>
          </w:p>
        </w:tc>
        <w:tc>
          <w:tcPr>
            <w:tcW w:w="3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指标解释</w:t>
            </w:r>
          </w:p>
        </w:tc>
        <w:tc>
          <w:tcPr>
            <w:tcW w:w="350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评分标准</w:t>
            </w:r>
          </w:p>
        </w:tc>
        <w:tc>
          <w:tcPr>
            <w:tcW w:w="10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预算数（万元）</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执行数（万元）</w:t>
            </w:r>
          </w:p>
        </w:tc>
        <w:tc>
          <w:tcPr>
            <w:tcW w:w="6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7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96" w:hRule="atLeast"/>
        </w:trPr>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当年预算执行情况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（20分）</w:t>
            </w:r>
          </w:p>
        </w:tc>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当年预算执行情况（20）</w:t>
            </w:r>
          </w:p>
        </w:tc>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资金总体</w:t>
            </w:r>
          </w:p>
        </w:tc>
        <w:tc>
          <w:tcPr>
            <w:tcW w:w="30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部门全年执行数与全年预算数的比率。资金总体=基本支出+项目支出+其他</w:t>
            </w:r>
          </w:p>
        </w:tc>
        <w:tc>
          <w:tcPr>
            <w:tcW w:w="35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①得分一档最高不能超过该指标分值上限（20分）。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②该指标若为正向指标，得分计算方法为：执行数/预算数*20；</w:t>
            </w:r>
          </w:p>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③该指标得分计算资金总体即可，分类支出填写预算数及执行数，无需计算分项执行率；</w:t>
            </w:r>
          </w:p>
          <w:p>
            <w:pPr>
              <w:keepNext w:val="0"/>
              <w:keepLines w:val="0"/>
              <w:widowControl/>
              <w:suppressLineNumbers w:val="0"/>
              <w:jc w:val="left"/>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1012"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default"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27547.15</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default"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27291.73</w:t>
            </w:r>
          </w:p>
        </w:tc>
        <w:tc>
          <w:tcPr>
            <w:tcW w:w="65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99%</w:t>
            </w:r>
          </w:p>
        </w:tc>
        <w:tc>
          <w:tcPr>
            <w:tcW w:w="7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72" w:hRule="atLeast"/>
        </w:trPr>
        <w:tc>
          <w:tcPr>
            <w:tcW w:w="110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基本支出</w:t>
            </w:r>
          </w:p>
        </w:tc>
        <w:tc>
          <w:tcPr>
            <w:tcW w:w="305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3507"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1012" w:type="dxa"/>
            <w:tcBorders>
              <w:top w:val="single" w:color="auto"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sz w:val="22"/>
                <w:szCs w:val="22"/>
                <w:highlight w:val="none"/>
                <w:u w:val="none"/>
                <w:lang w:val="en-US" w:eastAsia="zh-CN"/>
              </w:rPr>
              <w:t>6878.54</w:t>
            </w:r>
          </w:p>
        </w:tc>
        <w:tc>
          <w:tcPr>
            <w:tcW w:w="1060" w:type="dxa"/>
            <w:tcBorders>
              <w:top w:val="single" w:color="auto"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sz w:val="22"/>
                <w:szCs w:val="22"/>
                <w:highlight w:val="none"/>
                <w:u w:val="none"/>
                <w:lang w:val="en-US" w:eastAsia="zh-CN"/>
              </w:rPr>
              <w:t>6728.55</w:t>
            </w:r>
          </w:p>
        </w:tc>
        <w:tc>
          <w:tcPr>
            <w:tcW w:w="658"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586"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726" w:type="dxa"/>
            <w:vMerge w:val="continue"/>
            <w:tcBorders>
              <w:top w:val="single" w:color="auto"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66" w:hRule="atLeast"/>
        </w:trPr>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项目支出</w:t>
            </w:r>
          </w:p>
        </w:tc>
        <w:tc>
          <w:tcPr>
            <w:tcW w:w="3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35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20668.61</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20563.18</w:t>
            </w:r>
          </w:p>
        </w:tc>
        <w:tc>
          <w:tcPr>
            <w:tcW w:w="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726"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16" w:hRule="atLeast"/>
        </w:trPr>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其他</w:t>
            </w:r>
          </w:p>
        </w:tc>
        <w:tc>
          <w:tcPr>
            <w:tcW w:w="3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35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highlight w:val="none"/>
                <w:u w:val="none"/>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highlight w:val="none"/>
                <w:u w:val="none"/>
              </w:rPr>
            </w:pPr>
          </w:p>
        </w:tc>
        <w:tc>
          <w:tcPr>
            <w:tcW w:w="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726"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104" w:type="dxa"/>
            <w:gridSpan w:val="6"/>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19.8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任务名称</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指标名称</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指标内容和指标值</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年度完成情况</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整体绩效目标实现情况（60分）</w:t>
            </w:r>
          </w:p>
        </w:tc>
        <w:tc>
          <w:tcPr>
            <w:tcW w:w="1100" w:type="dxa"/>
            <w:vMerge w:val="restart"/>
            <w:tcBorders>
              <w:top w:val="single" w:color="000000" w:sz="4" w:space="0"/>
              <w:left w:val="single" w:color="auto"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新城环卫作业量</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道路清扫保洁</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1139万平方米</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1139万平方米</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2.5</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100%</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日垃圾转运量</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330吨</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329吨</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2.5</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99%</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default" w:ascii="宋体" w:hAnsi="宋体" w:eastAsia="宋体" w:cs="宋体"/>
                <w:i w:val="0"/>
                <w:iCs w:val="0"/>
                <w:color w:val="000000"/>
                <w:sz w:val="21"/>
                <w:szCs w:val="21"/>
                <w:highlight w:val="none"/>
                <w:u w:val="none"/>
                <w:lang w:val="en-US"/>
              </w:rPr>
            </w:pPr>
            <w:r>
              <w:rPr>
                <w:rFonts w:hint="eastAsia" w:eastAsia="宋体"/>
                <w:sz w:val="21"/>
                <w:highlight w:val="none"/>
                <w:lang w:val="en-US" w:eastAsia="zh-CN"/>
              </w:rPr>
              <w:t>2.49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日消纳粪水量</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100吨</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89.49吨</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2.5</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89%</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default" w:ascii="宋体" w:hAnsi="宋体" w:eastAsia="宋体" w:cs="宋体"/>
                <w:i w:val="0"/>
                <w:iCs w:val="0"/>
                <w:color w:val="000000"/>
                <w:sz w:val="21"/>
                <w:szCs w:val="21"/>
                <w:highlight w:val="none"/>
                <w:u w:val="none"/>
                <w:lang w:val="en-US"/>
              </w:rPr>
            </w:pPr>
            <w:r>
              <w:rPr>
                <w:rFonts w:hint="eastAsia" w:eastAsia="宋体"/>
                <w:sz w:val="21"/>
                <w:highlight w:val="none"/>
                <w:lang w:val="en-US" w:eastAsia="zh-CN"/>
              </w:rPr>
              <w:t>2.23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保洁维护公厕</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57座</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57座</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2.5</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100%</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default" w:ascii="宋体" w:hAnsi="宋体" w:eastAsia="宋体" w:cs="宋体"/>
                <w:i w:val="0"/>
                <w:iCs w:val="0"/>
                <w:color w:val="000000"/>
                <w:sz w:val="21"/>
                <w:szCs w:val="21"/>
                <w:highlight w:val="none"/>
                <w:u w:val="none"/>
                <w:lang w:val="en-US"/>
              </w:rPr>
            </w:pPr>
            <w:r>
              <w:rPr>
                <w:rFonts w:hint="eastAsia" w:eastAsia="宋体"/>
                <w:sz w:val="21"/>
                <w:highlight w:val="none"/>
                <w:lang w:val="en-US" w:eastAsia="zh-CN"/>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restart"/>
            <w:tcBorders>
              <w:top w:val="single" w:color="000000" w:sz="4" w:space="0"/>
              <w:left w:val="single" w:color="auto"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环卫作业要求</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垃圾转运基础要求</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日产日清</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日产日清</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5</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100%</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环卫作业基础要求</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达到地表要求</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达到地表要求</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5</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100%</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年成本</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成本指标</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控制在年度预算</w:t>
            </w:r>
            <w:r>
              <w:rPr>
                <w:rFonts w:hint="eastAsia" w:eastAsia="宋体"/>
                <w:sz w:val="21"/>
                <w:highlight w:val="none"/>
                <w:lang w:val="en-US" w:eastAsia="zh-CN"/>
              </w:rPr>
              <w:t>27547.15万元</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控制在年度</w:t>
            </w:r>
            <w:r>
              <w:rPr>
                <w:rFonts w:hint="eastAsia" w:eastAsia="宋体"/>
                <w:sz w:val="21"/>
                <w:highlight w:val="none"/>
                <w:lang w:val="en-US" w:eastAsia="zh-CN"/>
              </w:rPr>
              <w:t>预算27291.73万元</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10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99%</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default" w:ascii="宋体" w:hAnsi="宋体" w:eastAsia="宋体" w:cs="宋体"/>
                <w:i w:val="0"/>
                <w:iCs w:val="0"/>
                <w:color w:val="000000"/>
                <w:sz w:val="21"/>
                <w:szCs w:val="21"/>
                <w:highlight w:val="none"/>
                <w:u w:val="none"/>
                <w:lang w:val="en-US"/>
              </w:rPr>
            </w:pPr>
            <w:r>
              <w:rPr>
                <w:rFonts w:hint="eastAsia" w:eastAsia="宋体"/>
                <w:sz w:val="21"/>
                <w:highlight w:val="none"/>
                <w:lang w:val="en-US" w:eastAsia="zh-CN"/>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社会效益</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社会效益指标</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履职社会服务效益增加</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履职社会服务效益增加</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10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100%</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环境效益</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生态效益指标</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改善新城地区人居环境</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改善新城地区人居环境</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10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100%</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8"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满意度</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服务对象满意度指标</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居民生活环境满意指数大到</w:t>
            </w:r>
            <w:r>
              <w:rPr>
                <w:rFonts w:hint="eastAsia" w:eastAsia="宋体"/>
                <w:sz w:val="21"/>
                <w:highlight w:val="none"/>
                <w:lang w:val="en-US" w:eastAsia="zh-CN"/>
              </w:rPr>
              <w:t>90</w:t>
            </w:r>
            <w:r>
              <w:rPr>
                <w:rFonts w:ascii="宋体" w:hAnsi="宋体" w:eastAsia="宋体" w:cs="宋体"/>
                <w:spacing w:val="-6"/>
                <w:sz w:val="22"/>
                <w:szCs w:val="22"/>
                <w:highlight w:val="none"/>
              </w:rPr>
              <w:t>%</w:t>
            </w:r>
            <w:r>
              <w:rPr>
                <w:rFonts w:hint="eastAsia" w:ascii="宋体" w:hAnsi="宋体" w:eastAsia="宋体" w:cs="宋体"/>
                <w:spacing w:val="-6"/>
                <w:sz w:val="22"/>
                <w:szCs w:val="22"/>
                <w:highlight w:val="none"/>
                <w:lang w:eastAsia="zh-CN"/>
              </w:rPr>
              <w:t>以上</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eastAsia="zh-CN"/>
              </w:rPr>
              <w:t>居民生活环境满意指数大到</w:t>
            </w:r>
            <w:r>
              <w:rPr>
                <w:rFonts w:hint="eastAsia" w:eastAsia="宋体"/>
                <w:sz w:val="21"/>
                <w:highlight w:val="none"/>
                <w:lang w:val="en-US" w:eastAsia="zh-CN"/>
              </w:rPr>
              <w:t>90</w:t>
            </w:r>
            <w:r>
              <w:rPr>
                <w:rFonts w:ascii="宋体" w:hAnsi="宋体" w:eastAsia="宋体" w:cs="宋体"/>
                <w:spacing w:val="-6"/>
                <w:sz w:val="22"/>
                <w:szCs w:val="22"/>
                <w:highlight w:val="none"/>
              </w:rPr>
              <w:t>%</w:t>
            </w:r>
            <w:r>
              <w:rPr>
                <w:rFonts w:hint="eastAsia" w:ascii="宋体" w:hAnsi="宋体" w:eastAsia="宋体" w:cs="宋体"/>
                <w:spacing w:val="-6"/>
                <w:sz w:val="22"/>
                <w:szCs w:val="22"/>
                <w:highlight w:val="none"/>
                <w:lang w:eastAsia="zh-CN"/>
              </w:rPr>
              <w:t>以上</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10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000000"/>
                <w:sz w:val="21"/>
                <w:szCs w:val="21"/>
                <w:highlight w:val="none"/>
                <w:u w:val="none"/>
              </w:rPr>
            </w:pPr>
            <w:r>
              <w:rPr>
                <w:rFonts w:hint="eastAsia" w:eastAsia="宋体"/>
                <w:sz w:val="21"/>
                <w:highlight w:val="none"/>
                <w:lang w:val="en-US" w:eastAsia="zh-CN"/>
              </w:rPr>
              <w:t>100%</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default" w:ascii="宋体" w:hAnsi="宋体" w:eastAsia="宋体" w:cs="宋体"/>
                <w:i w:val="0"/>
                <w:iCs w:val="0"/>
                <w:color w:val="000000"/>
                <w:sz w:val="21"/>
                <w:szCs w:val="21"/>
                <w:highlight w:val="none"/>
                <w:u w:val="none"/>
                <w:lang w:val="en-US"/>
              </w:rPr>
            </w:pPr>
            <w:r>
              <w:rPr>
                <w:rFonts w:hint="eastAsia" w:eastAsia="宋体"/>
                <w:sz w:val="21"/>
                <w:highlight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9032"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273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rPr>
            </w:pPr>
            <w:r>
              <w:rPr>
                <w:rFonts w:hint="eastAsia" w:ascii="宋体" w:hAnsi="宋体" w:eastAsia="宋体" w:cs="宋体"/>
                <w:b/>
                <w:bCs/>
                <w:i w:val="0"/>
                <w:iCs w:val="0"/>
                <w:color w:val="000000"/>
                <w:kern w:val="0"/>
                <w:sz w:val="21"/>
                <w:szCs w:val="21"/>
                <w:highlight w:val="none"/>
                <w:u w:val="none"/>
                <w:lang w:val="en-US" w:eastAsia="zh-CN" w:bidi="ar"/>
              </w:rPr>
              <w:t>60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rPr>
            </w:pPr>
            <w:r>
              <w:rPr>
                <w:rFonts w:hint="eastAsia" w:ascii="宋体" w:hAnsi="宋体" w:eastAsia="宋体" w:cs="宋体"/>
                <w:b/>
                <w:bCs/>
                <w:i w:val="0"/>
                <w:iCs w:val="0"/>
                <w:color w:val="000000"/>
                <w:sz w:val="21"/>
                <w:szCs w:val="21"/>
                <w:highlight w:val="none"/>
                <w:u w:val="none"/>
                <w:lang w:val="en-US" w:eastAsia="zh-CN"/>
              </w:rPr>
              <w:t>59.62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二级指标</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三级指标</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指标解释</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评分标准</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2023年数据</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2024年数据</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60" w:hRule="atLeast"/>
        </w:trPr>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预算管理情况（20分）</w:t>
            </w:r>
          </w:p>
        </w:tc>
        <w:tc>
          <w:tcPr>
            <w:tcW w:w="1100"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财务管理（6）</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财务管理制度健全性</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财务管理制度健全性：部门（单位）为加强财务管理、规范财务行为而制定的管理制度。</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①预算资金管理办法、绩效跟踪管理办法、资产管理办法等各项制度是否健全；</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②部门内部财务管理制度是否完善、合规；</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③会计核算制度是否完整、合规。</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2"/>
                <w:szCs w:val="22"/>
                <w:highlight w:val="none"/>
                <w:u w:val="none"/>
                <w:lang w:val="en-US" w:eastAsia="zh-CN"/>
              </w:rPr>
              <w:t>100%</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4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资金使用合规性和安全性</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①是否符合国家财经法规和财务管理制度规定以及有关专项资金管理办法的规定；</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②资金的拨付是否有完整的审批程序和手续；</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③项目的重大开支是否经过评估论证；</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④是否符合部门预算批复的用途；</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⑤是否存在截留、挤占、挪用情况；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⑥资金使用是否符合政府采购的程序和流程；</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⑦资金使用是否符合公务卡结算相关制度和规定。</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每有一项不合格扣0.5分，扣完为止。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2"/>
                <w:szCs w:val="22"/>
                <w:highlight w:val="none"/>
                <w:u w:val="none"/>
                <w:lang w:val="en-US" w:eastAsia="zh-CN"/>
              </w:rPr>
              <w:t>100%</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4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会计基础信息完善性</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会计基础信息完善性：部门（单位）会计基础信息情况。</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①基础数据信息和会计信息资料是否真实；</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②基础数据信息和会计信息资料是否完整；</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③基础数据信息和会计信息资料是否准确。</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2"/>
                <w:szCs w:val="22"/>
                <w:highlight w:val="none"/>
                <w:u w:val="none"/>
                <w:lang w:val="en-US" w:eastAsia="zh-CN"/>
              </w:rPr>
              <w:t>100%</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4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资产管理（5）</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资产管理规范性</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资产管理规范性：部门（单位）的资产是否保持安全完整，资产配置是否合理，资产使用和资产处理是否规范，用以反映和考核部门（单位）资产管理的整体水平。</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①对外投资行为是否经审批，是否存在投资亏损；</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②是否有因管理不当发生严重资产损失和丢失情况；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③是否存在超标准配置资产；</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④资产使用是否规范，是否存在未经批准擅自出租、出借资产行为；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⑤资产处置是否规范，是否存在不按要求进行报批或资产不公开处置行为；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⑥其他资产管理制度办法执行情况。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2"/>
                <w:szCs w:val="22"/>
                <w:highlight w:val="none"/>
                <w:u w:val="none"/>
                <w:lang w:val="en-US" w:eastAsia="zh-CN"/>
              </w:rPr>
              <w:t>100%</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绩效管理（5）</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绩效管理情况</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绩效管理情况：考核部门（单位）在绩效管理信息的汇总和应用情况。</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①部门（单位）是否及时对绩效信息进行汇总分析整理；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②部门（单位）是否对绩效目标偏离情况及时进行矫正。</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每有一项不合格扣2.5分。</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2"/>
                <w:szCs w:val="22"/>
                <w:highlight w:val="none"/>
                <w:u w:val="none"/>
                <w:lang w:val="en-US" w:eastAsia="zh-CN"/>
              </w:rPr>
              <w:t>100%</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部门预决算差异率（4）</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通过年度部门决算与年初部门预算对比，对部门的年度支出情况进行考核，衡量部门预算的约束力。</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部门预决算差异率（绝对值）低于上年的不扣分；高于上年部门预决算差异率，每高出1个百分点扣0.4分，扣完为止。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2"/>
                <w:szCs w:val="22"/>
                <w:highlight w:val="none"/>
                <w:u w:val="none"/>
                <w:lang w:val="en-US" w:eastAsia="zh-CN"/>
              </w:rPr>
              <w:t>100%</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104" w:type="dxa"/>
            <w:gridSpan w:val="6"/>
            <w:tcBorders>
              <w:top w:val="single" w:color="000000" w:sz="4" w:space="0"/>
              <w:left w:val="single" w:color="auto"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220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合计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rPr>
            </w:pPr>
            <w:r>
              <w:rPr>
                <w:rFonts w:hint="eastAsia" w:ascii="宋体" w:hAnsi="宋体" w:eastAsia="宋体" w:cs="宋体"/>
                <w:b/>
                <w:bCs/>
                <w:i w:val="0"/>
                <w:iCs w:val="0"/>
                <w:color w:val="000000"/>
                <w:kern w:val="0"/>
                <w:sz w:val="21"/>
                <w:szCs w:val="21"/>
                <w:highlight w:val="none"/>
                <w:u w:val="none"/>
                <w:lang w:val="en-US" w:eastAsia="zh-CN" w:bidi="ar"/>
              </w:rPr>
              <w:t>100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99.42</w:t>
            </w:r>
          </w:p>
        </w:tc>
      </w:tr>
    </w:tbl>
    <w:p>
      <w:pPr>
        <w:rPr>
          <w:rFonts w:hint="eastAsia"/>
          <w:b/>
          <w:bCs/>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填报说明：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default" w:ascii="仿宋_GB2312" w:hAnsi="仿宋_GB2312" w:eastAsia="仿宋_GB2312" w:cs="仿宋_GB2312"/>
          <w:b/>
          <w:bCs/>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此表分为三个部分，各部分总体分值已经确定，第一部分总分20分，第二部分总分60分，第三部分总分20分，无需更改。根据各部分得分情况加总得到最终自评得分。资金支出金额应当为部门本级和所属单位2024年度全部支出金额（与决算保持一致）。</w:t>
      </w:r>
      <w:r>
        <w:rPr>
          <w:rFonts w:hint="eastAsia" w:ascii="仿宋_GB2312" w:hAnsi="仿宋_GB2312" w:eastAsia="仿宋_GB2312" w:cs="仿宋_GB2312"/>
          <w:b/>
          <w:bCs/>
          <w:i w:val="0"/>
          <w:iCs w:val="0"/>
          <w:color w:val="000000"/>
          <w:kern w:val="0"/>
          <w:sz w:val="24"/>
          <w:szCs w:val="24"/>
          <w:highlight w:val="none"/>
          <w:u w:val="none"/>
          <w:lang w:val="en-US" w:eastAsia="zh-CN" w:bidi="ar"/>
        </w:rPr>
        <w:t>预算数=年初预算+年中追加-12月1日前追减数。差异率=（预算数-决算数）/预算数*100%，打分时用2024年差异率（绝对值）-2022年差异率（绝对值），相减结果为1%（含）-2%，扣0.4分，2%（含）-3%，扣0.8分，以此类推，每高出1个百分点扣0.4分，扣完为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2.第一部分“当年预算执行情况”与第三部分“预算管理情况”各级指标、指标解释、评分标准、单项指标分值均已确定，填报部门（单位）根据本部门对应年度执行情况进行自我评价打分，评分方式详见指标对应评分标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第二部分“整体绩效目标实现情况”填报分为四步。</w:t>
      </w:r>
      <w:r>
        <w:rPr>
          <w:rFonts w:hint="eastAsia" w:ascii="仿宋_GB2312" w:hAnsi="仿宋_GB2312" w:eastAsia="仿宋_GB2312" w:cs="仿宋_GB2312"/>
          <w:b/>
          <w:bCs/>
          <w:i w:val="0"/>
          <w:iCs w:val="0"/>
          <w:color w:val="000000"/>
          <w:kern w:val="0"/>
          <w:sz w:val="24"/>
          <w:szCs w:val="24"/>
          <w:highlight w:val="none"/>
          <w:u w:val="none"/>
          <w:lang w:val="en-US" w:eastAsia="zh-CN" w:bidi="ar"/>
        </w:rPr>
        <w:t>第一步：</w:t>
      </w:r>
      <w:r>
        <w:rPr>
          <w:rFonts w:hint="eastAsia" w:ascii="仿宋_GB2312" w:hAnsi="仿宋_GB2312" w:eastAsia="仿宋_GB2312" w:cs="仿宋_GB2312"/>
          <w:i w:val="0"/>
          <w:iCs w:val="0"/>
          <w:color w:val="000000"/>
          <w:kern w:val="0"/>
          <w:sz w:val="24"/>
          <w:szCs w:val="24"/>
          <w:highlight w:val="none"/>
          <w:u w:val="none"/>
          <w:lang w:val="en-US" w:eastAsia="zh-CN" w:bidi="ar"/>
        </w:rPr>
        <w:t>“任务名称”“指标名称”“指标内容和指标值”为当年度整体绩效目标申报表中对应内容，即年初申报的目标内容及指标值，将年初申报内容复制到表格中。</w:t>
      </w:r>
      <w:r>
        <w:rPr>
          <w:rFonts w:hint="eastAsia" w:ascii="仿宋_GB2312" w:hAnsi="仿宋_GB2312" w:eastAsia="仿宋_GB2312" w:cs="仿宋_GB2312"/>
          <w:b/>
          <w:bCs/>
          <w:i w:val="0"/>
          <w:iCs w:val="0"/>
          <w:color w:val="000000"/>
          <w:kern w:val="0"/>
          <w:sz w:val="24"/>
          <w:szCs w:val="24"/>
          <w:highlight w:val="none"/>
          <w:u w:val="none"/>
          <w:lang w:val="en-US" w:eastAsia="zh-CN" w:bidi="ar"/>
        </w:rPr>
        <w:t>第二步：</w:t>
      </w:r>
      <w:r>
        <w:rPr>
          <w:rFonts w:hint="eastAsia" w:ascii="仿宋_GB2312" w:hAnsi="仿宋_GB2312" w:eastAsia="仿宋_GB2312" w:cs="仿宋_GB2312"/>
          <w:i w:val="0"/>
          <w:iCs w:val="0"/>
          <w:color w:val="000000"/>
          <w:kern w:val="0"/>
          <w:sz w:val="24"/>
          <w:szCs w:val="24"/>
          <w:highlight w:val="none"/>
          <w:u w:val="none"/>
          <w:lang w:val="en-US" w:eastAsia="zh-CN" w:bidi="ar"/>
        </w:rPr>
        <w:t>“年度完成情况”填写当年度该项指标实际完成情况，完成情况应与指标内容和指标值对应。</w:t>
      </w:r>
      <w:r>
        <w:rPr>
          <w:rFonts w:hint="eastAsia" w:ascii="仿宋_GB2312" w:hAnsi="仿宋_GB2312" w:eastAsia="仿宋_GB2312" w:cs="仿宋_GB2312"/>
          <w:b/>
          <w:bCs/>
          <w:i w:val="0"/>
          <w:iCs w:val="0"/>
          <w:color w:val="000000"/>
          <w:kern w:val="0"/>
          <w:sz w:val="24"/>
          <w:szCs w:val="24"/>
          <w:highlight w:val="none"/>
          <w:u w:val="none"/>
          <w:lang w:val="en-US" w:eastAsia="zh-CN" w:bidi="ar"/>
        </w:rPr>
        <w:t>第三步：</w:t>
      </w:r>
      <w:r>
        <w:rPr>
          <w:rFonts w:hint="eastAsia" w:ascii="仿宋_GB2312" w:hAnsi="仿宋_GB2312" w:eastAsia="仿宋_GB2312" w:cs="仿宋_GB2312"/>
          <w:i w:val="0"/>
          <w:iCs w:val="0"/>
          <w:color w:val="000000"/>
          <w:kern w:val="0"/>
          <w:sz w:val="24"/>
          <w:szCs w:val="24"/>
          <w:highlight w:val="none"/>
          <w:u w:val="none"/>
          <w:lang w:val="en-US" w:eastAsia="zh-CN" w:bidi="ar"/>
        </w:rPr>
        <w:t>为每项指标赋予权重分值，该部分总体分值为60分，各项指标权重分值加和应等于60分。分值分配应体现突出重点、兼顾平均原则，各项指标分值可存在差异但不应差异过大。</w:t>
      </w:r>
      <w:r>
        <w:rPr>
          <w:rFonts w:hint="eastAsia" w:ascii="仿宋_GB2312" w:hAnsi="仿宋_GB2312" w:eastAsia="仿宋_GB2312" w:cs="仿宋_GB2312"/>
          <w:b/>
          <w:bCs/>
          <w:i w:val="0"/>
          <w:iCs w:val="0"/>
          <w:color w:val="000000"/>
          <w:kern w:val="0"/>
          <w:sz w:val="24"/>
          <w:szCs w:val="24"/>
          <w:highlight w:val="none"/>
          <w:u w:val="none"/>
          <w:lang w:val="en-US" w:eastAsia="zh-CN" w:bidi="ar"/>
        </w:rPr>
        <w:t>第四步：</w:t>
      </w:r>
      <w:r>
        <w:rPr>
          <w:rFonts w:hint="eastAsia" w:ascii="仿宋_GB2312" w:hAnsi="仿宋_GB2312" w:eastAsia="仿宋_GB2312" w:cs="仿宋_GB2312"/>
          <w:i w:val="0"/>
          <w:iCs w:val="0"/>
          <w:color w:val="000000"/>
          <w:kern w:val="0"/>
          <w:sz w:val="24"/>
          <w:szCs w:val="24"/>
          <w:highlight w:val="none"/>
          <w:u w:val="none"/>
          <w:lang w:val="en-US" w:eastAsia="zh-CN" w:bidi="ar"/>
        </w:rPr>
        <w:t>根据年度完成情况与年初设置目标进行对比，计算得分率，每项指标分值*得分率即为该项指标最终得分。计算规则如下</w:t>
      </w:r>
      <w:r>
        <w:rPr>
          <w:rFonts w:hint="eastAsia" w:ascii="仿宋_GB2312" w:hAnsi="仿宋_GB2312" w:eastAsia="仿宋_GB2312" w:cs="仿宋_GB2312"/>
          <w:b/>
          <w:bCs/>
          <w:i w:val="0"/>
          <w:iCs w:val="0"/>
          <w:color w:val="000000"/>
          <w:kern w:val="0"/>
          <w:sz w:val="24"/>
          <w:szCs w:val="24"/>
          <w:highlight w:val="none"/>
          <w:u w:val="none"/>
          <w:lang w:val="en-US" w:eastAsia="zh-CN" w:bidi="ar"/>
        </w:rPr>
        <w:t>①</w:t>
      </w:r>
      <w:r>
        <w:rPr>
          <w:rFonts w:hint="eastAsia" w:ascii="仿宋_GB2312" w:hAnsi="仿宋_GB2312" w:eastAsia="仿宋_GB2312" w:cs="仿宋_GB2312"/>
          <w:sz w:val="24"/>
          <w:szCs w:val="24"/>
          <w:highlight w:val="none"/>
          <w:lang w:val="en-US" w:eastAsia="zh-CN"/>
        </w:rPr>
        <w:t>若</w:t>
      </w:r>
      <w:r>
        <w:rPr>
          <w:rFonts w:hint="eastAsia" w:ascii="仿宋_GB2312" w:hAnsi="仿宋_GB2312" w:eastAsia="仿宋_GB2312" w:cs="仿宋_GB2312"/>
          <w:i w:val="0"/>
          <w:iCs w:val="0"/>
          <w:color w:val="000000"/>
          <w:kern w:val="0"/>
          <w:sz w:val="24"/>
          <w:szCs w:val="24"/>
          <w:highlight w:val="none"/>
          <w:u w:val="none"/>
          <w:lang w:val="en-US" w:eastAsia="zh-CN" w:bidi="ar"/>
        </w:rPr>
        <w:t>指标为定量正向指标，则得分率计算方法应用全年实际值（B）/年度指标值（A），若指标为定量反向指标，则得分率计算方法应用年度指标值（A）/全年实际值（B）。</w:t>
      </w:r>
      <w:r>
        <w:rPr>
          <w:rFonts w:hint="eastAsia" w:ascii="仿宋_GB2312" w:hAnsi="仿宋_GB2312" w:eastAsia="仿宋_GB2312" w:cs="仿宋_GB2312"/>
          <w:b/>
          <w:bCs/>
          <w:i w:val="0"/>
          <w:iCs w:val="0"/>
          <w:color w:val="000000"/>
          <w:kern w:val="0"/>
          <w:sz w:val="24"/>
          <w:szCs w:val="24"/>
          <w:highlight w:val="none"/>
          <w:u w:val="none"/>
          <w:lang w:val="en-US" w:eastAsia="zh-CN" w:bidi="ar"/>
        </w:rPr>
        <w:t>②</w:t>
      </w:r>
      <w:r>
        <w:rPr>
          <w:rFonts w:hint="eastAsia" w:ascii="仿宋_GB2312" w:hAnsi="仿宋_GB2312" w:eastAsia="仿宋_GB2312" w:cs="仿宋_GB2312"/>
          <w:i w:val="0"/>
          <w:iCs w:val="0"/>
          <w:color w:val="000000"/>
          <w:kern w:val="0"/>
          <w:sz w:val="24"/>
          <w:szCs w:val="24"/>
          <w:highlight w:val="none"/>
          <w:u w:val="none"/>
          <w:lang w:val="en-US" w:eastAsia="zh-CN" w:bidi="ar"/>
        </w:rPr>
        <w:t>若年初指标值设定偏低导致得分率在200%-300%（含200%）区间，则按照该指标分值的10%扣分，计算得分率在300%-500%（含300%）区间，则按照该指标分值的20%扣分，计算得分率高于500%（含500%），则按照该指标分值的30%扣分。</w:t>
      </w:r>
      <w:r>
        <w:rPr>
          <w:rFonts w:hint="eastAsia" w:ascii="仿宋_GB2312" w:hAnsi="仿宋_GB2312" w:eastAsia="仿宋_GB2312" w:cs="仿宋_GB2312"/>
          <w:b/>
          <w:bCs/>
          <w:i w:val="0"/>
          <w:iCs w:val="0"/>
          <w:color w:val="000000"/>
          <w:kern w:val="0"/>
          <w:sz w:val="24"/>
          <w:szCs w:val="24"/>
          <w:highlight w:val="none"/>
          <w:u w:val="none"/>
          <w:lang w:val="en-US" w:eastAsia="zh-CN" w:bidi="ar"/>
        </w:rPr>
        <w:t>③</w:t>
      </w:r>
      <w:r>
        <w:rPr>
          <w:rFonts w:hint="eastAsia" w:ascii="仿宋_GB2312" w:hAnsi="仿宋_GB2312" w:eastAsia="仿宋_GB2312" w:cs="仿宋_GB2312"/>
          <w:i w:val="0"/>
          <w:iCs w:val="0"/>
          <w:color w:val="000000"/>
          <w:kern w:val="0"/>
          <w:sz w:val="24"/>
          <w:szCs w:val="24"/>
          <w:highlight w:val="none"/>
          <w:u w:val="none"/>
          <w:lang w:val="en-US" w:eastAsia="zh-CN" w:bidi="ar"/>
        </w:rPr>
        <w:t>若为定性指标，则根据完成情况分为“优、良、中、差”四等，“优”获得该项分值90%-100%，“良”获得该项分值80%-90%，“中”获得该项分值60%-80%，“差”获得该项分值0%-60%。</w:t>
      </w:r>
    </w:p>
    <w:p>
      <w:pPr>
        <w:jc w:val="both"/>
        <w:rPr>
          <w:rFonts w:hint="eastAsia" w:ascii="宋体" w:hAnsi="宋体" w:eastAsia="宋体" w:cs="宋体"/>
          <w:i w:val="0"/>
          <w:iCs w:val="0"/>
          <w:color w:val="000000"/>
          <w:kern w:val="0"/>
          <w:sz w:val="22"/>
          <w:szCs w:val="22"/>
          <w:highlight w:val="none"/>
          <w:u w:val="none"/>
          <w:lang w:val="en-US" w:eastAsia="zh-CN" w:bidi="ar"/>
        </w:rPr>
      </w:pPr>
    </w:p>
    <w:p>
      <w:pPr>
        <w:jc w:val="both"/>
        <w:rPr>
          <w:rFonts w:hint="eastAsia" w:ascii="宋体" w:hAnsi="宋体" w:eastAsia="宋体" w:cs="宋体"/>
          <w:i w:val="0"/>
          <w:iCs w:val="0"/>
          <w:color w:val="000000"/>
          <w:kern w:val="0"/>
          <w:sz w:val="22"/>
          <w:szCs w:val="22"/>
          <w:highlight w:val="none"/>
          <w:u w:val="none"/>
          <w:lang w:val="en-US" w:eastAsia="zh-CN" w:bidi="ar"/>
        </w:rPr>
        <w:sectPr>
          <w:footerReference r:id="rId3" w:type="default"/>
          <w:pgSz w:w="16838" w:h="11906" w:orient="landscape"/>
          <w:pgMar w:top="720" w:right="720" w:bottom="720" w:left="720" w:header="851" w:footer="992" w:gutter="0"/>
          <w:cols w:space="425" w:num="1"/>
          <w:docGrid w:type="lines" w:linePitch="312" w:charSpace="0"/>
        </w:sectPr>
      </w:pPr>
    </w:p>
    <w:p>
      <w:pPr>
        <w:spacing w:line="560" w:lineRule="exact"/>
        <w:jc w:val="center"/>
        <w:rPr>
          <w:rFonts w:hint="eastAsia" w:ascii="方正小标宋简体" w:eastAsia="方正小标宋简体"/>
          <w:sz w:val="36"/>
          <w:szCs w:val="36"/>
          <w:highlight w:val="none"/>
          <w:lang w:eastAsia="zh-CN"/>
        </w:rPr>
      </w:pPr>
      <w:r>
        <w:rPr>
          <w:rFonts w:hint="eastAsia" w:ascii="方正小标宋简体" w:eastAsia="方正小标宋简体"/>
          <w:sz w:val="36"/>
          <w:szCs w:val="36"/>
          <w:highlight w:val="none"/>
          <w:lang w:eastAsia="zh-CN"/>
        </w:rPr>
        <w:t>北京市大兴区环境卫生服务中心</w:t>
      </w:r>
    </w:p>
    <w:p>
      <w:pPr>
        <w:spacing w:line="560" w:lineRule="exact"/>
        <w:jc w:val="center"/>
        <w:rPr>
          <w:rFonts w:hint="eastAsia" w:ascii="方正小标宋简体" w:eastAsia="方正小标宋简体"/>
          <w:sz w:val="36"/>
          <w:szCs w:val="36"/>
          <w:highlight w:val="none"/>
        </w:rPr>
      </w:pPr>
      <w:r>
        <w:rPr>
          <w:rFonts w:hint="eastAsia" w:ascii="方正小标宋简体" w:eastAsia="方正小标宋简体"/>
          <w:sz w:val="36"/>
          <w:szCs w:val="36"/>
          <w:highlight w:val="none"/>
        </w:rPr>
        <w:t>部门整体绩效</w:t>
      </w:r>
      <w:r>
        <w:rPr>
          <w:rFonts w:hint="eastAsia" w:ascii="方正小标宋简体" w:eastAsia="方正小标宋简体"/>
          <w:sz w:val="36"/>
          <w:szCs w:val="36"/>
          <w:highlight w:val="none"/>
          <w:lang w:eastAsia="zh-CN"/>
        </w:rPr>
        <w:t>评价</w:t>
      </w:r>
      <w:r>
        <w:rPr>
          <w:rFonts w:hint="eastAsia" w:ascii="方正小标宋简体" w:eastAsia="方正小标宋简体"/>
          <w:sz w:val="36"/>
          <w:szCs w:val="36"/>
          <w:highlight w:val="none"/>
        </w:rPr>
        <w:t>报告</w:t>
      </w:r>
    </w:p>
    <w:p>
      <w:pPr>
        <w:jc w:val="center"/>
        <w:rPr>
          <w:rFonts w:ascii="仿宋_GB2312"/>
          <w:szCs w:val="30"/>
          <w:highlight w:val="none"/>
        </w:rPr>
      </w:pPr>
    </w:p>
    <w:p>
      <w:pPr>
        <w:spacing w:line="600" w:lineRule="exact"/>
        <w:ind w:firstLine="640" w:firstLineChars="200"/>
        <w:rPr>
          <w:rFonts w:hint="eastAsia"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一、部门概况</w:t>
      </w:r>
    </w:p>
    <w:p>
      <w:pPr>
        <w:spacing w:line="600" w:lineRule="exact"/>
        <w:ind w:firstLine="640" w:firstLineChars="200"/>
        <w:rPr>
          <w:rFonts w:hint="eastAsia" w:ascii="黑体" w:eastAsia="黑体"/>
          <w:sz w:val="28"/>
          <w:szCs w:val="28"/>
          <w:highlight w:val="none"/>
        </w:rPr>
      </w:pPr>
      <w:r>
        <w:rPr>
          <w:rFonts w:hint="eastAsia" w:ascii="楷体_GB2312" w:eastAsia="楷体_GB2312"/>
          <w:sz w:val="32"/>
          <w:szCs w:val="32"/>
          <w:highlight w:val="none"/>
        </w:rPr>
        <w:t>（一）</w:t>
      </w:r>
      <w:r>
        <w:rPr>
          <w:rFonts w:hint="eastAsia" w:ascii="楷体_GB2312" w:eastAsia="楷体_GB2312"/>
          <w:sz w:val="32"/>
          <w:szCs w:val="32"/>
          <w:highlight w:val="none"/>
          <w:lang w:eastAsia="zh-CN"/>
        </w:rPr>
        <w:t>大兴区环境卫生服务中心</w:t>
      </w:r>
      <w:r>
        <w:rPr>
          <w:rFonts w:hint="eastAsia" w:ascii="楷体_GB2312" w:eastAsia="楷体_GB2312"/>
          <w:sz w:val="32"/>
          <w:szCs w:val="32"/>
          <w:highlight w:val="none"/>
        </w:rPr>
        <w:t>基本情况</w:t>
      </w:r>
      <w:r>
        <w:rPr>
          <w:rFonts w:hint="eastAsia" w:ascii="黑体" w:eastAsia="黑体"/>
          <w:sz w:val="28"/>
          <w:szCs w:val="28"/>
          <w:highlight w:val="none"/>
          <w:lang w:val="en-US" w:eastAsia="zh-CN"/>
        </w:rPr>
        <w:t xml:space="preserve"> </w:t>
      </w:r>
    </w:p>
    <w:p>
      <w:pPr>
        <w:tabs>
          <w:tab w:val="center" w:pos="6979"/>
        </w:tabs>
        <w:spacing w:line="580" w:lineRule="exact"/>
        <w:ind w:firstLine="570"/>
        <w:rPr>
          <w:rFonts w:hint="eastAsia" w:ascii="仿宋_GB2312" w:eastAsia="仿宋_GB2312"/>
          <w:color w:val="000000"/>
          <w:sz w:val="30"/>
          <w:szCs w:val="30"/>
          <w:highlight w:val="none"/>
          <w:lang w:val="en-US" w:eastAsia="zh-CN"/>
        </w:rPr>
      </w:pPr>
      <w:r>
        <w:rPr>
          <w:rFonts w:hint="eastAsia" w:ascii="仿宋_GB2312" w:eastAsia="仿宋_GB2312"/>
          <w:color w:val="000000"/>
          <w:sz w:val="30"/>
          <w:szCs w:val="30"/>
          <w:highlight w:val="none"/>
          <w:lang w:val="en-US" w:eastAsia="zh-CN"/>
        </w:rPr>
        <w:t>北京市大兴区环境卫生服务中心（以下简称大兴环卫中心）为区属公益一类事业单位。大兴环卫的主要职能包括：</w:t>
      </w:r>
    </w:p>
    <w:p>
      <w:pPr>
        <w:tabs>
          <w:tab w:val="center" w:pos="6979"/>
        </w:tabs>
        <w:spacing w:line="580" w:lineRule="exact"/>
        <w:ind w:firstLine="570"/>
        <w:rPr>
          <w:rFonts w:hint="eastAsia" w:ascii="仿宋_GB2312" w:eastAsia="仿宋_GB2312"/>
          <w:color w:val="000000"/>
          <w:sz w:val="30"/>
          <w:szCs w:val="30"/>
          <w:highlight w:val="none"/>
          <w:lang w:val="en-US" w:eastAsia="zh-CN"/>
        </w:rPr>
      </w:pPr>
      <w:r>
        <w:rPr>
          <w:rFonts w:hint="eastAsia" w:ascii="仿宋_GB2312" w:eastAsia="仿宋_GB2312"/>
          <w:color w:val="000000"/>
          <w:sz w:val="30"/>
          <w:szCs w:val="30"/>
          <w:highlight w:val="none"/>
          <w:lang w:val="en-US" w:eastAsia="zh-CN"/>
        </w:rPr>
        <w:t>1.负责大兴新城区域内的城市道路清扫保洁工作。</w:t>
      </w:r>
    </w:p>
    <w:p>
      <w:pPr>
        <w:tabs>
          <w:tab w:val="center" w:pos="6979"/>
        </w:tabs>
        <w:spacing w:line="580" w:lineRule="exact"/>
        <w:ind w:firstLine="570"/>
        <w:rPr>
          <w:rFonts w:hint="eastAsia" w:ascii="仿宋_GB2312" w:eastAsia="仿宋_GB2312"/>
          <w:color w:val="000000"/>
          <w:sz w:val="30"/>
          <w:szCs w:val="30"/>
          <w:highlight w:val="none"/>
          <w:lang w:val="en-US" w:eastAsia="zh-CN"/>
        </w:rPr>
      </w:pPr>
      <w:r>
        <w:rPr>
          <w:rFonts w:hint="eastAsia" w:ascii="仿宋_GB2312" w:eastAsia="仿宋_GB2312"/>
          <w:color w:val="000000"/>
          <w:sz w:val="30"/>
          <w:szCs w:val="30"/>
          <w:highlight w:val="none"/>
          <w:lang w:val="en-US" w:eastAsia="zh-CN"/>
        </w:rPr>
        <w:t>2.负责大兴新城区域内居民生活垃圾及渣土的清运和消纳。</w:t>
      </w:r>
    </w:p>
    <w:p>
      <w:pPr>
        <w:tabs>
          <w:tab w:val="center" w:pos="6979"/>
        </w:tabs>
        <w:spacing w:line="580" w:lineRule="exact"/>
        <w:ind w:firstLine="570"/>
        <w:rPr>
          <w:rFonts w:hint="eastAsia" w:ascii="仿宋_GB2312" w:eastAsia="仿宋_GB2312"/>
          <w:color w:val="000000"/>
          <w:sz w:val="30"/>
          <w:szCs w:val="30"/>
          <w:highlight w:val="none"/>
          <w:lang w:val="en-US" w:eastAsia="zh-CN"/>
        </w:rPr>
      </w:pPr>
      <w:r>
        <w:rPr>
          <w:rFonts w:hint="eastAsia" w:ascii="仿宋_GB2312" w:eastAsia="仿宋_GB2312"/>
          <w:color w:val="000000"/>
          <w:sz w:val="30"/>
          <w:szCs w:val="30"/>
          <w:highlight w:val="none"/>
          <w:lang w:val="en-US" w:eastAsia="zh-CN"/>
        </w:rPr>
        <w:t>3.负责大兴新城区域内主次干道两侧公共厕所的日常清扫保洁、维修及粪便的清掏处理工作。</w:t>
      </w:r>
    </w:p>
    <w:p>
      <w:pPr>
        <w:tabs>
          <w:tab w:val="center" w:pos="6979"/>
        </w:tabs>
        <w:spacing w:line="580" w:lineRule="exact"/>
        <w:ind w:firstLine="570"/>
        <w:rPr>
          <w:rFonts w:hint="eastAsia" w:ascii="仿宋_GB2312" w:eastAsia="仿宋_GB2312"/>
          <w:color w:val="000000"/>
          <w:sz w:val="30"/>
          <w:szCs w:val="30"/>
          <w:highlight w:val="none"/>
          <w:lang w:val="en-US" w:eastAsia="zh-CN"/>
        </w:rPr>
      </w:pPr>
      <w:r>
        <w:rPr>
          <w:rFonts w:hint="eastAsia" w:ascii="仿宋_GB2312" w:eastAsia="仿宋_GB2312"/>
          <w:color w:val="000000"/>
          <w:sz w:val="30"/>
          <w:szCs w:val="30"/>
          <w:highlight w:val="none"/>
          <w:lang w:val="en-US" w:eastAsia="zh-CN"/>
        </w:rPr>
        <w:t>4.负责大兴新城区域内的环境卫生有偿服务费用的收缴工作。</w:t>
      </w:r>
    </w:p>
    <w:p>
      <w:pPr>
        <w:spacing w:line="600" w:lineRule="exact"/>
        <w:ind w:firstLine="600" w:firstLineChars="200"/>
        <w:rPr>
          <w:rFonts w:hint="eastAsia" w:ascii="楷体_GB2312" w:eastAsia="楷体_GB2312"/>
          <w:sz w:val="30"/>
          <w:szCs w:val="30"/>
          <w:highlight w:val="none"/>
        </w:rPr>
      </w:pPr>
      <w:r>
        <w:rPr>
          <w:rFonts w:hint="eastAsia" w:ascii="仿宋_GB2312" w:eastAsia="仿宋_GB2312"/>
          <w:color w:val="000000"/>
          <w:sz w:val="30"/>
          <w:szCs w:val="30"/>
          <w:highlight w:val="none"/>
          <w:lang w:val="en-US" w:eastAsia="zh-CN"/>
        </w:rPr>
        <w:t>5.负责大兴新城区域内环卫基础设施的规划及建设使用管理工作</w:t>
      </w:r>
    </w:p>
    <w:p>
      <w:pPr>
        <w:spacing w:line="600" w:lineRule="exact"/>
        <w:ind w:firstLine="640" w:firstLineChars="200"/>
        <w:rPr>
          <w:rFonts w:hint="eastAsia" w:ascii="楷体_GB2312" w:eastAsia="楷体_GB2312"/>
          <w:sz w:val="32"/>
          <w:szCs w:val="32"/>
          <w:highlight w:val="none"/>
        </w:rPr>
      </w:pPr>
      <w:r>
        <w:rPr>
          <w:rFonts w:hint="eastAsia" w:ascii="楷体_GB2312" w:eastAsia="楷体_GB2312"/>
          <w:sz w:val="32"/>
          <w:szCs w:val="32"/>
          <w:highlight w:val="none"/>
        </w:rPr>
        <w:t>（二）部门整体绩效目标设立情况</w:t>
      </w:r>
    </w:p>
    <w:p>
      <w:pPr>
        <w:spacing w:line="600" w:lineRule="exact"/>
        <w:ind w:firstLine="640" w:firstLineChars="200"/>
        <w:rPr>
          <w:rFonts w:hint="eastAsia" w:ascii="楷体_GB2312" w:eastAsia="楷体_GB2312"/>
          <w:sz w:val="32"/>
          <w:szCs w:val="32"/>
          <w:highlight w:val="none"/>
          <w:lang w:val="en-US" w:eastAsia="zh-CN"/>
        </w:rPr>
      </w:pPr>
      <w:r>
        <w:rPr>
          <w:rFonts w:hint="eastAsia" w:ascii="楷体_GB2312" w:eastAsia="楷体_GB2312"/>
          <w:sz w:val="32"/>
          <w:szCs w:val="32"/>
          <w:highlight w:val="none"/>
          <w:lang w:val="en-US" w:eastAsia="zh-CN"/>
        </w:rPr>
        <w:t>绩效指标与职责任务</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600" w:firstLineChars="200"/>
        <w:textAlignment w:val="auto"/>
        <w:rPr>
          <w:rFonts w:hint="eastAsia" w:ascii="仿宋_GB2312" w:eastAsia="仿宋_GB2312"/>
          <w:color w:val="000000"/>
          <w:sz w:val="30"/>
          <w:szCs w:val="30"/>
          <w:highlight w:val="none"/>
          <w:lang w:val="en-US" w:eastAsia="zh-CN"/>
        </w:rPr>
      </w:pPr>
      <w:r>
        <w:rPr>
          <w:rFonts w:hint="eastAsia" w:ascii="仿宋_GB2312" w:eastAsia="仿宋_GB2312"/>
          <w:color w:val="000000"/>
          <w:sz w:val="30"/>
          <w:szCs w:val="30"/>
          <w:highlight w:val="none"/>
          <w:lang w:val="en-US" w:eastAsia="zh-CN"/>
        </w:rPr>
        <w:t>绩效目标中，明确辖区内1139万平方米道路、57座公厕、6座垃圾站点的环卫作业及维护管理，以及大兴新城小区和企事业单位生活垃圾收集转运的作业范围与内容，与部门区域环境卫生综合管理职责契合；采用机械作业和人工保洁配合、遵循北京市环卫作业地方标准的作业方式，落实环卫作业技术规范与质量把控职责；以实现区域环境整洁、保障设施运转、达成污染防治为成果目标，呼应改善人居、维护城市功能、推动生态环保的核心职能，全方位保障基础环卫服务供给与区域环境管理目标实现。</w:t>
      </w:r>
    </w:p>
    <w:p>
      <w:pPr>
        <w:spacing w:line="600" w:lineRule="exact"/>
        <w:ind w:firstLine="640" w:firstLineChars="200"/>
        <w:rPr>
          <w:rFonts w:hint="eastAsia" w:ascii="楷体_GB2312" w:eastAsia="楷体_GB2312"/>
          <w:sz w:val="32"/>
          <w:szCs w:val="32"/>
          <w:highlight w:val="none"/>
          <w:lang w:val="en-US" w:eastAsia="zh-CN"/>
        </w:rPr>
      </w:pPr>
      <w:r>
        <w:rPr>
          <w:rFonts w:hint="eastAsia" w:ascii="楷体_GB2312" w:eastAsia="楷体_GB2312"/>
          <w:sz w:val="32"/>
          <w:szCs w:val="32"/>
          <w:highlight w:val="none"/>
          <w:lang w:val="en-US" w:eastAsia="zh-CN"/>
        </w:rPr>
        <w:t xml:space="preserve">绩效目标设立依据     </w:t>
      </w:r>
    </w:p>
    <w:p>
      <w:pPr>
        <w:tabs>
          <w:tab w:val="center" w:pos="6979"/>
        </w:tabs>
        <w:spacing w:line="580" w:lineRule="exact"/>
        <w:ind w:firstLine="570"/>
        <w:rPr>
          <w:rFonts w:hint="eastAsia" w:ascii="仿宋_GB2312" w:eastAsia="仿宋_GB2312"/>
          <w:color w:val="000000"/>
          <w:sz w:val="30"/>
          <w:szCs w:val="30"/>
          <w:highlight w:val="none"/>
          <w:lang w:val="en-US" w:eastAsia="zh-CN"/>
        </w:rPr>
      </w:pPr>
      <w:r>
        <w:rPr>
          <w:rFonts w:hint="eastAsia" w:ascii="仿宋_GB2312" w:eastAsia="仿宋_GB2312"/>
          <w:color w:val="000000"/>
          <w:sz w:val="30"/>
          <w:szCs w:val="30"/>
          <w:highlight w:val="none"/>
          <w:lang w:val="en-US" w:eastAsia="zh-CN"/>
        </w:rPr>
        <w:t>1. 政策法规依据：依据北京市环卫作业相关地方标准及大兴区关于环境卫生管理的政策文件，明确环卫作业规范与质量要求，确保绩效目标设定符合行业管理规定与地方治理导向。同时，契合国家及地方污染防治攻坚战相关政策，将污染防治纳入绩效目标，强化生态保护责任。</w:t>
      </w:r>
    </w:p>
    <w:p>
      <w:pPr>
        <w:tabs>
          <w:tab w:val="center" w:pos="6979"/>
        </w:tabs>
        <w:spacing w:line="580" w:lineRule="exact"/>
        <w:ind w:firstLine="570"/>
        <w:rPr>
          <w:rFonts w:hint="eastAsia" w:ascii="仿宋_GB2312" w:eastAsia="仿宋_GB2312"/>
          <w:color w:val="000000"/>
          <w:sz w:val="30"/>
          <w:szCs w:val="30"/>
          <w:highlight w:val="none"/>
          <w:lang w:val="en-US" w:eastAsia="zh-CN"/>
        </w:rPr>
      </w:pPr>
      <w:r>
        <w:rPr>
          <w:rFonts w:hint="eastAsia" w:ascii="仿宋_GB2312" w:eastAsia="仿宋_GB2312"/>
          <w:color w:val="000000"/>
          <w:sz w:val="30"/>
          <w:szCs w:val="30"/>
          <w:highlight w:val="none"/>
          <w:lang w:val="en-US" w:eastAsia="zh-CN"/>
        </w:rPr>
        <w:t>2. 区域发展需求：大兴新城作为区域发展核心地带，对环境卫生质量与基础设施保障能力提出较高要求。绩效目标围绕新城建设需求，针对道路、公厕、垃圾站点等关键设施设定管理目标，旨在提升区域环境品质，优化营商与生活环境，为区域经济社会发展提供环境支撑。</w:t>
      </w:r>
    </w:p>
    <w:p>
      <w:pPr>
        <w:tabs>
          <w:tab w:val="center" w:pos="6979"/>
        </w:tabs>
        <w:spacing w:line="580" w:lineRule="exact"/>
        <w:ind w:firstLine="570"/>
        <w:rPr>
          <w:rFonts w:hint="eastAsia" w:ascii="仿宋_GB2312" w:eastAsia="仿宋_GB2312"/>
          <w:color w:val="000000"/>
          <w:sz w:val="30"/>
          <w:szCs w:val="30"/>
          <w:highlight w:val="none"/>
          <w:lang w:val="en-US" w:eastAsia="zh-CN"/>
        </w:rPr>
      </w:pPr>
      <w:r>
        <w:rPr>
          <w:rFonts w:hint="eastAsia" w:ascii="仿宋_GB2312" w:eastAsia="仿宋_GB2312"/>
          <w:color w:val="000000"/>
          <w:sz w:val="30"/>
          <w:szCs w:val="30"/>
          <w:highlight w:val="none"/>
          <w:lang w:val="en-US" w:eastAsia="zh-CN"/>
        </w:rPr>
        <w:t>3. 部门职能定位：根据部门三定方案确定的环境卫生管理、设施运维、垃圾处理等核心职能，将职责转化为可量化、可考核的绩效目标。通过明确作业范围、标准及成果要求，将抽象职能转化为具体工作任务与预期成效，为部门履职提供行动指南与考核依据 。</w:t>
      </w:r>
    </w:p>
    <w:p>
      <w:pPr>
        <w:tabs>
          <w:tab w:val="center" w:pos="6979"/>
        </w:tabs>
        <w:spacing w:line="580" w:lineRule="exact"/>
        <w:ind w:firstLine="570"/>
        <w:rPr>
          <w:rFonts w:hint="eastAsia" w:ascii="仿宋_GB2312" w:eastAsia="仿宋_GB2312"/>
          <w:color w:val="000000"/>
          <w:sz w:val="30"/>
          <w:szCs w:val="30"/>
          <w:highlight w:val="none"/>
          <w:lang w:val="en-US" w:eastAsia="zh-CN"/>
        </w:rPr>
      </w:pPr>
      <w:r>
        <w:rPr>
          <w:rFonts w:hint="eastAsia" w:ascii="仿宋_GB2312" w:eastAsia="仿宋_GB2312"/>
          <w:color w:val="000000"/>
          <w:sz w:val="30"/>
          <w:szCs w:val="30"/>
          <w:highlight w:val="none"/>
          <w:lang w:val="en-US" w:eastAsia="zh-CN"/>
        </w:rPr>
        <w:t>4. 历史数据与实际需求：参考历年环卫作业面积、设施维护数量、垃圾转运量等历史数据，结合区域发展带来的新增环卫需求（如新建道路、小区等），科学测算作业规模与资源投入，确保绩效目标既立足实际、又具有前瞻性，保障环卫服务供给与区域发展需求相匹配。</w:t>
      </w:r>
    </w:p>
    <w:p>
      <w:pPr>
        <w:spacing w:line="600" w:lineRule="exact"/>
        <w:ind w:firstLine="640" w:firstLineChars="200"/>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二</w:t>
      </w:r>
      <w:r>
        <w:rPr>
          <w:rFonts w:ascii="黑体" w:hAnsi="黑体" w:eastAsia="黑体" w:cs="宋体"/>
          <w:color w:val="000000"/>
          <w:kern w:val="0"/>
          <w:sz w:val="32"/>
          <w:szCs w:val="32"/>
          <w:highlight w:val="none"/>
        </w:rPr>
        <w:t>、</w:t>
      </w:r>
      <w:r>
        <w:rPr>
          <w:rFonts w:hint="eastAsia" w:ascii="黑体" w:hAnsi="黑体" w:eastAsia="黑体" w:cs="宋体"/>
          <w:color w:val="000000"/>
          <w:kern w:val="0"/>
          <w:sz w:val="32"/>
          <w:szCs w:val="32"/>
          <w:highlight w:val="none"/>
        </w:rPr>
        <w:t>当年</w:t>
      </w:r>
      <w:r>
        <w:rPr>
          <w:rFonts w:ascii="黑体" w:hAnsi="黑体" w:eastAsia="黑体" w:cs="宋体"/>
          <w:color w:val="000000"/>
          <w:kern w:val="0"/>
          <w:sz w:val="32"/>
          <w:szCs w:val="32"/>
          <w:highlight w:val="none"/>
        </w:rPr>
        <w:t>预算执行情况</w:t>
      </w:r>
    </w:p>
    <w:p>
      <w:pPr>
        <w:spacing w:line="600" w:lineRule="exact"/>
        <w:ind w:firstLine="600" w:firstLineChars="200"/>
        <w:rPr>
          <w:rFonts w:ascii="仿宋_GB2312" w:hAnsi="宋体" w:eastAsia="仿宋_GB2312" w:cs="宋体"/>
          <w:color w:val="000000"/>
          <w:kern w:val="0"/>
          <w:sz w:val="30"/>
          <w:szCs w:val="30"/>
          <w:highlight w:val="none"/>
        </w:rPr>
      </w:pPr>
      <w:r>
        <w:rPr>
          <w:rFonts w:hint="eastAsia" w:ascii="仿宋_GB2312" w:hAnsi="宋体" w:eastAsia="仿宋_GB2312" w:cs="宋体"/>
          <w:color w:val="000000"/>
          <w:kern w:val="0"/>
          <w:sz w:val="30"/>
          <w:szCs w:val="30"/>
          <w:highlight w:val="none"/>
          <w:lang w:eastAsia="zh-CN"/>
        </w:rPr>
        <w:t>2024</w:t>
      </w:r>
      <w:r>
        <w:rPr>
          <w:rFonts w:hint="eastAsia" w:ascii="仿宋_GB2312" w:hAnsi="宋体" w:eastAsia="仿宋_GB2312" w:cs="宋体"/>
          <w:color w:val="000000"/>
          <w:kern w:val="0"/>
          <w:sz w:val="30"/>
          <w:szCs w:val="30"/>
          <w:highlight w:val="none"/>
        </w:rPr>
        <w:t>年</w:t>
      </w:r>
      <w:r>
        <w:rPr>
          <w:rFonts w:hint="eastAsia" w:ascii="仿宋_GB2312" w:hAnsi="宋体" w:eastAsia="仿宋_GB2312" w:cs="宋体"/>
          <w:color w:val="000000"/>
          <w:kern w:val="0"/>
          <w:sz w:val="30"/>
          <w:szCs w:val="30"/>
          <w:highlight w:val="none"/>
          <w:lang w:eastAsia="zh-CN"/>
        </w:rPr>
        <w:t>全年</w:t>
      </w:r>
      <w:r>
        <w:rPr>
          <w:rFonts w:hint="eastAsia" w:ascii="仿宋_GB2312" w:hAnsi="宋体" w:eastAsia="仿宋_GB2312" w:cs="宋体"/>
          <w:color w:val="000000"/>
          <w:kern w:val="0"/>
          <w:sz w:val="30"/>
          <w:szCs w:val="30"/>
          <w:highlight w:val="none"/>
        </w:rPr>
        <w:t>预算数</w:t>
      </w:r>
      <w:r>
        <w:rPr>
          <w:rFonts w:hint="eastAsia" w:ascii="仿宋_GB2312" w:hAnsi="宋体" w:eastAsia="仿宋_GB2312" w:cs="宋体"/>
          <w:color w:val="000000"/>
          <w:kern w:val="0"/>
          <w:sz w:val="30"/>
          <w:szCs w:val="30"/>
          <w:highlight w:val="none"/>
          <w:lang w:val="en-US" w:eastAsia="zh-CN"/>
        </w:rPr>
        <w:t>27547.15</w:t>
      </w:r>
      <w:r>
        <w:rPr>
          <w:rFonts w:hint="eastAsia" w:ascii="仿宋_GB2312" w:hAnsi="宋体" w:eastAsia="仿宋_GB2312" w:cs="宋体"/>
          <w:color w:val="000000"/>
          <w:kern w:val="0"/>
          <w:sz w:val="30"/>
          <w:szCs w:val="30"/>
          <w:highlight w:val="none"/>
        </w:rPr>
        <w:t>万元</w:t>
      </w:r>
      <w:r>
        <w:rPr>
          <w:rFonts w:ascii="仿宋_GB2312" w:hAnsi="宋体" w:eastAsia="仿宋_GB2312" w:cs="宋体"/>
          <w:color w:val="000000"/>
          <w:kern w:val="0"/>
          <w:sz w:val="30"/>
          <w:szCs w:val="30"/>
          <w:highlight w:val="none"/>
        </w:rPr>
        <w:t>，</w:t>
      </w:r>
      <w:r>
        <w:rPr>
          <w:rFonts w:hint="eastAsia" w:ascii="仿宋_GB2312" w:hAnsi="宋体" w:eastAsia="仿宋_GB2312" w:cs="宋体"/>
          <w:color w:val="000000"/>
          <w:kern w:val="0"/>
          <w:sz w:val="30"/>
          <w:szCs w:val="30"/>
          <w:highlight w:val="none"/>
        </w:rPr>
        <w:t>其中</w:t>
      </w:r>
      <w:r>
        <w:rPr>
          <w:rFonts w:ascii="仿宋_GB2312" w:hAnsi="宋体" w:eastAsia="仿宋_GB2312" w:cs="宋体"/>
          <w:color w:val="000000"/>
          <w:kern w:val="0"/>
          <w:sz w:val="30"/>
          <w:szCs w:val="30"/>
          <w:highlight w:val="none"/>
        </w:rPr>
        <w:t>，基本</w:t>
      </w:r>
      <w:r>
        <w:rPr>
          <w:rFonts w:hint="eastAsia" w:ascii="仿宋_GB2312" w:hAnsi="宋体" w:eastAsia="仿宋_GB2312" w:cs="宋体"/>
          <w:color w:val="000000"/>
          <w:kern w:val="0"/>
          <w:sz w:val="30"/>
          <w:szCs w:val="30"/>
          <w:highlight w:val="none"/>
        </w:rPr>
        <w:t>支出</w:t>
      </w:r>
      <w:r>
        <w:rPr>
          <w:rFonts w:ascii="仿宋_GB2312" w:hAnsi="宋体" w:eastAsia="仿宋_GB2312" w:cs="宋体"/>
          <w:color w:val="000000"/>
          <w:kern w:val="0"/>
          <w:sz w:val="30"/>
          <w:szCs w:val="30"/>
          <w:highlight w:val="none"/>
        </w:rPr>
        <w:t>预算数</w:t>
      </w:r>
      <w:r>
        <w:rPr>
          <w:rFonts w:hint="eastAsia" w:ascii="仿宋_GB2312" w:hAnsi="宋体" w:eastAsia="仿宋_GB2312" w:cs="宋体"/>
          <w:color w:val="000000"/>
          <w:kern w:val="0"/>
          <w:sz w:val="30"/>
          <w:szCs w:val="30"/>
          <w:highlight w:val="none"/>
          <w:lang w:val="en-US" w:eastAsia="zh-CN"/>
        </w:rPr>
        <w:t>6878.54</w:t>
      </w:r>
      <w:r>
        <w:rPr>
          <w:rFonts w:ascii="仿宋_GB2312" w:hAnsi="宋体" w:eastAsia="仿宋_GB2312" w:cs="宋体"/>
          <w:color w:val="000000"/>
          <w:kern w:val="0"/>
          <w:sz w:val="30"/>
          <w:szCs w:val="30"/>
          <w:highlight w:val="none"/>
        </w:rPr>
        <w:t>万元，</w:t>
      </w:r>
      <w:r>
        <w:rPr>
          <w:rFonts w:hint="eastAsia" w:ascii="仿宋_GB2312" w:hAnsi="宋体" w:eastAsia="仿宋_GB2312" w:cs="宋体"/>
          <w:color w:val="000000"/>
          <w:kern w:val="0"/>
          <w:sz w:val="30"/>
          <w:szCs w:val="30"/>
          <w:highlight w:val="none"/>
        </w:rPr>
        <w:t>项目支出预算数</w:t>
      </w:r>
      <w:r>
        <w:rPr>
          <w:rFonts w:hint="eastAsia" w:ascii="仿宋_GB2312" w:hAnsi="宋体" w:eastAsia="仿宋_GB2312" w:cs="宋体"/>
          <w:color w:val="000000"/>
          <w:kern w:val="0"/>
          <w:sz w:val="30"/>
          <w:szCs w:val="30"/>
          <w:highlight w:val="none"/>
          <w:lang w:val="en-US" w:eastAsia="zh-CN"/>
        </w:rPr>
        <w:t>20668.61</w:t>
      </w:r>
      <w:r>
        <w:rPr>
          <w:rFonts w:ascii="仿宋_GB2312" w:hAnsi="宋体" w:eastAsia="仿宋_GB2312" w:cs="宋体"/>
          <w:color w:val="000000"/>
          <w:kern w:val="0"/>
          <w:sz w:val="30"/>
          <w:szCs w:val="30"/>
          <w:highlight w:val="none"/>
        </w:rPr>
        <w:t>万元，其他支出</w:t>
      </w:r>
      <w:r>
        <w:rPr>
          <w:rFonts w:hint="eastAsia" w:ascii="仿宋_GB2312" w:hAnsi="宋体" w:eastAsia="仿宋_GB2312" w:cs="宋体"/>
          <w:color w:val="000000"/>
          <w:kern w:val="0"/>
          <w:sz w:val="30"/>
          <w:szCs w:val="30"/>
          <w:highlight w:val="none"/>
        </w:rPr>
        <w:t>预算数</w:t>
      </w:r>
      <w:r>
        <w:rPr>
          <w:rFonts w:hint="eastAsia" w:ascii="仿宋_GB2312" w:hAnsi="宋体" w:eastAsia="仿宋_GB2312" w:cs="宋体"/>
          <w:color w:val="000000"/>
          <w:kern w:val="0"/>
          <w:sz w:val="30"/>
          <w:szCs w:val="30"/>
          <w:highlight w:val="none"/>
          <w:lang w:val="en-US" w:eastAsia="zh-CN"/>
        </w:rPr>
        <w:t>0</w:t>
      </w:r>
      <w:r>
        <w:rPr>
          <w:rFonts w:ascii="仿宋_GB2312" w:hAnsi="宋体" w:eastAsia="仿宋_GB2312" w:cs="宋体"/>
          <w:color w:val="000000"/>
          <w:kern w:val="0"/>
          <w:sz w:val="30"/>
          <w:szCs w:val="30"/>
          <w:highlight w:val="none"/>
        </w:rPr>
        <w:t>万元</w:t>
      </w:r>
      <w:r>
        <w:rPr>
          <w:rFonts w:hint="eastAsia" w:ascii="仿宋_GB2312" w:hAnsi="宋体" w:eastAsia="仿宋_GB2312" w:cs="宋体"/>
          <w:color w:val="000000"/>
          <w:kern w:val="0"/>
          <w:sz w:val="30"/>
          <w:szCs w:val="30"/>
          <w:highlight w:val="none"/>
        </w:rPr>
        <w:t>。</w:t>
      </w:r>
      <w:r>
        <w:rPr>
          <w:rFonts w:hint="eastAsia" w:ascii="仿宋_GB2312" w:hAnsi="宋体" w:eastAsia="仿宋_GB2312" w:cs="宋体"/>
          <w:color w:val="000000"/>
          <w:kern w:val="0"/>
          <w:sz w:val="30"/>
          <w:szCs w:val="30"/>
          <w:highlight w:val="none"/>
          <w:lang w:val="en-US" w:eastAsia="zh-CN"/>
        </w:rPr>
        <w:t>2024年</w:t>
      </w:r>
      <w:r>
        <w:rPr>
          <w:rFonts w:ascii="仿宋_GB2312" w:hAnsi="宋体" w:eastAsia="仿宋_GB2312" w:cs="宋体"/>
          <w:color w:val="000000"/>
          <w:kern w:val="0"/>
          <w:sz w:val="30"/>
          <w:szCs w:val="30"/>
          <w:highlight w:val="none"/>
        </w:rPr>
        <w:t>资金总体</w:t>
      </w:r>
      <w:r>
        <w:rPr>
          <w:rFonts w:hint="eastAsia" w:ascii="仿宋_GB2312" w:hAnsi="宋体" w:eastAsia="仿宋_GB2312" w:cs="宋体"/>
          <w:color w:val="000000"/>
          <w:kern w:val="0"/>
          <w:sz w:val="30"/>
          <w:szCs w:val="30"/>
          <w:highlight w:val="none"/>
        </w:rPr>
        <w:t>支出</w:t>
      </w:r>
      <w:r>
        <w:rPr>
          <w:rFonts w:hint="eastAsia" w:ascii="仿宋_GB2312" w:hAnsi="宋体" w:eastAsia="仿宋_GB2312" w:cs="宋体"/>
          <w:color w:val="000000"/>
          <w:kern w:val="0"/>
          <w:sz w:val="30"/>
          <w:szCs w:val="30"/>
          <w:highlight w:val="none"/>
          <w:lang w:val="en-US" w:eastAsia="zh-CN"/>
        </w:rPr>
        <w:t>27291.73</w:t>
      </w:r>
      <w:r>
        <w:rPr>
          <w:rFonts w:ascii="仿宋_GB2312" w:hAnsi="宋体" w:eastAsia="仿宋_GB2312" w:cs="宋体"/>
          <w:color w:val="000000"/>
          <w:kern w:val="0"/>
          <w:sz w:val="30"/>
          <w:szCs w:val="30"/>
          <w:highlight w:val="none"/>
        </w:rPr>
        <w:t>万元，其中，基本支出</w:t>
      </w:r>
      <w:r>
        <w:rPr>
          <w:rFonts w:hint="eastAsia" w:ascii="仿宋_GB2312" w:hAnsi="宋体" w:eastAsia="仿宋_GB2312" w:cs="宋体"/>
          <w:color w:val="000000"/>
          <w:kern w:val="0"/>
          <w:sz w:val="30"/>
          <w:szCs w:val="30"/>
          <w:highlight w:val="none"/>
          <w:lang w:val="en-US" w:eastAsia="zh-CN"/>
        </w:rPr>
        <w:t>6728.55</w:t>
      </w:r>
      <w:r>
        <w:rPr>
          <w:rFonts w:ascii="仿宋_GB2312" w:hAnsi="宋体" w:eastAsia="仿宋_GB2312" w:cs="宋体"/>
          <w:color w:val="000000"/>
          <w:kern w:val="0"/>
          <w:sz w:val="30"/>
          <w:szCs w:val="30"/>
          <w:highlight w:val="none"/>
        </w:rPr>
        <w:t>万元，项目</w:t>
      </w:r>
      <w:r>
        <w:rPr>
          <w:rFonts w:hint="eastAsia" w:ascii="仿宋_GB2312" w:hAnsi="宋体" w:eastAsia="仿宋_GB2312" w:cs="宋体"/>
          <w:color w:val="000000"/>
          <w:kern w:val="0"/>
          <w:sz w:val="30"/>
          <w:szCs w:val="30"/>
          <w:highlight w:val="none"/>
        </w:rPr>
        <w:t>支出</w:t>
      </w:r>
      <w:r>
        <w:rPr>
          <w:rFonts w:hint="eastAsia" w:ascii="仿宋_GB2312" w:hAnsi="宋体" w:eastAsia="仿宋_GB2312" w:cs="宋体"/>
          <w:color w:val="000000"/>
          <w:kern w:val="0"/>
          <w:sz w:val="30"/>
          <w:szCs w:val="30"/>
          <w:highlight w:val="none"/>
          <w:lang w:val="en-US" w:eastAsia="zh-CN"/>
        </w:rPr>
        <w:t>20563.18</w:t>
      </w:r>
      <w:r>
        <w:rPr>
          <w:rFonts w:ascii="仿宋_GB2312" w:hAnsi="宋体" w:eastAsia="仿宋_GB2312" w:cs="宋体"/>
          <w:color w:val="000000"/>
          <w:kern w:val="0"/>
          <w:sz w:val="30"/>
          <w:szCs w:val="30"/>
          <w:highlight w:val="none"/>
        </w:rPr>
        <w:t>万元，其他支出</w:t>
      </w:r>
      <w:r>
        <w:rPr>
          <w:rFonts w:hint="eastAsia" w:ascii="仿宋_GB2312" w:hAnsi="宋体" w:eastAsia="仿宋_GB2312" w:cs="宋体"/>
          <w:color w:val="000000"/>
          <w:kern w:val="0"/>
          <w:sz w:val="30"/>
          <w:szCs w:val="30"/>
          <w:highlight w:val="none"/>
          <w:lang w:val="en-US" w:eastAsia="zh-CN"/>
        </w:rPr>
        <w:t>0</w:t>
      </w:r>
      <w:r>
        <w:rPr>
          <w:rFonts w:ascii="仿宋_GB2312" w:hAnsi="宋体" w:eastAsia="仿宋_GB2312" w:cs="宋体"/>
          <w:color w:val="000000"/>
          <w:kern w:val="0"/>
          <w:sz w:val="30"/>
          <w:szCs w:val="30"/>
          <w:highlight w:val="none"/>
        </w:rPr>
        <w:t>万元。</w:t>
      </w:r>
      <w:r>
        <w:rPr>
          <w:rFonts w:hint="eastAsia" w:ascii="仿宋_GB2312" w:hAnsi="宋体" w:eastAsia="仿宋_GB2312" w:cs="宋体"/>
          <w:color w:val="000000"/>
          <w:kern w:val="0"/>
          <w:sz w:val="30"/>
          <w:szCs w:val="30"/>
          <w:highlight w:val="none"/>
        </w:rPr>
        <w:t>预算</w:t>
      </w:r>
      <w:r>
        <w:rPr>
          <w:rFonts w:ascii="仿宋_GB2312" w:hAnsi="宋体" w:eastAsia="仿宋_GB2312" w:cs="宋体"/>
          <w:color w:val="000000"/>
          <w:kern w:val="0"/>
          <w:sz w:val="30"/>
          <w:szCs w:val="30"/>
          <w:highlight w:val="none"/>
        </w:rPr>
        <w:t>执行率为</w:t>
      </w:r>
      <w:r>
        <w:rPr>
          <w:rFonts w:hint="eastAsia" w:ascii="仿宋_GB2312" w:hAnsi="宋体" w:eastAsia="仿宋_GB2312" w:cs="宋体"/>
          <w:color w:val="000000"/>
          <w:kern w:val="0"/>
          <w:sz w:val="30"/>
          <w:szCs w:val="30"/>
          <w:highlight w:val="none"/>
          <w:lang w:val="en-US" w:eastAsia="zh-CN"/>
        </w:rPr>
        <w:t>92.72%</w:t>
      </w:r>
      <w:r>
        <w:rPr>
          <w:rFonts w:hint="eastAsia" w:ascii="仿宋_GB2312" w:hAnsi="宋体" w:eastAsia="仿宋_GB2312" w:cs="宋体"/>
          <w:color w:val="000000"/>
          <w:kern w:val="0"/>
          <w:sz w:val="30"/>
          <w:szCs w:val="30"/>
          <w:highlight w:val="none"/>
        </w:rPr>
        <w:t>。</w:t>
      </w:r>
    </w:p>
    <w:p>
      <w:pPr>
        <w:spacing w:line="600" w:lineRule="exact"/>
        <w:ind w:left="105" w:leftChars="50" w:firstLine="480" w:firstLineChars="150"/>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三</w:t>
      </w:r>
      <w:r>
        <w:rPr>
          <w:rFonts w:ascii="黑体" w:hAnsi="黑体" w:eastAsia="黑体" w:cs="宋体"/>
          <w:color w:val="000000"/>
          <w:kern w:val="0"/>
          <w:sz w:val="32"/>
          <w:szCs w:val="32"/>
          <w:highlight w:val="none"/>
        </w:rPr>
        <w:t>、整体绩效目标实现情况</w:t>
      </w:r>
    </w:p>
    <w:p>
      <w:pPr>
        <w:ind w:firstLine="640" w:firstLineChars="200"/>
        <w:rPr>
          <w:rFonts w:hint="eastAsia" w:ascii="黑体" w:hAnsi="文星标宋" w:eastAsia="黑体" w:cs="宋体"/>
          <w:bCs/>
          <w:color w:val="000000"/>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2024年完成</w:t>
      </w:r>
      <w:r>
        <w:rPr>
          <w:rFonts w:hint="eastAsia" w:ascii="仿宋_GB2312" w:eastAsia="仿宋_GB2312" w:cs="仿宋_GB2312"/>
          <w:sz w:val="32"/>
          <w:szCs w:val="32"/>
          <w:highlight w:val="none"/>
          <w:lang w:val="en-US" w:eastAsia="zh-CN"/>
        </w:rPr>
        <w:t>大兴新城区域内的城市道路1139万平方米清扫保洁工作；完成大兴新城区域内居民生活垃圾及渣土的清运和消纳，按照要求“日产日清”作业标准，日收集转运其他垃圾量329吨；完成大兴新城区域内主次干道两侧57座公共厕所的日常清扫保洁及维护工作；粪便的清掏日处理量89.49吨；提供大兴新城区域内的环境卫生有偿服务工作；完成负责对大兴新城地区环卫作业设施的正常使用维护管理工作。</w:t>
      </w:r>
    </w:p>
    <w:p>
      <w:pPr>
        <w:spacing w:line="600" w:lineRule="exact"/>
        <w:ind w:left="105" w:leftChars="50" w:firstLine="480" w:firstLineChars="150"/>
        <w:rPr>
          <w:rFonts w:hint="eastAsia"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四</w:t>
      </w:r>
      <w:r>
        <w:rPr>
          <w:rFonts w:ascii="黑体" w:hAnsi="黑体" w:eastAsia="黑体" w:cs="宋体"/>
          <w:color w:val="000000"/>
          <w:kern w:val="0"/>
          <w:sz w:val="32"/>
          <w:szCs w:val="32"/>
          <w:highlight w:val="none"/>
        </w:rPr>
        <w:t>、预算管理</w:t>
      </w:r>
      <w:r>
        <w:rPr>
          <w:rFonts w:hint="eastAsia" w:ascii="黑体" w:hAnsi="黑体" w:eastAsia="黑体" w:cs="宋体"/>
          <w:color w:val="000000"/>
          <w:kern w:val="0"/>
          <w:sz w:val="32"/>
          <w:szCs w:val="32"/>
          <w:highlight w:val="none"/>
        </w:rPr>
        <w:t>情况分</w:t>
      </w:r>
      <w:r>
        <w:rPr>
          <w:rFonts w:ascii="黑体" w:hAnsi="黑体" w:eastAsia="黑体" w:cs="宋体"/>
          <w:color w:val="000000"/>
          <w:kern w:val="0"/>
          <w:sz w:val="32"/>
          <w:szCs w:val="32"/>
          <w:highlight w:val="none"/>
        </w:rPr>
        <w:t>析</w:t>
      </w:r>
    </w:p>
    <w:p>
      <w:p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（一）财务管理</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1.财务</w:t>
      </w:r>
      <w:r>
        <w:rPr>
          <w:rFonts w:ascii="仿宋_GB2312" w:hAnsi="宋体" w:eastAsia="仿宋_GB2312" w:cs="宋体"/>
          <w:color w:val="000000"/>
          <w:kern w:val="0"/>
          <w:sz w:val="32"/>
          <w:szCs w:val="32"/>
          <w:highlight w:val="none"/>
        </w:rPr>
        <w:t>管理制度健全性</w:t>
      </w:r>
    </w:p>
    <w:p>
      <w:pPr>
        <w:spacing w:line="600" w:lineRule="exact"/>
        <w:ind w:firstLine="600" w:firstLineChars="200"/>
        <w:rPr>
          <w:rFonts w:hint="eastAsia" w:ascii="仿宋_GB2312" w:hAnsi="宋体" w:eastAsia="仿宋_GB2312" w:cs="宋体"/>
          <w:color w:val="000000"/>
          <w:kern w:val="0"/>
          <w:sz w:val="30"/>
          <w:szCs w:val="30"/>
          <w:highlight w:val="none"/>
          <w:lang w:val="en-US" w:eastAsia="zh-CN"/>
        </w:rPr>
      </w:pPr>
      <w:r>
        <w:rPr>
          <w:rFonts w:hint="eastAsia" w:ascii="仿宋_GB2312" w:hAnsi="宋体" w:eastAsia="仿宋_GB2312" w:cs="宋体"/>
          <w:color w:val="000000"/>
          <w:kern w:val="0"/>
          <w:sz w:val="30"/>
          <w:szCs w:val="30"/>
          <w:highlight w:val="none"/>
          <w:lang w:val="en-US" w:eastAsia="zh-CN"/>
        </w:rPr>
        <w:t>单位已建立较为完善的资金管理制度体系，制定了预算资金管理办法、绩效跟踪管理办法，规范预算编制执行与绩效全周期监控；部门内部财务管理制度基本健全，明确资金收支、审批流程及集体决策执行要求；会计核算制度遵循相关准则确保账务规范。同时，通过加强内部控制制度培训学习，严格审批程序，强化各制度执行的规范性，保障资金管理有序运行。</w:t>
      </w:r>
    </w:p>
    <w:p>
      <w:pPr>
        <w:numPr>
          <w:ilvl w:val="0"/>
          <w:numId w:val="1"/>
        </w:numPr>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资金使用合规性</w:t>
      </w:r>
      <w:r>
        <w:rPr>
          <w:rFonts w:ascii="仿宋_GB2312" w:hAnsi="宋体" w:eastAsia="仿宋_GB2312" w:cs="宋体"/>
          <w:color w:val="000000"/>
          <w:kern w:val="0"/>
          <w:sz w:val="32"/>
          <w:szCs w:val="32"/>
          <w:highlight w:val="none"/>
        </w:rPr>
        <w:t>和安全性</w:t>
      </w:r>
    </w:p>
    <w:p>
      <w:pPr>
        <w:spacing w:line="600" w:lineRule="exact"/>
        <w:ind w:firstLine="600" w:firstLineChars="200"/>
        <w:rPr>
          <w:rFonts w:hint="eastAsia" w:ascii="仿宋_GB2312" w:hAnsi="宋体" w:eastAsia="仿宋_GB2312" w:cs="宋体"/>
          <w:color w:val="000000"/>
          <w:kern w:val="0"/>
          <w:sz w:val="30"/>
          <w:szCs w:val="30"/>
          <w:highlight w:val="none"/>
        </w:rPr>
      </w:pPr>
      <w:r>
        <w:rPr>
          <w:rFonts w:hint="eastAsia" w:ascii="仿宋_GB2312" w:hAnsi="宋体" w:eastAsia="仿宋_GB2312" w:cs="宋体"/>
          <w:color w:val="000000"/>
          <w:kern w:val="0"/>
          <w:sz w:val="30"/>
          <w:szCs w:val="30"/>
          <w:highlight w:val="none"/>
          <w:lang w:val="en-US" w:eastAsia="zh-CN"/>
        </w:rPr>
        <w:t>资金的拨付有较完整的审批程序和手续，基本符合国家财经法规和财务管理制度规定以及有关专项资金管理办法的规定。项目的重大开支经过党组会评估讨论；资金使用是否符合政府采购的程序和流程；资金使用是否符合公务卡结算相关制度和规定。</w:t>
      </w:r>
    </w:p>
    <w:p>
      <w:pPr>
        <w:numPr>
          <w:ilvl w:val="0"/>
          <w:numId w:val="1"/>
        </w:numPr>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会计</w:t>
      </w:r>
      <w:r>
        <w:rPr>
          <w:rFonts w:ascii="仿宋_GB2312" w:hAnsi="宋体" w:eastAsia="仿宋_GB2312" w:cs="宋体"/>
          <w:color w:val="000000"/>
          <w:kern w:val="0"/>
          <w:sz w:val="32"/>
          <w:szCs w:val="32"/>
          <w:highlight w:val="none"/>
        </w:rPr>
        <w:t>基础信息完善性</w:t>
      </w:r>
    </w:p>
    <w:p>
      <w:pPr>
        <w:spacing w:line="600" w:lineRule="exact"/>
        <w:ind w:firstLine="600" w:firstLineChars="200"/>
        <w:rPr>
          <w:rFonts w:hint="eastAsia" w:ascii="仿宋_GB2312" w:hAnsi="宋体" w:eastAsia="仿宋_GB2312" w:cs="宋体"/>
          <w:color w:val="000000"/>
          <w:kern w:val="0"/>
          <w:sz w:val="30"/>
          <w:szCs w:val="30"/>
          <w:highlight w:val="none"/>
          <w:lang w:val="en-US" w:eastAsia="zh-CN"/>
        </w:rPr>
      </w:pPr>
      <w:r>
        <w:rPr>
          <w:rFonts w:hint="eastAsia" w:ascii="仿宋_GB2312" w:hAnsi="宋体" w:eastAsia="仿宋_GB2312" w:cs="宋体"/>
          <w:color w:val="000000"/>
          <w:kern w:val="0"/>
          <w:sz w:val="30"/>
          <w:szCs w:val="30"/>
          <w:highlight w:val="none"/>
          <w:lang w:val="en-US" w:eastAsia="zh-CN"/>
        </w:rPr>
        <w:t>完善财务核算手续，加强对原始单据及应附资料的完整性、准确性、合规性、真实性、合法性的审核工作，规范财务行为。</w:t>
      </w:r>
    </w:p>
    <w:p>
      <w:pPr>
        <w:spacing w:line="600" w:lineRule="exact"/>
        <w:rPr>
          <w:rFonts w:hint="eastAsia" w:ascii="仿宋_GB2312" w:hAnsi="宋体" w:eastAsia="仿宋_GB2312" w:cs="宋体"/>
          <w:color w:val="000000"/>
          <w:kern w:val="0"/>
          <w:sz w:val="30"/>
          <w:szCs w:val="30"/>
          <w:highlight w:val="none"/>
          <w:lang w:val="en-US" w:eastAsia="zh-CN"/>
        </w:rPr>
      </w:pPr>
      <w:r>
        <w:rPr>
          <w:rFonts w:hint="eastAsia" w:ascii="仿宋_GB2312" w:hAnsi="宋体" w:eastAsia="仿宋_GB2312" w:cs="宋体"/>
          <w:color w:val="000000"/>
          <w:kern w:val="0"/>
          <w:sz w:val="30"/>
          <w:szCs w:val="30"/>
          <w:highlight w:val="none"/>
          <w:lang w:val="en-US" w:eastAsia="zh-CN"/>
        </w:rPr>
        <w:t>进一步加强会计核算，严格执行《政府会计准则》和《政府会计制度——行政事业单位会计科目和报表》的规定，规范会计科目的使用。同时对财务会计严格执行权责发生制原则，对于已经发生的经济业务或者事项，及时进行会计核算，不提前或者延后。</w:t>
      </w:r>
    </w:p>
    <w:p>
      <w:pPr>
        <w:spacing w:line="600" w:lineRule="exact"/>
        <w:ind w:left="105" w:leftChars="50" w:firstLine="480" w:firstLineChars="150"/>
        <w:rPr>
          <w:rFonts w:hint="eastAsia" w:ascii="楷体_GB2312" w:eastAsia="楷体_GB2312"/>
          <w:sz w:val="32"/>
          <w:szCs w:val="32"/>
          <w:highlight w:val="none"/>
        </w:rPr>
      </w:pPr>
      <w:r>
        <w:rPr>
          <w:rFonts w:hint="eastAsia" w:ascii="楷体_GB2312" w:eastAsia="楷体_GB2312"/>
          <w:sz w:val="32"/>
          <w:szCs w:val="32"/>
          <w:highlight w:val="none"/>
        </w:rPr>
        <w:t>（二）资产管理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制定单位资产管理制度，建立产权清晰、配置合理、处置规范、管理有序。确保资产安全完整，充分发挥效能的管理模式。严格执行主管部门规范要求。</w:t>
      </w:r>
    </w:p>
    <w:p>
      <w:p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（三）绩效</w:t>
      </w:r>
      <w:r>
        <w:rPr>
          <w:rFonts w:ascii="楷体_GB2312" w:eastAsia="楷体_GB2312"/>
          <w:sz w:val="32"/>
          <w:szCs w:val="32"/>
          <w:highlight w:val="none"/>
        </w:rPr>
        <w:t>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lang w:eastAsia="zh-CN"/>
        </w:rPr>
        <w:t>针对年度预算项目开展绩效评价，</w:t>
      </w:r>
      <w:r>
        <w:rPr>
          <w:rFonts w:hint="eastAsia" w:ascii="仿宋_GB2312" w:eastAsia="仿宋_GB2312"/>
          <w:sz w:val="32"/>
          <w:szCs w:val="32"/>
          <w:highlight w:val="none"/>
        </w:rPr>
        <w:t>切实加强自评结果的整理、分析，将自评结果作为本单位完善政策和改进管理的重要依据。对预算执行率偏低、偏离绩效目标较大、自评结果较差的项目，要单独说明原因，提出整改措施。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楷体_GB2312" w:eastAsia="楷体_GB2312"/>
          <w:sz w:val="32"/>
          <w:szCs w:val="32"/>
          <w:highlight w:val="none"/>
        </w:rPr>
      </w:pPr>
      <w:r>
        <w:rPr>
          <w:rFonts w:hint="eastAsia" w:ascii="仿宋_GB2312" w:eastAsia="仿宋_GB2312"/>
          <w:sz w:val="32"/>
          <w:szCs w:val="32"/>
          <w:highlight w:val="none"/>
        </w:rPr>
        <w:t>绩效评价工作完成后，及时出具绩效评价报告将评价结果反馈被评价主体，并明确整改时限；被评价主体应按照要求主管部门报送整改落实情况。</w:t>
      </w:r>
      <w:r>
        <w:rPr>
          <w:rFonts w:hint="eastAsia" w:ascii="仿宋_GB2312" w:eastAsia="仿宋_GB2312"/>
          <w:sz w:val="32"/>
          <w:szCs w:val="32"/>
          <w:highlight w:val="none"/>
          <w:lang w:eastAsia="zh-CN"/>
        </w:rPr>
        <w:t>同时</w:t>
      </w:r>
      <w:r>
        <w:rPr>
          <w:rFonts w:hint="eastAsia" w:ascii="仿宋_GB2312" w:eastAsia="仿宋_GB2312"/>
          <w:sz w:val="32"/>
          <w:szCs w:val="32"/>
          <w:highlight w:val="none"/>
        </w:rPr>
        <w:t>评价结果作为本部门安排预算、完善政策和改进管理的重要依据。原则上，对评价等级为优、良的，根据情况予以预算支持；对评价等级为中、差的，要完善政策、改进管理，根据情况核减预算。对不进行整改或整改不到位的，根据情况相应调减预算或不予安排。</w:t>
      </w:r>
    </w:p>
    <w:p>
      <w:p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（四）部门</w:t>
      </w:r>
      <w:r>
        <w:rPr>
          <w:rFonts w:ascii="楷体_GB2312" w:eastAsia="楷体_GB2312"/>
          <w:sz w:val="32"/>
          <w:szCs w:val="32"/>
          <w:highlight w:val="none"/>
        </w:rPr>
        <w:t>预决算差异率</w:t>
      </w:r>
    </w:p>
    <w:p>
      <w:pPr>
        <w:tabs>
          <w:tab w:val="center" w:pos="6979"/>
        </w:tabs>
        <w:spacing w:line="560" w:lineRule="exact"/>
        <w:ind w:firstLine="600" w:firstLineChars="200"/>
        <w:rPr>
          <w:rFonts w:ascii="楷体_GB2312" w:eastAsia="楷体_GB2312"/>
          <w:color w:val="auto"/>
          <w:sz w:val="32"/>
          <w:szCs w:val="32"/>
          <w:highlight w:val="none"/>
        </w:rPr>
      </w:pPr>
      <w:r>
        <w:rPr>
          <w:rFonts w:hint="eastAsia" w:ascii="仿宋_GB2312" w:hAnsi="宋体" w:eastAsia="仿宋_GB2312" w:cs="宋体"/>
          <w:color w:val="auto"/>
          <w:kern w:val="0"/>
          <w:sz w:val="30"/>
          <w:szCs w:val="30"/>
          <w:highlight w:val="none"/>
          <w:lang w:val="en-US" w:eastAsia="zh-CN"/>
        </w:rPr>
        <w:t>2024年</w:t>
      </w:r>
      <w:r>
        <w:rPr>
          <w:rFonts w:ascii="仿宋_GB2312" w:hAnsi="宋体" w:eastAsia="仿宋_GB2312" w:cs="宋体"/>
          <w:color w:val="auto"/>
          <w:kern w:val="0"/>
          <w:sz w:val="30"/>
          <w:szCs w:val="30"/>
          <w:highlight w:val="none"/>
        </w:rPr>
        <w:t>资金总体</w:t>
      </w:r>
      <w:r>
        <w:rPr>
          <w:rFonts w:hint="eastAsia" w:ascii="仿宋_GB2312" w:hAnsi="宋体" w:eastAsia="仿宋_GB2312" w:cs="宋体"/>
          <w:color w:val="auto"/>
          <w:kern w:val="0"/>
          <w:sz w:val="30"/>
          <w:szCs w:val="30"/>
          <w:highlight w:val="none"/>
        </w:rPr>
        <w:t>支出</w:t>
      </w:r>
      <w:r>
        <w:rPr>
          <w:rFonts w:hint="eastAsia" w:ascii="仿宋_GB2312" w:hAnsi="宋体" w:eastAsia="仿宋_GB2312" w:cs="宋体"/>
          <w:color w:val="auto"/>
          <w:kern w:val="0"/>
          <w:sz w:val="30"/>
          <w:szCs w:val="30"/>
          <w:highlight w:val="none"/>
          <w:lang w:val="en-US" w:eastAsia="zh-CN"/>
        </w:rPr>
        <w:t>27291.73</w:t>
      </w:r>
      <w:r>
        <w:rPr>
          <w:rFonts w:ascii="仿宋_GB2312" w:hAnsi="宋体" w:eastAsia="仿宋_GB2312" w:cs="宋体"/>
          <w:color w:val="auto"/>
          <w:kern w:val="0"/>
          <w:sz w:val="30"/>
          <w:szCs w:val="30"/>
          <w:highlight w:val="none"/>
        </w:rPr>
        <w:t>万元</w:t>
      </w:r>
      <w:r>
        <w:rPr>
          <w:rFonts w:hint="eastAsia" w:ascii="仿宋_GB2312" w:hAnsi="宋体" w:eastAsia="仿宋_GB2312" w:cs="宋体"/>
          <w:color w:val="auto"/>
          <w:kern w:val="0"/>
          <w:sz w:val="30"/>
          <w:szCs w:val="30"/>
          <w:highlight w:val="none"/>
          <w:lang w:eastAsia="zh-CN"/>
        </w:rPr>
        <w:t>，其中：</w:t>
      </w:r>
      <w:r>
        <w:rPr>
          <w:rFonts w:hint="eastAsia" w:ascii="仿宋_GB2312" w:eastAsia="仿宋_GB2312"/>
          <w:color w:val="auto"/>
          <w:sz w:val="30"/>
          <w:szCs w:val="30"/>
          <w:highlight w:val="none"/>
          <w:lang w:val="en-US" w:eastAsia="zh-CN"/>
        </w:rPr>
        <w:t>基本支出6728.55万元，</w:t>
      </w:r>
      <w:r>
        <w:rPr>
          <w:rFonts w:ascii="仿宋_GB2312" w:eastAsia="仿宋_GB2312"/>
          <w:color w:val="auto"/>
          <w:sz w:val="30"/>
          <w:szCs w:val="30"/>
          <w:highlight w:val="none"/>
        </w:rPr>
        <w:t>比</w:t>
      </w:r>
      <w:r>
        <w:rPr>
          <w:rFonts w:hint="eastAsia" w:ascii="仿宋_GB2312" w:eastAsia="仿宋_GB2312"/>
          <w:color w:val="auto"/>
          <w:sz w:val="30"/>
          <w:szCs w:val="30"/>
          <w:highlight w:val="none"/>
          <w:lang w:eastAsia="zh-CN"/>
        </w:rPr>
        <w:t>年初预算减少</w:t>
      </w:r>
      <w:r>
        <w:rPr>
          <w:rFonts w:hint="eastAsia" w:ascii="仿宋_GB2312" w:eastAsia="仿宋_GB2312"/>
          <w:color w:val="auto"/>
          <w:sz w:val="30"/>
          <w:szCs w:val="30"/>
          <w:highlight w:val="none"/>
          <w:lang w:val="en-US" w:eastAsia="zh-CN"/>
        </w:rPr>
        <w:t>149.99</w:t>
      </w:r>
      <w:r>
        <w:rPr>
          <w:rFonts w:hint="eastAsia" w:ascii="仿宋_GB2312" w:eastAsia="仿宋_GB2312"/>
          <w:color w:val="auto"/>
          <w:sz w:val="30"/>
          <w:szCs w:val="30"/>
          <w:highlight w:val="none"/>
        </w:rPr>
        <w:t>万元，</w:t>
      </w:r>
      <w:r>
        <w:rPr>
          <w:rFonts w:hint="eastAsia" w:ascii="仿宋_GB2312" w:eastAsia="仿宋_GB2312"/>
          <w:color w:val="auto"/>
          <w:sz w:val="30"/>
          <w:szCs w:val="30"/>
          <w:highlight w:val="none"/>
          <w:lang w:eastAsia="zh-CN"/>
        </w:rPr>
        <w:t>下降</w:t>
      </w:r>
      <w:r>
        <w:rPr>
          <w:rFonts w:hint="eastAsia" w:ascii="仿宋_GB2312" w:eastAsia="仿宋_GB2312"/>
          <w:color w:val="auto"/>
          <w:sz w:val="30"/>
          <w:szCs w:val="30"/>
          <w:highlight w:val="none"/>
          <w:lang w:val="en-US" w:eastAsia="zh-CN"/>
        </w:rPr>
        <w:t>2.18</w:t>
      </w:r>
      <w:r>
        <w:rPr>
          <w:rFonts w:hint="eastAsia" w:ascii="仿宋_GB2312" w:eastAsia="仿宋_GB2312"/>
          <w:color w:val="auto"/>
          <w:sz w:val="30"/>
          <w:szCs w:val="30"/>
          <w:highlight w:val="none"/>
        </w:rPr>
        <w:t>%</w:t>
      </w:r>
      <w:r>
        <w:rPr>
          <w:rFonts w:hint="eastAsia" w:ascii="仿宋_GB2312" w:eastAsia="仿宋_GB2312"/>
          <w:color w:val="auto"/>
          <w:sz w:val="30"/>
          <w:szCs w:val="30"/>
          <w:highlight w:val="none"/>
          <w:lang w:eastAsia="zh-CN"/>
        </w:rPr>
        <w:t>。主要原因退休人员增加，在职人员减少，社保基数调整减少。项目支出</w:t>
      </w:r>
      <w:r>
        <w:rPr>
          <w:rFonts w:hint="eastAsia" w:ascii="仿宋_GB2312" w:eastAsia="仿宋_GB2312"/>
          <w:color w:val="auto"/>
          <w:sz w:val="30"/>
          <w:szCs w:val="30"/>
          <w:highlight w:val="none"/>
          <w:lang w:val="en-US" w:eastAsia="zh-CN"/>
        </w:rPr>
        <w:t>20563.18万元，比初预算减少38.04万元，下降0.18%。主要原因为业务考核扣减业务绩效。</w:t>
      </w:r>
    </w:p>
    <w:p>
      <w:pPr>
        <w:spacing w:line="600" w:lineRule="exact"/>
        <w:ind w:left="105" w:leftChars="50" w:firstLine="480" w:firstLineChars="150"/>
        <w:rPr>
          <w:rFonts w:ascii="黑体" w:hAnsi="黑体" w:eastAsia="黑体"/>
          <w:sz w:val="32"/>
          <w:szCs w:val="32"/>
          <w:highlight w:val="none"/>
        </w:rPr>
      </w:pPr>
      <w:r>
        <w:rPr>
          <w:rFonts w:hint="eastAsia" w:ascii="黑体" w:hAnsi="黑体" w:eastAsia="黑体"/>
          <w:sz w:val="32"/>
          <w:szCs w:val="32"/>
          <w:highlight w:val="none"/>
        </w:rPr>
        <w:t>五、总体</w:t>
      </w:r>
      <w:r>
        <w:rPr>
          <w:rFonts w:ascii="黑体" w:hAnsi="黑体" w:eastAsia="黑体"/>
          <w:sz w:val="32"/>
          <w:szCs w:val="32"/>
          <w:highlight w:val="none"/>
        </w:rPr>
        <w:t>评价结论</w:t>
      </w:r>
    </w:p>
    <w:p>
      <w:pPr>
        <w:spacing w:line="600" w:lineRule="exact"/>
        <w:ind w:left="105" w:leftChars="50" w:firstLine="480" w:firstLineChars="150"/>
        <w:rPr>
          <w:rFonts w:hint="eastAsia" w:ascii="楷体_GB2312" w:eastAsia="楷体_GB2312"/>
          <w:sz w:val="32"/>
          <w:szCs w:val="32"/>
          <w:highlight w:val="none"/>
        </w:rPr>
      </w:pPr>
      <w:r>
        <w:rPr>
          <w:rFonts w:hint="eastAsia" w:ascii="楷体_GB2312" w:eastAsia="楷体_GB2312"/>
          <w:sz w:val="32"/>
          <w:szCs w:val="32"/>
          <w:highlight w:val="none"/>
        </w:rPr>
        <w:t>（一）评价</w:t>
      </w:r>
      <w:r>
        <w:rPr>
          <w:rFonts w:ascii="楷体_GB2312" w:eastAsia="楷体_GB2312"/>
          <w:sz w:val="32"/>
          <w:szCs w:val="32"/>
          <w:highlight w:val="none"/>
        </w:rPr>
        <w:t>得分</w:t>
      </w:r>
      <w:r>
        <w:rPr>
          <w:rFonts w:hint="eastAsia" w:ascii="楷体_GB2312" w:eastAsia="楷体_GB2312"/>
          <w:sz w:val="32"/>
          <w:szCs w:val="32"/>
          <w:highlight w:val="none"/>
        </w:rPr>
        <w:t>情况</w:t>
      </w:r>
    </w:p>
    <w:p>
      <w:pPr>
        <w:ind w:firstLine="640"/>
        <w:rPr>
          <w:rFonts w:hint="eastAsia" w:ascii="楷体_GB2312" w:eastAsia="楷体_GB2312"/>
          <w:sz w:val="32"/>
          <w:szCs w:val="32"/>
          <w:highlight w:val="none"/>
          <w:lang w:eastAsia="zh-CN"/>
        </w:rPr>
      </w:pPr>
      <w:r>
        <w:rPr>
          <w:rFonts w:hint="eastAsia" w:ascii="仿宋_GB2312" w:eastAsia="仿宋_GB2312"/>
          <w:sz w:val="32"/>
          <w:szCs w:val="32"/>
          <w:highlight w:val="none"/>
          <w:lang w:val="en-US" w:eastAsia="zh-CN"/>
        </w:rPr>
        <w:t>2024</w:t>
      </w:r>
      <w:r>
        <w:rPr>
          <w:rFonts w:hint="eastAsia" w:ascii="仿宋_GB2312" w:eastAsia="仿宋_GB2312"/>
          <w:sz w:val="32"/>
          <w:szCs w:val="32"/>
          <w:highlight w:val="none"/>
        </w:rPr>
        <w:t>年，</w:t>
      </w:r>
      <w:r>
        <w:rPr>
          <w:rFonts w:hint="eastAsia" w:ascii="仿宋_GB2312" w:eastAsia="仿宋_GB2312"/>
          <w:sz w:val="32"/>
          <w:szCs w:val="32"/>
          <w:highlight w:val="none"/>
          <w:lang w:eastAsia="zh-CN"/>
        </w:rPr>
        <w:t>北京市大兴区环境卫生服务中心</w:t>
      </w:r>
      <w:r>
        <w:rPr>
          <w:rFonts w:hint="eastAsia" w:ascii="仿宋_GB2312" w:eastAsia="仿宋_GB2312"/>
          <w:sz w:val="32"/>
          <w:szCs w:val="32"/>
          <w:highlight w:val="none"/>
        </w:rPr>
        <w:t>对</w:t>
      </w:r>
      <w:r>
        <w:rPr>
          <w:rFonts w:hint="eastAsia" w:ascii="仿宋_GB2312" w:eastAsia="仿宋_GB2312"/>
          <w:sz w:val="32"/>
          <w:szCs w:val="32"/>
          <w:highlight w:val="none"/>
          <w:lang w:eastAsia="zh-CN"/>
        </w:rPr>
        <w:t>2024</w:t>
      </w:r>
      <w:r>
        <w:rPr>
          <w:rFonts w:hint="eastAsia" w:ascii="仿宋_GB2312" w:eastAsia="仿宋_GB2312"/>
          <w:sz w:val="32"/>
          <w:szCs w:val="32"/>
          <w:highlight w:val="none"/>
        </w:rPr>
        <w:t>年度部门项目支出实施了绩效评价，评价项目</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rPr>
        <w:t>个，占部门项目总数的</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%，涉及金额</w:t>
      </w:r>
      <w:r>
        <w:rPr>
          <w:rFonts w:hint="eastAsia" w:ascii="仿宋_GB2312" w:eastAsia="仿宋_GB2312"/>
          <w:sz w:val="32"/>
          <w:szCs w:val="32"/>
          <w:highlight w:val="none"/>
          <w:lang w:val="en-US" w:eastAsia="zh-CN"/>
        </w:rPr>
        <w:t>20563.18</w:t>
      </w:r>
      <w:r>
        <w:rPr>
          <w:rFonts w:hint="eastAsia" w:ascii="仿宋_GB2312" w:eastAsia="仿宋_GB2312"/>
          <w:sz w:val="32"/>
          <w:szCs w:val="32"/>
          <w:highlight w:val="none"/>
        </w:rPr>
        <w:t>万元。其中，</w:t>
      </w:r>
      <w:r>
        <w:rPr>
          <w:rFonts w:hint="eastAsia" w:ascii="仿宋_GB2312" w:eastAsia="仿宋_GB2312"/>
          <w:sz w:val="32"/>
          <w:szCs w:val="32"/>
          <w:highlight w:val="none"/>
          <w:lang w:eastAsia="zh-CN"/>
        </w:rPr>
        <w:t>单位自评</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rPr>
        <w:t>个</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涉及金额</w:t>
      </w:r>
      <w:r>
        <w:rPr>
          <w:rFonts w:hint="eastAsia" w:ascii="仿宋_GB2312" w:eastAsia="仿宋_GB2312"/>
          <w:sz w:val="32"/>
          <w:szCs w:val="32"/>
          <w:highlight w:val="none"/>
          <w:lang w:val="en-US" w:eastAsia="zh-CN"/>
        </w:rPr>
        <w:t>20563.18</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评价得分在90分（含90分）以上的</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rPr>
        <w:t>个</w:t>
      </w:r>
      <w:r>
        <w:rPr>
          <w:rFonts w:hint="eastAsia" w:ascii="仿宋_GB2312" w:eastAsia="仿宋_GB2312"/>
          <w:sz w:val="32"/>
          <w:szCs w:val="32"/>
          <w:highlight w:val="none"/>
          <w:lang w:eastAsia="zh-CN"/>
        </w:rPr>
        <w:t>。部门评价</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个</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涉及金额</w:t>
      </w:r>
      <w:r>
        <w:rPr>
          <w:rFonts w:hint="eastAsia" w:ascii="仿宋_GB2312" w:eastAsia="仿宋_GB2312"/>
          <w:sz w:val="32"/>
          <w:szCs w:val="32"/>
          <w:highlight w:val="none"/>
          <w:lang w:val="en-US" w:eastAsia="zh-CN"/>
        </w:rPr>
        <w:t>2887.56</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评价得分在90分（含90分）以上的</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个</w:t>
      </w:r>
      <w:r>
        <w:rPr>
          <w:rFonts w:hint="eastAsia" w:ascii="仿宋_GB2312" w:eastAsia="仿宋_GB2312"/>
          <w:sz w:val="32"/>
          <w:szCs w:val="32"/>
          <w:highlight w:val="none"/>
          <w:lang w:eastAsia="zh-CN"/>
        </w:rPr>
        <w:t>。</w:t>
      </w:r>
    </w:p>
    <w:p>
      <w:pPr>
        <w:spacing w:line="600" w:lineRule="exact"/>
        <w:ind w:left="105" w:leftChars="50" w:firstLine="480" w:firstLineChars="150"/>
        <w:rPr>
          <w:rFonts w:hint="eastAsia" w:ascii="楷体_GB2312" w:eastAsia="楷体_GB2312"/>
          <w:sz w:val="32"/>
          <w:szCs w:val="32"/>
          <w:highlight w:val="none"/>
        </w:rPr>
      </w:pPr>
      <w:r>
        <w:rPr>
          <w:rFonts w:hint="eastAsia" w:ascii="楷体_GB2312" w:eastAsia="楷体_GB2312"/>
          <w:sz w:val="32"/>
          <w:szCs w:val="32"/>
          <w:highlight w:val="none"/>
        </w:rPr>
        <w:t>（二）存在的问题及原因分析</w:t>
      </w:r>
    </w:p>
    <w:p>
      <w:pPr>
        <w:ind w:firstLine="640"/>
        <w:rPr>
          <w:rFonts w:hint="eastAsia" w:ascii="仿宋_GB2312" w:eastAsia="仿宋_GB2312"/>
          <w:sz w:val="32"/>
          <w:szCs w:val="32"/>
          <w:highlight w:val="none"/>
          <w:lang w:eastAsia="zh-CN"/>
        </w:rPr>
      </w:pPr>
      <w:r>
        <w:rPr>
          <w:rFonts w:hint="eastAsia" w:ascii="宋体" w:hAnsi="宋体" w:eastAsia="宋体" w:cs="仿宋_GB2312"/>
          <w:sz w:val="28"/>
          <w:szCs w:val="28"/>
          <w:highlight w:val="none"/>
          <w:lang w:eastAsia="zh-CN"/>
        </w:rPr>
        <w:t>1.</w:t>
      </w:r>
      <w:r>
        <w:rPr>
          <w:rFonts w:hint="eastAsia" w:ascii="仿宋_GB2312" w:eastAsia="仿宋_GB2312"/>
          <w:sz w:val="32"/>
          <w:szCs w:val="32"/>
          <w:highlight w:val="none"/>
          <w:lang w:eastAsia="zh-CN"/>
        </w:rPr>
        <w:t>绩效目标填报规范性不足，依据项目特点科学合理量化设置绩效目标和绩效指标，绩效目标的设定应充分反映项目实施内容，提高绩效管理的意识和理念，项目执行过程中绩效资料的留存缺失，项目完成后，应针对绩效目标全面梳理绩效完成情况，充分反映项目绩效。</w:t>
      </w:r>
    </w:p>
    <w:p>
      <w:pPr>
        <w:ind w:firstLine="640"/>
        <w:rPr>
          <w:rFonts w:hint="eastAsia" w:ascii="楷体_GB2312" w:eastAsia="楷体_GB2312"/>
          <w:sz w:val="32"/>
          <w:szCs w:val="32"/>
          <w:highlight w:val="none"/>
        </w:rPr>
      </w:pPr>
      <w:r>
        <w:rPr>
          <w:rFonts w:hint="eastAsia" w:ascii="仿宋_GB2312" w:eastAsia="仿宋_GB2312"/>
          <w:sz w:val="32"/>
          <w:szCs w:val="32"/>
          <w:highlight w:val="none"/>
          <w:lang w:eastAsia="zh-CN"/>
        </w:rPr>
        <w:t>2.项目的组织管理不足，未制定项目组织管理方案、实施方案。预算编制缺乏科学合理性，项目资金保障条件、组织机构健全有效性、技术方案科学合理性、项目管理制度健全有效性、项目管控措施健全有效性等方面撰写存在不足。对项目过程的监督管理，总结项目实施的经验等力度不够。</w:t>
      </w:r>
    </w:p>
    <w:p>
      <w:pPr>
        <w:spacing w:line="600" w:lineRule="exact"/>
        <w:ind w:firstLine="640" w:firstLineChars="200"/>
        <w:rPr>
          <w:rFonts w:hint="eastAsia" w:ascii="黑体" w:hAnsi="黑体" w:eastAsia="黑体"/>
          <w:sz w:val="30"/>
          <w:szCs w:val="30"/>
          <w:highlight w:val="none"/>
          <w:lang w:val="en-US" w:eastAsia="zh-CN"/>
        </w:rPr>
      </w:pPr>
      <w:r>
        <w:rPr>
          <w:rFonts w:hint="eastAsia" w:ascii="黑体" w:hAnsi="黑体" w:eastAsia="黑体" w:cs="宋体"/>
          <w:color w:val="000000"/>
          <w:kern w:val="0"/>
          <w:sz w:val="32"/>
          <w:szCs w:val="32"/>
          <w:highlight w:val="none"/>
        </w:rPr>
        <w:t>六、措施建议</w:t>
      </w:r>
    </w:p>
    <w:p>
      <w:pPr>
        <w:ind w:firstLine="64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lang w:eastAsia="zh-CN"/>
        </w:rPr>
        <w:t>.建议加强预算编制和执行过程的资料呈现，在预算编制时应充分考虑专项修缮项目对于日常维护的影响，提高预算编制的准确性，同时应提供预算编制明细及依据；执行过程中的资料包括项目管理制度、维修台账、专用材料出入库单、监督检查资料等应全面呈现，进一步加强项目的组织管理。</w:t>
      </w:r>
    </w:p>
    <w:p>
      <w:pPr>
        <w:ind w:firstLine="64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lang w:eastAsia="zh-CN"/>
        </w:rPr>
        <w:t>.建议加强资金监管，加强预算刚性约束意识，严格按照预算范围使用资金，严禁超范围使用资金。</w:t>
      </w:r>
    </w:p>
    <w:p>
      <w:pPr>
        <w:ind w:firstLine="640" w:firstLineChars="200"/>
        <w:jc w:val="both"/>
        <w:rPr>
          <w:rFonts w:hint="eastAsia" w:ascii="方正小标宋简体" w:eastAsia="方正小标宋简体"/>
          <w:sz w:val="36"/>
          <w:szCs w:val="36"/>
          <w:highlight w:val="none"/>
        </w:rPr>
      </w:pP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lang w:eastAsia="zh-CN"/>
        </w:rPr>
        <w:t>.建议加强项目绩效资料的收集和归集工作，提升绩效管理意识和管理水平，建立项目绩效管理机制，清晰绩效管理目标指标，强化执行过程监管，力争圆满实现预期绩效。</w:t>
      </w:r>
    </w:p>
    <w:p>
      <w:pPr>
        <w:rPr>
          <w:rFonts w:hint="eastAsia" w:ascii="黑体" w:hAnsi="黑体" w:eastAsia="黑体"/>
          <w:sz w:val="30"/>
          <w:szCs w:val="30"/>
          <w:highlight w:val="none"/>
          <w:lang w:val="en-US" w:eastAsia="zh-CN"/>
        </w:rPr>
      </w:pPr>
      <w:r>
        <w:rPr>
          <w:rFonts w:hint="eastAsia" w:ascii="黑体" w:hAnsi="黑体" w:eastAsia="黑体"/>
          <w:sz w:val="30"/>
          <w:szCs w:val="30"/>
          <w:highlight w:val="none"/>
          <w:lang w:val="en-US" w:eastAsia="zh-CN"/>
        </w:rPr>
        <w:br w:type="page"/>
      </w:r>
    </w:p>
    <w:p>
      <w:pPr>
        <w:rPr>
          <w:rFonts w:ascii="黑体" w:hAnsi="黑体" w:eastAsia="黑体"/>
          <w:sz w:val="32"/>
          <w:szCs w:val="32"/>
          <w:highlight w:val="none"/>
        </w:rPr>
      </w:pPr>
    </w:p>
    <w:p>
      <w:pPr>
        <w:ind w:firstLine="720" w:firstLineChars="200"/>
        <w:jc w:val="center"/>
        <w:rPr>
          <w:rFonts w:hint="eastAsia" w:ascii="方正小标宋简体" w:eastAsia="方正小标宋简体"/>
          <w:sz w:val="36"/>
          <w:szCs w:val="36"/>
          <w:highlight w:val="none"/>
        </w:rPr>
      </w:pPr>
      <w:r>
        <w:rPr>
          <w:rFonts w:hint="eastAsia" w:ascii="方正小标宋简体" w:eastAsia="方正小标宋简体"/>
          <w:sz w:val="36"/>
          <w:szCs w:val="36"/>
          <w:highlight w:val="none"/>
          <w:lang w:eastAsia="zh-CN"/>
        </w:rPr>
        <w:t>部门评价及单位自评</w:t>
      </w:r>
      <w:r>
        <w:rPr>
          <w:rFonts w:hint="eastAsia" w:ascii="方正小标宋简体" w:eastAsia="方正小标宋简体"/>
          <w:sz w:val="36"/>
          <w:szCs w:val="36"/>
          <w:highlight w:val="none"/>
        </w:rPr>
        <w:t>项目统计表</w:t>
      </w:r>
    </w:p>
    <w:p>
      <w:pPr>
        <w:ind w:firstLine="6860" w:firstLineChars="2450"/>
        <w:rPr>
          <w:rFonts w:ascii="仿宋_GB2312" w:eastAsia="仿宋_GB2312"/>
          <w:sz w:val="28"/>
          <w:szCs w:val="28"/>
          <w:highlight w:val="none"/>
        </w:rPr>
      </w:pPr>
    </w:p>
    <w:tbl>
      <w:tblPr>
        <w:tblStyle w:val="7"/>
        <w:tblW w:w="95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2"/>
        <w:gridCol w:w="1412"/>
        <w:gridCol w:w="2450"/>
        <w:gridCol w:w="755"/>
        <w:gridCol w:w="755"/>
        <w:gridCol w:w="755"/>
        <w:gridCol w:w="755"/>
        <w:gridCol w:w="1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3" w:hRule="atLeast"/>
          <w:jc w:val="center"/>
        </w:trPr>
        <w:tc>
          <w:tcPr>
            <w:tcW w:w="1402" w:type="dxa"/>
            <w:vMerge w:val="restart"/>
            <w:vAlign w:val="center"/>
          </w:tcPr>
          <w:p>
            <w:pPr>
              <w:jc w:val="center"/>
              <w:rPr>
                <w:rFonts w:ascii="仿宋_GB2312" w:hAnsi="Calibri" w:eastAsia="仿宋_GB2312"/>
                <w:sz w:val="28"/>
                <w:szCs w:val="28"/>
                <w:highlight w:val="none"/>
              </w:rPr>
            </w:pPr>
            <w:r>
              <w:rPr>
                <w:rFonts w:hint="eastAsia" w:ascii="仿宋_GB2312" w:hAnsi="Calibri" w:eastAsia="仿宋_GB2312"/>
                <w:sz w:val="28"/>
                <w:szCs w:val="28"/>
                <w:highlight w:val="none"/>
              </w:rPr>
              <w:t>评价</w:t>
            </w:r>
            <w:r>
              <w:rPr>
                <w:rFonts w:ascii="仿宋_GB2312" w:hAnsi="Calibri" w:eastAsia="仿宋_GB2312"/>
                <w:sz w:val="28"/>
                <w:szCs w:val="28"/>
                <w:highlight w:val="none"/>
              </w:rPr>
              <w:t>方法</w:t>
            </w:r>
          </w:p>
        </w:tc>
        <w:tc>
          <w:tcPr>
            <w:tcW w:w="1412" w:type="dxa"/>
            <w:vMerge w:val="restart"/>
            <w:vAlign w:val="top"/>
          </w:tcPr>
          <w:p>
            <w:pPr>
              <w:ind w:left="140" w:hanging="140" w:hangingChars="50"/>
              <w:rPr>
                <w:rFonts w:ascii="仿宋_GB2312" w:hAnsi="Calibri" w:eastAsia="仿宋_GB2312"/>
                <w:sz w:val="28"/>
                <w:szCs w:val="28"/>
                <w:highlight w:val="none"/>
              </w:rPr>
            </w:pPr>
            <w:r>
              <w:rPr>
                <w:rFonts w:hint="eastAsia" w:ascii="仿宋_GB2312" w:hAnsi="Calibri" w:eastAsia="仿宋_GB2312"/>
                <w:sz w:val="28"/>
                <w:szCs w:val="28"/>
                <w:highlight w:val="none"/>
              </w:rPr>
              <w:t>项目数量（个）</w:t>
            </w:r>
          </w:p>
        </w:tc>
        <w:tc>
          <w:tcPr>
            <w:tcW w:w="2450" w:type="dxa"/>
            <w:vMerge w:val="restart"/>
            <w:vAlign w:val="top"/>
          </w:tcPr>
          <w:p>
            <w:pPr>
              <w:jc w:val="center"/>
              <w:rPr>
                <w:rFonts w:ascii="仿宋_GB2312" w:hAnsi="Calibri" w:eastAsia="仿宋_GB2312"/>
                <w:sz w:val="28"/>
                <w:szCs w:val="28"/>
                <w:highlight w:val="none"/>
              </w:rPr>
            </w:pPr>
            <w:r>
              <w:rPr>
                <w:rFonts w:hint="eastAsia" w:ascii="仿宋_GB2312" w:hAnsi="Calibri" w:eastAsia="仿宋_GB2312"/>
                <w:sz w:val="28"/>
                <w:szCs w:val="28"/>
                <w:highlight w:val="none"/>
              </w:rPr>
              <w:t>项目金额</w:t>
            </w:r>
          </w:p>
          <w:p>
            <w:pPr>
              <w:ind w:firstLine="140" w:firstLineChars="50"/>
              <w:jc w:val="center"/>
              <w:rPr>
                <w:rFonts w:ascii="仿宋_GB2312" w:hAnsi="Calibri" w:eastAsia="仿宋_GB2312"/>
                <w:sz w:val="28"/>
                <w:szCs w:val="28"/>
                <w:highlight w:val="none"/>
              </w:rPr>
            </w:pPr>
            <w:r>
              <w:rPr>
                <w:rFonts w:hint="eastAsia" w:ascii="仿宋_GB2312" w:hAnsi="Calibri" w:eastAsia="仿宋_GB2312"/>
                <w:sz w:val="28"/>
                <w:szCs w:val="28"/>
                <w:highlight w:val="none"/>
              </w:rPr>
              <w:t>(元)</w:t>
            </w:r>
          </w:p>
        </w:tc>
        <w:tc>
          <w:tcPr>
            <w:tcW w:w="3020" w:type="dxa"/>
            <w:gridSpan w:val="4"/>
            <w:vAlign w:val="top"/>
          </w:tcPr>
          <w:p>
            <w:pPr>
              <w:ind w:firstLine="140" w:firstLineChars="50"/>
              <w:rPr>
                <w:rFonts w:ascii="仿宋_GB2312" w:hAnsi="Calibri" w:eastAsia="仿宋_GB2312"/>
                <w:sz w:val="28"/>
                <w:szCs w:val="28"/>
                <w:highlight w:val="none"/>
              </w:rPr>
            </w:pPr>
            <w:r>
              <w:rPr>
                <w:rFonts w:hint="eastAsia" w:ascii="仿宋_GB2312" w:hAnsi="Calibri" w:eastAsia="仿宋_GB2312"/>
                <w:sz w:val="28"/>
                <w:szCs w:val="28"/>
                <w:highlight w:val="none"/>
              </w:rPr>
              <w:t>评价</w:t>
            </w:r>
            <w:r>
              <w:rPr>
                <w:rFonts w:ascii="仿宋_GB2312" w:hAnsi="Calibri" w:eastAsia="仿宋_GB2312"/>
                <w:sz w:val="28"/>
                <w:szCs w:val="28"/>
                <w:highlight w:val="none"/>
              </w:rPr>
              <w:t>结果</w:t>
            </w:r>
            <w:r>
              <w:rPr>
                <w:rFonts w:hint="eastAsia" w:ascii="仿宋_GB2312" w:hAnsi="Calibri" w:eastAsia="仿宋_GB2312"/>
                <w:sz w:val="28"/>
                <w:szCs w:val="28"/>
                <w:highlight w:val="none"/>
              </w:rPr>
              <w:t>（项目个数）</w:t>
            </w:r>
          </w:p>
        </w:tc>
        <w:tc>
          <w:tcPr>
            <w:tcW w:w="1283" w:type="dxa"/>
            <w:vMerge w:val="restart"/>
            <w:vAlign w:val="center"/>
          </w:tcPr>
          <w:p>
            <w:pPr>
              <w:jc w:val="center"/>
              <w:rPr>
                <w:rFonts w:ascii="仿宋_GB2312" w:hAnsi="Calibri" w:eastAsia="仿宋_GB2312"/>
                <w:sz w:val="28"/>
                <w:szCs w:val="28"/>
                <w:highlight w:val="none"/>
              </w:rPr>
            </w:pPr>
            <w:r>
              <w:rPr>
                <w:rFonts w:hint="eastAsia" w:ascii="仿宋_GB2312" w:hAnsi="Calibri" w:eastAsia="仿宋_GB2312"/>
                <w:sz w:val="28"/>
                <w:szCs w:val="2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jc w:val="center"/>
        </w:trPr>
        <w:tc>
          <w:tcPr>
            <w:tcW w:w="1402" w:type="dxa"/>
            <w:vMerge w:val="continue"/>
            <w:vAlign w:val="top"/>
          </w:tcPr>
          <w:p>
            <w:pPr>
              <w:jc w:val="center"/>
              <w:rPr>
                <w:rFonts w:ascii="仿宋_GB2312" w:hAnsi="Calibri" w:eastAsia="仿宋_GB2312"/>
                <w:sz w:val="28"/>
                <w:szCs w:val="28"/>
                <w:highlight w:val="none"/>
              </w:rPr>
            </w:pPr>
          </w:p>
        </w:tc>
        <w:tc>
          <w:tcPr>
            <w:tcW w:w="1412" w:type="dxa"/>
            <w:vMerge w:val="continue"/>
            <w:vAlign w:val="top"/>
          </w:tcPr>
          <w:p>
            <w:pPr>
              <w:rPr>
                <w:rFonts w:ascii="仿宋_GB2312" w:hAnsi="Calibri" w:eastAsia="仿宋_GB2312"/>
                <w:sz w:val="28"/>
                <w:szCs w:val="28"/>
                <w:highlight w:val="none"/>
              </w:rPr>
            </w:pPr>
          </w:p>
        </w:tc>
        <w:tc>
          <w:tcPr>
            <w:tcW w:w="2450" w:type="dxa"/>
            <w:vMerge w:val="continue"/>
            <w:vAlign w:val="top"/>
          </w:tcPr>
          <w:p>
            <w:pPr>
              <w:rPr>
                <w:rFonts w:ascii="仿宋_GB2312" w:hAnsi="Calibri" w:eastAsia="仿宋_GB2312"/>
                <w:sz w:val="28"/>
                <w:szCs w:val="28"/>
                <w:highlight w:val="none"/>
              </w:rPr>
            </w:pPr>
          </w:p>
        </w:tc>
        <w:tc>
          <w:tcPr>
            <w:tcW w:w="755" w:type="dxa"/>
            <w:vAlign w:val="top"/>
          </w:tcPr>
          <w:p>
            <w:pPr>
              <w:jc w:val="center"/>
              <w:rPr>
                <w:rFonts w:ascii="仿宋_GB2312" w:hAnsi="Calibri" w:eastAsia="仿宋_GB2312"/>
                <w:sz w:val="28"/>
                <w:szCs w:val="28"/>
                <w:highlight w:val="none"/>
              </w:rPr>
            </w:pPr>
            <w:r>
              <w:rPr>
                <w:rFonts w:hint="eastAsia" w:ascii="仿宋_GB2312" w:hAnsi="Calibri" w:eastAsia="仿宋_GB2312"/>
                <w:sz w:val="28"/>
                <w:szCs w:val="28"/>
                <w:highlight w:val="none"/>
              </w:rPr>
              <w:t>优</w:t>
            </w:r>
          </w:p>
        </w:tc>
        <w:tc>
          <w:tcPr>
            <w:tcW w:w="755" w:type="dxa"/>
            <w:vAlign w:val="top"/>
          </w:tcPr>
          <w:p>
            <w:pPr>
              <w:jc w:val="center"/>
              <w:rPr>
                <w:rFonts w:ascii="仿宋_GB2312" w:hAnsi="Calibri" w:eastAsia="仿宋_GB2312"/>
                <w:sz w:val="28"/>
                <w:szCs w:val="28"/>
                <w:highlight w:val="none"/>
              </w:rPr>
            </w:pPr>
            <w:r>
              <w:rPr>
                <w:rFonts w:hint="eastAsia" w:ascii="仿宋_GB2312" w:hAnsi="Calibri" w:eastAsia="仿宋_GB2312"/>
                <w:sz w:val="28"/>
                <w:szCs w:val="28"/>
                <w:highlight w:val="none"/>
              </w:rPr>
              <w:t>良</w:t>
            </w:r>
          </w:p>
        </w:tc>
        <w:tc>
          <w:tcPr>
            <w:tcW w:w="755" w:type="dxa"/>
            <w:vAlign w:val="top"/>
          </w:tcPr>
          <w:p>
            <w:pPr>
              <w:jc w:val="center"/>
              <w:rPr>
                <w:rFonts w:hint="eastAsia" w:ascii="仿宋_GB2312" w:hAnsi="Calibri" w:eastAsia="仿宋_GB2312"/>
                <w:sz w:val="28"/>
                <w:szCs w:val="28"/>
                <w:highlight w:val="none"/>
                <w:lang w:eastAsia="zh-CN"/>
              </w:rPr>
            </w:pPr>
            <w:r>
              <w:rPr>
                <w:rFonts w:hint="eastAsia" w:ascii="仿宋_GB2312" w:hAnsi="Calibri" w:eastAsia="仿宋_GB2312"/>
                <w:sz w:val="28"/>
                <w:szCs w:val="28"/>
                <w:highlight w:val="none"/>
                <w:lang w:eastAsia="zh-CN"/>
              </w:rPr>
              <w:t>中</w:t>
            </w:r>
          </w:p>
        </w:tc>
        <w:tc>
          <w:tcPr>
            <w:tcW w:w="755" w:type="dxa"/>
            <w:vAlign w:val="top"/>
          </w:tcPr>
          <w:p>
            <w:pPr>
              <w:jc w:val="center"/>
              <w:rPr>
                <w:rFonts w:ascii="仿宋_GB2312" w:hAnsi="Calibri" w:eastAsia="仿宋_GB2312"/>
                <w:sz w:val="28"/>
                <w:szCs w:val="28"/>
                <w:highlight w:val="none"/>
              </w:rPr>
            </w:pPr>
            <w:r>
              <w:rPr>
                <w:rFonts w:hint="eastAsia" w:ascii="仿宋_GB2312" w:hAnsi="Calibri" w:eastAsia="仿宋_GB2312"/>
                <w:sz w:val="28"/>
                <w:szCs w:val="28"/>
                <w:highlight w:val="none"/>
              </w:rPr>
              <w:t>差</w:t>
            </w:r>
          </w:p>
        </w:tc>
        <w:tc>
          <w:tcPr>
            <w:tcW w:w="1283" w:type="dxa"/>
            <w:vMerge w:val="continue"/>
            <w:vAlign w:val="top"/>
          </w:tcPr>
          <w:p>
            <w:pPr>
              <w:rPr>
                <w:rFonts w:ascii="仿宋_GB2312" w:hAnsi="Calibri" w:eastAsia="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402" w:type="dxa"/>
            <w:vAlign w:val="top"/>
          </w:tcPr>
          <w:p>
            <w:pPr>
              <w:jc w:val="center"/>
              <w:rPr>
                <w:rFonts w:hint="eastAsia" w:ascii="仿宋_GB2312" w:hAnsi="Calibri" w:eastAsia="仿宋_GB2312"/>
                <w:sz w:val="28"/>
                <w:szCs w:val="28"/>
                <w:highlight w:val="none"/>
                <w:lang w:eastAsia="zh-CN"/>
              </w:rPr>
            </w:pPr>
            <w:r>
              <w:rPr>
                <w:rFonts w:hint="eastAsia" w:ascii="仿宋_GB2312" w:hAnsi="Calibri" w:eastAsia="仿宋_GB2312"/>
                <w:sz w:val="28"/>
                <w:szCs w:val="28"/>
                <w:highlight w:val="none"/>
                <w:lang w:eastAsia="zh-CN"/>
              </w:rPr>
              <w:t>单位自评</w:t>
            </w:r>
          </w:p>
        </w:tc>
        <w:tc>
          <w:tcPr>
            <w:tcW w:w="1412" w:type="dxa"/>
            <w:vAlign w:val="top"/>
          </w:tcPr>
          <w:p>
            <w:pPr>
              <w:rPr>
                <w:rFonts w:hint="default" w:ascii="仿宋_GB2312" w:hAnsi="Calibri" w:eastAsia="仿宋_GB2312"/>
                <w:sz w:val="28"/>
                <w:szCs w:val="28"/>
                <w:highlight w:val="yellow"/>
                <w:lang w:val="en-US" w:eastAsia="zh-CN"/>
              </w:rPr>
            </w:pPr>
            <w:r>
              <w:rPr>
                <w:rFonts w:hint="eastAsia" w:ascii="仿宋_GB2312" w:hAnsi="Calibri" w:eastAsia="仿宋_GB2312"/>
                <w:sz w:val="28"/>
                <w:szCs w:val="28"/>
                <w:highlight w:val="none"/>
                <w:lang w:val="en-US" w:eastAsia="zh-CN"/>
              </w:rPr>
              <w:t>20</w:t>
            </w:r>
          </w:p>
        </w:tc>
        <w:tc>
          <w:tcPr>
            <w:tcW w:w="2450" w:type="dxa"/>
            <w:vAlign w:val="top"/>
          </w:tcPr>
          <w:p>
            <w:pPr>
              <w:rPr>
                <w:rFonts w:hint="default" w:ascii="仿宋_GB2312" w:hAnsi="Calibri" w:eastAsia="仿宋_GB2312"/>
                <w:sz w:val="28"/>
                <w:szCs w:val="28"/>
                <w:highlight w:val="yellow"/>
                <w:lang w:val="en-US" w:eastAsia="zh-CN"/>
              </w:rPr>
            </w:pPr>
            <w:r>
              <w:rPr>
                <w:rFonts w:hint="eastAsia" w:ascii="仿宋_GB2312" w:hAnsi="Calibri" w:eastAsia="仿宋_GB2312"/>
                <w:sz w:val="28"/>
                <w:szCs w:val="28"/>
                <w:highlight w:val="none"/>
                <w:lang w:val="en-US" w:eastAsia="zh-CN"/>
              </w:rPr>
              <w:t>205631787.67</w:t>
            </w:r>
          </w:p>
        </w:tc>
        <w:tc>
          <w:tcPr>
            <w:tcW w:w="755" w:type="dxa"/>
            <w:vAlign w:val="top"/>
          </w:tcPr>
          <w:p>
            <w:pPr>
              <w:rPr>
                <w:rFonts w:hint="default" w:ascii="仿宋_GB2312" w:hAnsi="Calibri" w:eastAsia="仿宋_GB2312"/>
                <w:sz w:val="28"/>
                <w:szCs w:val="28"/>
                <w:highlight w:val="yellow"/>
                <w:lang w:val="en-US" w:eastAsia="zh-CN"/>
              </w:rPr>
            </w:pPr>
            <w:r>
              <w:rPr>
                <w:rFonts w:hint="eastAsia" w:ascii="仿宋_GB2312" w:hAnsi="Calibri" w:eastAsia="仿宋_GB2312"/>
                <w:sz w:val="28"/>
                <w:szCs w:val="28"/>
                <w:highlight w:val="none"/>
                <w:lang w:val="en-US" w:eastAsia="zh-CN"/>
              </w:rPr>
              <w:t>20</w:t>
            </w:r>
          </w:p>
        </w:tc>
        <w:tc>
          <w:tcPr>
            <w:tcW w:w="755" w:type="dxa"/>
            <w:vAlign w:val="top"/>
          </w:tcPr>
          <w:p>
            <w:pPr>
              <w:rPr>
                <w:rFonts w:ascii="仿宋_GB2312" w:hAnsi="Calibri" w:eastAsia="仿宋_GB2312"/>
                <w:sz w:val="28"/>
                <w:szCs w:val="28"/>
                <w:highlight w:val="none"/>
              </w:rPr>
            </w:pPr>
          </w:p>
        </w:tc>
        <w:tc>
          <w:tcPr>
            <w:tcW w:w="755" w:type="dxa"/>
            <w:vAlign w:val="top"/>
          </w:tcPr>
          <w:p>
            <w:pPr>
              <w:rPr>
                <w:rFonts w:ascii="仿宋_GB2312" w:hAnsi="Calibri" w:eastAsia="仿宋_GB2312"/>
                <w:sz w:val="28"/>
                <w:szCs w:val="28"/>
                <w:highlight w:val="none"/>
              </w:rPr>
            </w:pPr>
          </w:p>
        </w:tc>
        <w:tc>
          <w:tcPr>
            <w:tcW w:w="755" w:type="dxa"/>
            <w:vAlign w:val="top"/>
          </w:tcPr>
          <w:p>
            <w:pPr>
              <w:rPr>
                <w:rFonts w:ascii="仿宋_GB2312" w:hAnsi="Calibri" w:eastAsia="仿宋_GB2312"/>
                <w:sz w:val="28"/>
                <w:szCs w:val="28"/>
                <w:highlight w:val="none"/>
              </w:rPr>
            </w:pPr>
          </w:p>
        </w:tc>
        <w:tc>
          <w:tcPr>
            <w:tcW w:w="1283" w:type="dxa"/>
            <w:vAlign w:val="top"/>
          </w:tcPr>
          <w:p>
            <w:pPr>
              <w:rPr>
                <w:rFonts w:ascii="仿宋_GB2312" w:hAnsi="Calibri" w:eastAsia="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402" w:type="dxa"/>
            <w:vAlign w:val="top"/>
          </w:tcPr>
          <w:p>
            <w:pPr>
              <w:jc w:val="center"/>
              <w:rPr>
                <w:rFonts w:hint="eastAsia" w:ascii="仿宋_GB2312" w:hAnsi="Calibri" w:eastAsia="仿宋_GB2312"/>
                <w:sz w:val="28"/>
                <w:szCs w:val="28"/>
                <w:highlight w:val="none"/>
                <w:lang w:eastAsia="zh-CN"/>
              </w:rPr>
            </w:pPr>
            <w:r>
              <w:rPr>
                <w:rFonts w:hint="eastAsia" w:ascii="仿宋_GB2312" w:hAnsi="Calibri" w:eastAsia="仿宋_GB2312"/>
                <w:sz w:val="28"/>
                <w:szCs w:val="28"/>
                <w:highlight w:val="none"/>
                <w:lang w:eastAsia="zh-CN"/>
              </w:rPr>
              <w:t>部门评价</w:t>
            </w:r>
          </w:p>
        </w:tc>
        <w:tc>
          <w:tcPr>
            <w:tcW w:w="1412" w:type="dxa"/>
            <w:vAlign w:val="top"/>
          </w:tcPr>
          <w:p>
            <w:pPr>
              <w:rPr>
                <w:rFonts w:hint="eastAsia" w:ascii="仿宋_GB2312" w:hAnsi="Calibri" w:eastAsia="仿宋_GB2312"/>
                <w:sz w:val="28"/>
                <w:szCs w:val="28"/>
                <w:highlight w:val="none"/>
                <w:lang w:val="en-US" w:eastAsia="zh-CN"/>
              </w:rPr>
            </w:pPr>
            <w:r>
              <w:rPr>
                <w:rFonts w:hint="eastAsia" w:ascii="仿宋_GB2312" w:hAnsi="Calibri" w:eastAsia="仿宋_GB2312"/>
                <w:sz w:val="28"/>
                <w:szCs w:val="28"/>
                <w:highlight w:val="none"/>
                <w:lang w:val="en-US" w:eastAsia="zh-CN"/>
              </w:rPr>
              <w:t>1</w:t>
            </w:r>
          </w:p>
        </w:tc>
        <w:tc>
          <w:tcPr>
            <w:tcW w:w="2450" w:type="dxa"/>
            <w:vAlign w:val="top"/>
          </w:tcPr>
          <w:p>
            <w:pPr>
              <w:rPr>
                <w:rFonts w:hint="default" w:ascii="仿宋_GB2312" w:hAnsi="Calibri" w:eastAsia="仿宋_GB2312"/>
                <w:sz w:val="28"/>
                <w:szCs w:val="28"/>
                <w:highlight w:val="none"/>
                <w:lang w:val="en-US" w:eastAsia="zh-CN"/>
              </w:rPr>
            </w:pPr>
            <w:r>
              <w:rPr>
                <w:rFonts w:hint="eastAsia" w:ascii="仿宋_GB2312" w:hAnsi="Calibri" w:eastAsia="仿宋_GB2312"/>
                <w:sz w:val="28"/>
                <w:szCs w:val="28"/>
                <w:highlight w:val="none"/>
                <w:lang w:val="en-US" w:eastAsia="zh-CN"/>
              </w:rPr>
              <w:t>28875619.1</w:t>
            </w:r>
          </w:p>
        </w:tc>
        <w:tc>
          <w:tcPr>
            <w:tcW w:w="755" w:type="dxa"/>
            <w:vAlign w:val="top"/>
          </w:tcPr>
          <w:p>
            <w:pPr>
              <w:rPr>
                <w:rFonts w:hint="eastAsia" w:ascii="仿宋_GB2312" w:hAnsi="Calibri" w:eastAsia="仿宋_GB2312"/>
                <w:sz w:val="28"/>
                <w:szCs w:val="28"/>
                <w:highlight w:val="none"/>
                <w:lang w:val="en-US" w:eastAsia="zh-CN"/>
              </w:rPr>
            </w:pPr>
            <w:r>
              <w:rPr>
                <w:rFonts w:hint="eastAsia" w:ascii="仿宋_GB2312" w:hAnsi="Calibri" w:eastAsia="仿宋_GB2312"/>
                <w:sz w:val="28"/>
                <w:szCs w:val="28"/>
                <w:highlight w:val="none"/>
                <w:lang w:val="en-US" w:eastAsia="zh-CN"/>
              </w:rPr>
              <w:t>1</w:t>
            </w:r>
          </w:p>
        </w:tc>
        <w:tc>
          <w:tcPr>
            <w:tcW w:w="755" w:type="dxa"/>
            <w:vAlign w:val="top"/>
          </w:tcPr>
          <w:p>
            <w:pPr>
              <w:rPr>
                <w:rFonts w:ascii="仿宋_GB2312" w:hAnsi="Calibri" w:eastAsia="仿宋_GB2312"/>
                <w:sz w:val="28"/>
                <w:szCs w:val="28"/>
                <w:highlight w:val="none"/>
              </w:rPr>
            </w:pPr>
          </w:p>
        </w:tc>
        <w:tc>
          <w:tcPr>
            <w:tcW w:w="755" w:type="dxa"/>
            <w:vAlign w:val="top"/>
          </w:tcPr>
          <w:p>
            <w:pPr>
              <w:rPr>
                <w:rFonts w:ascii="仿宋_GB2312" w:hAnsi="Calibri" w:eastAsia="仿宋_GB2312"/>
                <w:sz w:val="28"/>
                <w:szCs w:val="28"/>
                <w:highlight w:val="none"/>
              </w:rPr>
            </w:pPr>
          </w:p>
        </w:tc>
        <w:tc>
          <w:tcPr>
            <w:tcW w:w="755" w:type="dxa"/>
            <w:vAlign w:val="top"/>
          </w:tcPr>
          <w:p>
            <w:pPr>
              <w:rPr>
                <w:rFonts w:ascii="仿宋_GB2312" w:hAnsi="Calibri" w:eastAsia="仿宋_GB2312"/>
                <w:sz w:val="28"/>
                <w:szCs w:val="28"/>
                <w:highlight w:val="none"/>
              </w:rPr>
            </w:pPr>
          </w:p>
        </w:tc>
        <w:tc>
          <w:tcPr>
            <w:tcW w:w="1283" w:type="dxa"/>
            <w:vAlign w:val="top"/>
          </w:tcPr>
          <w:p>
            <w:pPr>
              <w:rPr>
                <w:rFonts w:ascii="仿宋_GB2312" w:hAnsi="Calibri" w:eastAsia="仿宋_GB2312"/>
                <w:sz w:val="28"/>
                <w:szCs w:val="28"/>
                <w:highlight w:val="none"/>
              </w:rPr>
            </w:pPr>
          </w:p>
        </w:tc>
      </w:tr>
    </w:tbl>
    <w:p>
      <w:pPr>
        <w:rPr>
          <w:rFonts w:ascii="仿宋_GB2312" w:eastAsia="仿宋_GB2312"/>
          <w:b/>
          <w:sz w:val="32"/>
          <w:szCs w:val="32"/>
          <w:highlight w:val="none"/>
        </w:rPr>
      </w:pPr>
    </w:p>
    <w:p>
      <w:pPr>
        <w:spacing w:line="500" w:lineRule="exact"/>
        <w:rPr>
          <w:rFonts w:hint="eastAsia" w:ascii="仿宋_GB2312" w:eastAsia="仿宋_GB2312"/>
          <w:sz w:val="28"/>
          <w:szCs w:val="28"/>
          <w:highlight w:val="none"/>
        </w:rPr>
      </w:pPr>
      <w:r>
        <w:rPr>
          <w:rFonts w:hint="eastAsia" w:ascii="仿宋_GB2312" w:eastAsia="仿宋_GB2312"/>
          <w:sz w:val="28"/>
          <w:szCs w:val="28"/>
          <w:highlight w:val="none"/>
        </w:rPr>
        <w:t>注</w:t>
      </w:r>
      <w:r>
        <w:rPr>
          <w:rFonts w:ascii="仿宋_GB2312" w:eastAsia="仿宋_GB2312"/>
          <w:sz w:val="28"/>
          <w:szCs w:val="28"/>
          <w:highlight w:val="none"/>
        </w:rPr>
        <w:t>：</w:t>
      </w:r>
      <w:r>
        <w:rPr>
          <w:rFonts w:hint="eastAsia" w:ascii="仿宋_GB2312" w:eastAsia="仿宋_GB2312"/>
          <w:sz w:val="28"/>
          <w:szCs w:val="28"/>
          <w:highlight w:val="none"/>
        </w:rPr>
        <w:t>绩效</w:t>
      </w:r>
      <w:r>
        <w:rPr>
          <w:rFonts w:ascii="仿宋_GB2312" w:eastAsia="仿宋_GB2312"/>
          <w:sz w:val="28"/>
          <w:szCs w:val="28"/>
          <w:highlight w:val="none"/>
        </w:rPr>
        <w:t>评价实施百分制和</w:t>
      </w:r>
      <w:r>
        <w:rPr>
          <w:rFonts w:hint="eastAsia" w:ascii="仿宋_GB2312" w:eastAsia="仿宋_GB2312"/>
          <w:sz w:val="28"/>
          <w:szCs w:val="28"/>
          <w:highlight w:val="none"/>
        </w:rPr>
        <w:t>四级</w:t>
      </w:r>
      <w:r>
        <w:rPr>
          <w:rFonts w:ascii="仿宋_GB2312" w:eastAsia="仿宋_GB2312"/>
          <w:sz w:val="28"/>
          <w:szCs w:val="28"/>
          <w:highlight w:val="none"/>
        </w:rPr>
        <w:t>分类。</w:t>
      </w:r>
      <w:r>
        <w:rPr>
          <w:rFonts w:hint="eastAsia" w:ascii="仿宋_GB2312" w:eastAsia="仿宋_GB2312"/>
          <w:sz w:val="28"/>
          <w:szCs w:val="28"/>
          <w:highlight w:val="none"/>
        </w:rPr>
        <w:t>等级划分：90（含）-100分为优、80（含）-90分为良、60（含）-80分为中、60分以下为差。</w:t>
      </w:r>
    </w:p>
    <w:p>
      <w:pPr>
        <w:ind w:firstLine="600" w:firstLineChars="200"/>
        <w:rPr>
          <w:rFonts w:ascii="仿宋_GB2312" w:eastAsia="仿宋_GB2312"/>
          <w:sz w:val="30"/>
          <w:szCs w:val="30"/>
          <w:highlight w:val="none"/>
        </w:rPr>
      </w:pPr>
    </w:p>
    <w:p>
      <w:pPr>
        <w:rPr>
          <w:highlight w:val="none"/>
        </w:rPr>
      </w:pPr>
    </w:p>
    <w:p>
      <w:pPr>
        <w:jc w:val="both"/>
        <w:rPr>
          <w:rFonts w:hint="eastAsia" w:ascii="黑体" w:hAnsi="黑体" w:eastAsia="黑体"/>
          <w:sz w:val="30"/>
          <w:szCs w:val="30"/>
          <w:highlight w:val="none"/>
          <w:lang w:val="en-US" w:eastAsia="zh-CN"/>
        </w:rPr>
      </w:pPr>
    </w:p>
    <w:p>
      <w:pPr>
        <w:jc w:val="both"/>
        <w:rPr>
          <w:rFonts w:hint="eastAsia" w:ascii="黑体" w:hAnsi="黑体" w:eastAsia="黑体"/>
          <w:sz w:val="30"/>
          <w:szCs w:val="30"/>
          <w:highlight w:val="none"/>
          <w:lang w:val="en-US" w:eastAsia="zh-CN"/>
        </w:rPr>
      </w:pPr>
    </w:p>
    <w:p>
      <w:pPr>
        <w:jc w:val="both"/>
        <w:rPr>
          <w:rFonts w:hint="eastAsia" w:ascii="黑体" w:hAnsi="黑体" w:eastAsia="黑体"/>
          <w:sz w:val="30"/>
          <w:szCs w:val="30"/>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 w:name="文星标宋">
    <w:altName w:val="微软雅黑"/>
    <w:panose1 w:val="00000000000000000000"/>
    <w:charset w:val="86"/>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16</w:t>
    </w:r>
    <w:r>
      <w:rPr>
        <w:rFonts w:ascii="宋体" w:hAnsi="宋体"/>
        <w:sz w:val="28"/>
        <w:szCs w:val="28"/>
      </w:rP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0E7B0B"/>
    <w:multiLevelType w:val="singleLevel"/>
    <w:tmpl w:val="640E7B0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s>
  <w:rsids>
    <w:rsidRoot w:val="00000000"/>
    <w:rsid w:val="016B70ED"/>
    <w:rsid w:val="017A1713"/>
    <w:rsid w:val="02333F28"/>
    <w:rsid w:val="025B5D1D"/>
    <w:rsid w:val="02702B6F"/>
    <w:rsid w:val="02750CCF"/>
    <w:rsid w:val="028A5909"/>
    <w:rsid w:val="03DA42D3"/>
    <w:rsid w:val="04876FAD"/>
    <w:rsid w:val="049515A9"/>
    <w:rsid w:val="04D30D5F"/>
    <w:rsid w:val="04D62906"/>
    <w:rsid w:val="051D1BAB"/>
    <w:rsid w:val="051D30CB"/>
    <w:rsid w:val="05EE129F"/>
    <w:rsid w:val="05FE287D"/>
    <w:rsid w:val="06045EB5"/>
    <w:rsid w:val="062D6E12"/>
    <w:rsid w:val="065750B0"/>
    <w:rsid w:val="07987313"/>
    <w:rsid w:val="07C83653"/>
    <w:rsid w:val="07FD28D4"/>
    <w:rsid w:val="08505D6D"/>
    <w:rsid w:val="08940003"/>
    <w:rsid w:val="08AD48C3"/>
    <w:rsid w:val="08D950F1"/>
    <w:rsid w:val="09CE3581"/>
    <w:rsid w:val="0A512204"/>
    <w:rsid w:val="0B682960"/>
    <w:rsid w:val="0BF931D9"/>
    <w:rsid w:val="0C0560C2"/>
    <w:rsid w:val="0CDA1E83"/>
    <w:rsid w:val="0CE64D93"/>
    <w:rsid w:val="0D1A3230"/>
    <w:rsid w:val="0D2B716D"/>
    <w:rsid w:val="0D2D7E87"/>
    <w:rsid w:val="0DD872FB"/>
    <w:rsid w:val="0DF47D16"/>
    <w:rsid w:val="0E20580A"/>
    <w:rsid w:val="0ED85644"/>
    <w:rsid w:val="0F38400D"/>
    <w:rsid w:val="0F974E17"/>
    <w:rsid w:val="0FAC083D"/>
    <w:rsid w:val="10C861AF"/>
    <w:rsid w:val="115F397B"/>
    <w:rsid w:val="11707A7E"/>
    <w:rsid w:val="121D5F90"/>
    <w:rsid w:val="128D72E3"/>
    <w:rsid w:val="12CE7C70"/>
    <w:rsid w:val="12D6506E"/>
    <w:rsid w:val="138256F2"/>
    <w:rsid w:val="14930984"/>
    <w:rsid w:val="14F20B7B"/>
    <w:rsid w:val="16164849"/>
    <w:rsid w:val="162350FB"/>
    <w:rsid w:val="17C833EC"/>
    <w:rsid w:val="17FFF9DD"/>
    <w:rsid w:val="18AD5352"/>
    <w:rsid w:val="1A187F3E"/>
    <w:rsid w:val="1A3C745E"/>
    <w:rsid w:val="1AED1C38"/>
    <w:rsid w:val="1B3A57C7"/>
    <w:rsid w:val="1B974340"/>
    <w:rsid w:val="1BC30FA1"/>
    <w:rsid w:val="1C2843A8"/>
    <w:rsid w:val="1C3063A3"/>
    <w:rsid w:val="1C6B307D"/>
    <w:rsid w:val="1CF3186B"/>
    <w:rsid w:val="1CF96F3F"/>
    <w:rsid w:val="1D953D4A"/>
    <w:rsid w:val="1E5F416F"/>
    <w:rsid w:val="1E956255"/>
    <w:rsid w:val="1EFF198D"/>
    <w:rsid w:val="1F027D03"/>
    <w:rsid w:val="1FF6382C"/>
    <w:rsid w:val="20037717"/>
    <w:rsid w:val="200A6923"/>
    <w:rsid w:val="209507EA"/>
    <w:rsid w:val="20CC52AD"/>
    <w:rsid w:val="214D660D"/>
    <w:rsid w:val="215613BF"/>
    <w:rsid w:val="21F2644A"/>
    <w:rsid w:val="221F0968"/>
    <w:rsid w:val="22FF3483"/>
    <w:rsid w:val="234E3F79"/>
    <w:rsid w:val="254B107B"/>
    <w:rsid w:val="25BC23FE"/>
    <w:rsid w:val="275720C9"/>
    <w:rsid w:val="27795C59"/>
    <w:rsid w:val="283B08F8"/>
    <w:rsid w:val="283E385C"/>
    <w:rsid w:val="285B7FF5"/>
    <w:rsid w:val="288A6C97"/>
    <w:rsid w:val="28AB16E9"/>
    <w:rsid w:val="28B5798E"/>
    <w:rsid w:val="28B66419"/>
    <w:rsid w:val="28BB102E"/>
    <w:rsid w:val="28EA5C63"/>
    <w:rsid w:val="29293FBF"/>
    <w:rsid w:val="292C41B6"/>
    <w:rsid w:val="296F6A23"/>
    <w:rsid w:val="29C16EA6"/>
    <w:rsid w:val="2A857576"/>
    <w:rsid w:val="2A9159C4"/>
    <w:rsid w:val="2AE65B47"/>
    <w:rsid w:val="2B1D1C04"/>
    <w:rsid w:val="2B417837"/>
    <w:rsid w:val="2B530EB9"/>
    <w:rsid w:val="2BAC2E6C"/>
    <w:rsid w:val="2BD329B7"/>
    <w:rsid w:val="2BFD5CB4"/>
    <w:rsid w:val="2C2A4E31"/>
    <w:rsid w:val="2CBC5603"/>
    <w:rsid w:val="2D743669"/>
    <w:rsid w:val="2DAC0820"/>
    <w:rsid w:val="2E1E2E76"/>
    <w:rsid w:val="2E5C781E"/>
    <w:rsid w:val="2EA70C33"/>
    <w:rsid w:val="2EE109F2"/>
    <w:rsid w:val="2EED7ADF"/>
    <w:rsid w:val="2F025E5D"/>
    <w:rsid w:val="2F047866"/>
    <w:rsid w:val="2F3E7B7B"/>
    <w:rsid w:val="2F9C7984"/>
    <w:rsid w:val="2FA7309C"/>
    <w:rsid w:val="2FDD65C2"/>
    <w:rsid w:val="30366B96"/>
    <w:rsid w:val="30981011"/>
    <w:rsid w:val="30BA3790"/>
    <w:rsid w:val="317E3A6E"/>
    <w:rsid w:val="322D2ADF"/>
    <w:rsid w:val="327C22B1"/>
    <w:rsid w:val="32AB13E4"/>
    <w:rsid w:val="32FA52F5"/>
    <w:rsid w:val="336D274D"/>
    <w:rsid w:val="33855240"/>
    <w:rsid w:val="33996BCE"/>
    <w:rsid w:val="33EB742E"/>
    <w:rsid w:val="345527AA"/>
    <w:rsid w:val="347001BA"/>
    <w:rsid w:val="347851C4"/>
    <w:rsid w:val="349323EA"/>
    <w:rsid w:val="354B58A2"/>
    <w:rsid w:val="36086B5C"/>
    <w:rsid w:val="363510B2"/>
    <w:rsid w:val="36A5737C"/>
    <w:rsid w:val="36D3785C"/>
    <w:rsid w:val="36E23C1F"/>
    <w:rsid w:val="37C17077"/>
    <w:rsid w:val="37FC1A3A"/>
    <w:rsid w:val="388363D9"/>
    <w:rsid w:val="38A61B36"/>
    <w:rsid w:val="393D64DC"/>
    <w:rsid w:val="3968395D"/>
    <w:rsid w:val="39A923B3"/>
    <w:rsid w:val="39CB4598"/>
    <w:rsid w:val="39F712D2"/>
    <w:rsid w:val="3B575C21"/>
    <w:rsid w:val="3B75426F"/>
    <w:rsid w:val="3B787004"/>
    <w:rsid w:val="3C0078B6"/>
    <w:rsid w:val="3C112178"/>
    <w:rsid w:val="3C677CCE"/>
    <w:rsid w:val="3C6C135C"/>
    <w:rsid w:val="3CA21CCC"/>
    <w:rsid w:val="3CBE12DA"/>
    <w:rsid w:val="3DBF223A"/>
    <w:rsid w:val="3E01469D"/>
    <w:rsid w:val="3E32012D"/>
    <w:rsid w:val="3EBC096C"/>
    <w:rsid w:val="3EEB197F"/>
    <w:rsid w:val="3F7B7555"/>
    <w:rsid w:val="3FED45D0"/>
    <w:rsid w:val="40472FAB"/>
    <w:rsid w:val="41693DED"/>
    <w:rsid w:val="419C3AD4"/>
    <w:rsid w:val="41CE581C"/>
    <w:rsid w:val="42BA18AB"/>
    <w:rsid w:val="431C4D36"/>
    <w:rsid w:val="438A7C97"/>
    <w:rsid w:val="44797669"/>
    <w:rsid w:val="447D117C"/>
    <w:rsid w:val="454A42AD"/>
    <w:rsid w:val="45F721AC"/>
    <w:rsid w:val="468B6B2D"/>
    <w:rsid w:val="47330F5F"/>
    <w:rsid w:val="48235D6D"/>
    <w:rsid w:val="48E80C4C"/>
    <w:rsid w:val="48FA1B81"/>
    <w:rsid w:val="4932445B"/>
    <w:rsid w:val="49666040"/>
    <w:rsid w:val="49A11B58"/>
    <w:rsid w:val="4A6D2D16"/>
    <w:rsid w:val="4AF95092"/>
    <w:rsid w:val="4AFF12E1"/>
    <w:rsid w:val="4B0B53F8"/>
    <w:rsid w:val="4BD14057"/>
    <w:rsid w:val="4C7E3BFF"/>
    <w:rsid w:val="4C95150E"/>
    <w:rsid w:val="4D79373D"/>
    <w:rsid w:val="4DF85E35"/>
    <w:rsid w:val="4E19358E"/>
    <w:rsid w:val="4E1A3A38"/>
    <w:rsid w:val="4E4676E7"/>
    <w:rsid w:val="4EAA72A5"/>
    <w:rsid w:val="4F4B60ED"/>
    <w:rsid w:val="4F8B3248"/>
    <w:rsid w:val="4FD73045"/>
    <w:rsid w:val="500F403A"/>
    <w:rsid w:val="506E39D6"/>
    <w:rsid w:val="514065A0"/>
    <w:rsid w:val="514C4C98"/>
    <w:rsid w:val="51836147"/>
    <w:rsid w:val="51DB7FCD"/>
    <w:rsid w:val="52875321"/>
    <w:rsid w:val="52A97031"/>
    <w:rsid w:val="53B40D7F"/>
    <w:rsid w:val="53DF697D"/>
    <w:rsid w:val="54796411"/>
    <w:rsid w:val="549D2F06"/>
    <w:rsid w:val="55190EAB"/>
    <w:rsid w:val="55484EE2"/>
    <w:rsid w:val="55DD5964"/>
    <w:rsid w:val="55FC7C74"/>
    <w:rsid w:val="563E130F"/>
    <w:rsid w:val="570B031B"/>
    <w:rsid w:val="57221121"/>
    <w:rsid w:val="573F00C8"/>
    <w:rsid w:val="575741D1"/>
    <w:rsid w:val="57A55D95"/>
    <w:rsid w:val="57AF6FC8"/>
    <w:rsid w:val="57B35C65"/>
    <w:rsid w:val="57C71A24"/>
    <w:rsid w:val="57D00478"/>
    <w:rsid w:val="58C16B94"/>
    <w:rsid w:val="59277284"/>
    <w:rsid w:val="596E304E"/>
    <w:rsid w:val="5A0F05EE"/>
    <w:rsid w:val="5AAA3F32"/>
    <w:rsid w:val="5ACD19CA"/>
    <w:rsid w:val="5B036247"/>
    <w:rsid w:val="5BB868D8"/>
    <w:rsid w:val="5BC445D5"/>
    <w:rsid w:val="5BEC071A"/>
    <w:rsid w:val="5C3D74E5"/>
    <w:rsid w:val="5CCA28AD"/>
    <w:rsid w:val="5E036836"/>
    <w:rsid w:val="5F3E2F7A"/>
    <w:rsid w:val="6115669E"/>
    <w:rsid w:val="611E7E9C"/>
    <w:rsid w:val="62296994"/>
    <w:rsid w:val="6261089C"/>
    <w:rsid w:val="6298289C"/>
    <w:rsid w:val="62D96380"/>
    <w:rsid w:val="63282D88"/>
    <w:rsid w:val="6370735E"/>
    <w:rsid w:val="639F15E2"/>
    <w:rsid w:val="64091CC7"/>
    <w:rsid w:val="64D544D1"/>
    <w:rsid w:val="653A4C41"/>
    <w:rsid w:val="653B39D5"/>
    <w:rsid w:val="659B46B5"/>
    <w:rsid w:val="66DC7B1C"/>
    <w:rsid w:val="67904350"/>
    <w:rsid w:val="67B47EC5"/>
    <w:rsid w:val="695C767D"/>
    <w:rsid w:val="697A5D51"/>
    <w:rsid w:val="69A262CD"/>
    <w:rsid w:val="69E13026"/>
    <w:rsid w:val="6AA7621E"/>
    <w:rsid w:val="6AEA677D"/>
    <w:rsid w:val="6AEBB5AA"/>
    <w:rsid w:val="6B077D6E"/>
    <w:rsid w:val="6C2C1E7E"/>
    <w:rsid w:val="6E747590"/>
    <w:rsid w:val="6E90485D"/>
    <w:rsid w:val="6EFA7E57"/>
    <w:rsid w:val="6F245E6A"/>
    <w:rsid w:val="6F265A14"/>
    <w:rsid w:val="6F8D1616"/>
    <w:rsid w:val="6FED5B32"/>
    <w:rsid w:val="6FF1605A"/>
    <w:rsid w:val="70893A10"/>
    <w:rsid w:val="711F1DD5"/>
    <w:rsid w:val="714707F8"/>
    <w:rsid w:val="715B7170"/>
    <w:rsid w:val="71C76A24"/>
    <w:rsid w:val="721D389B"/>
    <w:rsid w:val="722A4221"/>
    <w:rsid w:val="72397E06"/>
    <w:rsid w:val="72535B88"/>
    <w:rsid w:val="726E51F1"/>
    <w:rsid w:val="72EB52A3"/>
    <w:rsid w:val="73A16C75"/>
    <w:rsid w:val="75207437"/>
    <w:rsid w:val="7558602F"/>
    <w:rsid w:val="75A53904"/>
    <w:rsid w:val="75B535F5"/>
    <w:rsid w:val="762454BC"/>
    <w:rsid w:val="77096DF1"/>
    <w:rsid w:val="78D93F28"/>
    <w:rsid w:val="7909031C"/>
    <w:rsid w:val="790E242D"/>
    <w:rsid w:val="796E0152"/>
    <w:rsid w:val="797154BA"/>
    <w:rsid w:val="799761B5"/>
    <w:rsid w:val="79C23D0F"/>
    <w:rsid w:val="79D76451"/>
    <w:rsid w:val="7A0C5B12"/>
    <w:rsid w:val="7A200AB8"/>
    <w:rsid w:val="7A7B3104"/>
    <w:rsid w:val="7A7BE003"/>
    <w:rsid w:val="7AA33A96"/>
    <w:rsid w:val="7BE944C6"/>
    <w:rsid w:val="7C2B5C6B"/>
    <w:rsid w:val="7C452601"/>
    <w:rsid w:val="7CBC1F5B"/>
    <w:rsid w:val="7CCA6A81"/>
    <w:rsid w:val="7CDD4BAC"/>
    <w:rsid w:val="7DFA12B7"/>
    <w:rsid w:val="7E3B6625"/>
    <w:rsid w:val="7E5F3D46"/>
    <w:rsid w:val="7E9647B6"/>
    <w:rsid w:val="7FB25EE2"/>
    <w:rsid w:val="7FF7E053"/>
    <w:rsid w:val="7FFC2801"/>
    <w:rsid w:val="94F7D73A"/>
    <w:rsid w:val="BBD6156E"/>
    <w:rsid w:val="F77F3269"/>
    <w:rsid w:val="F77F74EF"/>
    <w:rsid w:val="FF71AF81"/>
    <w:rsid w:val="FFF4A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next w:val="1"/>
    <w:unhideWhenUsed/>
    <w:qFormat/>
    <w:uiPriority w:val="99"/>
    <w:pPr>
      <w:ind w:firstLine="200" w:firstLineChars="200"/>
    </w:pPr>
  </w:style>
  <w:style w:type="paragraph" w:styleId="4">
    <w:name w:val="Plain Text"/>
    <w:basedOn w:val="1"/>
    <w:qFormat/>
    <w:uiPriority w:val="0"/>
    <w:rPr>
      <w:rFonts w:ascii="宋体" w:hAnsi="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3801</Words>
  <Characters>4042</Characters>
  <Lines>0</Lines>
  <Paragraphs>0</Paragraphs>
  <TotalTime>0</TotalTime>
  <ScaleCrop>false</ScaleCrop>
  <LinksUpToDate>false</LinksUpToDate>
  <CharactersWithSpaces>4057</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2014-11-01T12:08:00Z</dcterms:created>
  <dc:creator>pc</dc:creator>
  <cp:lastModifiedBy>Administrator</cp:lastModifiedBy>
  <cp:lastPrinted>2023-02-10T03:44:00Z</cp:lastPrinted>
  <dcterms:modified xsi:type="dcterms:W3CDTF">2025-09-26T01:45:31Z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2691497F964C415CB3209DB212A8FD4B</vt:lpwstr>
  </property>
</Properties>
</file>