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0632B0CA">
      <w:pPr>
        <w:jc w:val="both"/>
        <w:rPr>
          <w:rFonts w:ascii="黑体" w:eastAsia="黑体"/>
          <w:sz w:val="72"/>
          <w:szCs w:val="72"/>
        </w:rPr>
      </w:pPr>
    </w:p>
    <w:p w14:paraId="6DC7FDD8">
      <w:pPr>
        <w:jc w:val="center"/>
        <w:rPr>
          <w:rFonts w:ascii="黑体" w:eastAsia="黑体"/>
          <w:sz w:val="72"/>
          <w:szCs w:val="72"/>
        </w:rPr>
      </w:pPr>
      <w:r>
        <w:rPr>
          <w:rFonts w:hint="eastAsia" w:ascii="黑体" w:eastAsia="黑体"/>
          <w:sz w:val="72"/>
          <w:szCs w:val="72"/>
        </w:rPr>
        <w:t>北京市大兴区殡仪馆</w:t>
      </w:r>
    </w:p>
    <w:p w14:paraId="1B7B5D98">
      <w:pPr>
        <w:jc w:val="center"/>
        <w:rPr>
          <w:rFonts w:ascii="黑体" w:eastAsia="黑体"/>
          <w:sz w:val="72"/>
          <w:szCs w:val="72"/>
        </w:rPr>
      </w:pPr>
      <w:r>
        <w:rPr>
          <w:rFonts w:hint="eastAsia" w:ascii="黑体" w:eastAsia="黑体"/>
          <w:sz w:val="72"/>
          <w:szCs w:val="72"/>
          <w:lang w:val="en-US" w:eastAsia="zh-CN"/>
        </w:rPr>
        <w:t xml:space="preserve">  </w:t>
      </w: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5EA60475">
      <w:pPr>
        <w:jc w:val="both"/>
        <w:rPr>
          <w:rFonts w:ascii="黑体" w:eastAsia="黑体"/>
          <w:sz w:val="32"/>
          <w:szCs w:val="32"/>
        </w:rPr>
      </w:pPr>
    </w:p>
    <w:p w14:paraId="5C6E08E3">
      <w:pPr>
        <w:jc w:val="both"/>
        <w:rPr>
          <w:rFonts w:ascii="黑体" w:eastAsia="黑体"/>
          <w:sz w:val="32"/>
          <w:szCs w:val="32"/>
        </w:rPr>
      </w:pPr>
    </w:p>
    <w:p w14:paraId="00999EB0">
      <w:pPr>
        <w:pStyle w:val="2"/>
        <w:rPr>
          <w:rFonts w:ascii="黑体" w:eastAsia="黑体"/>
          <w:sz w:val="32"/>
          <w:szCs w:val="32"/>
        </w:rPr>
      </w:pPr>
    </w:p>
    <w:p w14:paraId="73F8F76B"/>
    <w:p w14:paraId="6FF3B788">
      <w:pPr>
        <w:pStyle w:val="2"/>
      </w:pPr>
    </w:p>
    <w:p w14:paraId="61A82A08">
      <w:pPr>
        <w:spacing w:line="500" w:lineRule="exact"/>
        <w:ind w:firstLine="6186" w:firstLineChars="1406"/>
        <w:jc w:val="both"/>
        <w:rPr>
          <w:rFonts w:hint="eastAsia" w:ascii="宋体" w:hAnsi="宋体" w:cs="宋体"/>
          <w:b/>
          <w:bCs/>
          <w:kern w:val="0"/>
          <w:sz w:val="36"/>
          <w:szCs w:val="36"/>
        </w:rPr>
      </w:pPr>
      <w:r>
        <w:rPr>
          <w:rFonts w:hint="eastAsia" w:ascii="宋体" w:hAnsi="宋体" w:cs="宋体"/>
          <w:b/>
          <w:bCs/>
          <w:kern w:val="0"/>
          <w:sz w:val="44"/>
          <w:szCs w:val="36"/>
        </w:rPr>
        <w:t>目    录</w:t>
      </w: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94ED465">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大兴区殡仪馆是大兴区民政局下属二级事业单位，主要负责：提供本区遗体接运、存放、火化、骨灰寄存等基本殡葬服务；提供遗体整容、防腐、告别、丧葬用品及其他殡葬特需服务；负责落实惠民、绿色、文明殡葬改革政策；负责宣传殡葬政策法规，倡导文明治丧、移风易俗等新风尚，制止封建迷信色彩的治丧活动等工作。机构设置：大兴区殡仪馆共分为综合办公室、财务收费组、业务组、接运组、火化组，共5个班组。单位性质：公益二类事业单位。</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A1E6B1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hint="eastAsia" w:ascii="仿宋_GB2312" w:eastAsia="仿宋_GB2312"/>
          <w:sz w:val="28"/>
          <w:szCs w:val="28"/>
          <w:lang w:eastAsia="zh-CN"/>
        </w:rPr>
        <w:t>、支</w:t>
      </w:r>
      <w:r>
        <w:rPr>
          <w:rFonts w:hint="eastAsia" w:ascii="仿宋_GB2312" w:eastAsia="仿宋_GB2312"/>
          <w:sz w:val="28"/>
          <w:szCs w:val="28"/>
        </w:rPr>
        <w:t>总计</w:t>
      </w:r>
      <w:r>
        <w:rPr>
          <w:rFonts w:hint="eastAsia" w:ascii="仿宋_GB2312" w:eastAsia="仿宋_GB2312"/>
          <w:sz w:val="28"/>
          <w:szCs w:val="28"/>
          <w:lang w:val="en-US" w:eastAsia="zh-CN"/>
        </w:rPr>
        <w:t>6446.49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299.10</w:t>
      </w:r>
      <w:r>
        <w:rPr>
          <w:rFonts w:hint="eastAsia" w:ascii="仿宋_GB2312" w:eastAsia="仿宋_GB2312"/>
          <w:sz w:val="28"/>
          <w:szCs w:val="28"/>
        </w:rPr>
        <w:t>万元，</w:t>
      </w:r>
      <w:r>
        <w:rPr>
          <w:rFonts w:hint="eastAsia" w:ascii="仿宋_GB2312" w:eastAsia="仿宋_GB2312"/>
          <w:sz w:val="28"/>
          <w:szCs w:val="28"/>
          <w:lang w:val="en-US" w:eastAsia="zh-CN"/>
        </w:rPr>
        <w:t>下降4.43</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3AFC369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2024年度本年收入合计</w:t>
      </w:r>
      <w:r>
        <w:rPr>
          <w:rFonts w:hint="eastAsia" w:ascii="仿宋_GB2312" w:eastAsia="仿宋_GB2312"/>
          <w:sz w:val="28"/>
          <w:szCs w:val="28"/>
          <w:highlight w:val="none"/>
          <w:lang w:val="en-US" w:eastAsia="zh-CN"/>
        </w:rPr>
        <w:t>5258.83</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176.48</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3.25</w:t>
      </w:r>
      <w:r>
        <w:rPr>
          <w:rFonts w:hint="eastAsia" w:ascii="仿宋_GB2312" w:eastAsia="仿宋_GB2312"/>
          <w:sz w:val="28"/>
          <w:szCs w:val="28"/>
          <w:highlight w:val="none"/>
        </w:rPr>
        <w:t>%。</w:t>
      </w:r>
      <w:r>
        <w:rPr>
          <w:rFonts w:hint="eastAsia" w:ascii="仿宋_GB2312" w:eastAsia="仿宋_GB2312"/>
          <w:sz w:val="28"/>
          <w:szCs w:val="28"/>
        </w:rPr>
        <w:t>其中：</w:t>
      </w:r>
    </w:p>
    <w:p w14:paraId="7A454ED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846.74</w:t>
      </w:r>
      <w:r>
        <w:rPr>
          <w:rFonts w:hint="eastAsia" w:ascii="仿宋_GB2312" w:eastAsia="仿宋_GB2312"/>
          <w:sz w:val="28"/>
          <w:szCs w:val="28"/>
        </w:rPr>
        <w:t>万元，占收入合计的</w:t>
      </w:r>
      <w:r>
        <w:rPr>
          <w:rFonts w:hint="eastAsia" w:ascii="仿宋_GB2312" w:eastAsia="仿宋_GB2312"/>
          <w:sz w:val="28"/>
          <w:szCs w:val="28"/>
          <w:lang w:val="en-US" w:eastAsia="zh-CN"/>
        </w:rPr>
        <w:t>16.10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846.74</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3C8C1FC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3501325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0C0E5FE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4405.01</w:t>
      </w:r>
      <w:r>
        <w:rPr>
          <w:rFonts w:hint="eastAsia" w:ascii="仿宋_GB2312" w:eastAsia="仿宋_GB2312"/>
          <w:sz w:val="28"/>
          <w:szCs w:val="28"/>
        </w:rPr>
        <w:t>万元，占收入合计的</w:t>
      </w:r>
      <w:r>
        <w:rPr>
          <w:rFonts w:hint="eastAsia" w:ascii="仿宋_GB2312" w:eastAsia="仿宋_GB2312"/>
          <w:sz w:val="28"/>
          <w:szCs w:val="28"/>
          <w:lang w:val="en-US" w:eastAsia="zh-CN"/>
        </w:rPr>
        <w:t>83.76</w:t>
      </w:r>
      <w:r>
        <w:rPr>
          <w:rFonts w:hint="eastAsia" w:ascii="仿宋_GB2312" w:eastAsia="仿宋_GB2312"/>
          <w:sz w:val="28"/>
          <w:szCs w:val="28"/>
        </w:rPr>
        <w:t>%。</w:t>
      </w:r>
    </w:p>
    <w:p w14:paraId="718DBC0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51EDB9B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6.其他收入</w:t>
      </w:r>
      <w:r>
        <w:rPr>
          <w:rFonts w:hint="eastAsia" w:ascii="仿宋_GB2312" w:eastAsia="仿宋_GB2312"/>
          <w:sz w:val="28"/>
          <w:szCs w:val="28"/>
          <w:lang w:val="en-US" w:eastAsia="zh-CN"/>
        </w:rPr>
        <w:t>7.08</w:t>
      </w:r>
      <w:r>
        <w:rPr>
          <w:rFonts w:hint="eastAsia" w:ascii="仿宋_GB2312" w:eastAsia="仿宋_GB2312"/>
          <w:sz w:val="28"/>
          <w:szCs w:val="28"/>
        </w:rPr>
        <w:t>万元，占收入合</w:t>
      </w:r>
      <w:r>
        <w:rPr>
          <w:rFonts w:hint="eastAsia" w:ascii="仿宋_GB2312" w:eastAsia="仿宋_GB2312"/>
          <w:sz w:val="28"/>
          <w:szCs w:val="28"/>
          <w:highlight w:val="none"/>
        </w:rPr>
        <w:t>计的</w:t>
      </w:r>
      <w:r>
        <w:rPr>
          <w:rFonts w:hint="eastAsia" w:ascii="仿宋_GB2312" w:eastAsia="仿宋_GB2312"/>
          <w:sz w:val="28"/>
          <w:szCs w:val="28"/>
          <w:highlight w:val="none"/>
          <w:lang w:val="en-US" w:eastAsia="zh-CN"/>
        </w:rPr>
        <w:t>0.14</w:t>
      </w:r>
      <w:r>
        <w:rPr>
          <w:rFonts w:hint="eastAsia" w:ascii="仿宋_GB2312" w:eastAsia="仿宋_GB2312"/>
          <w:sz w:val="28"/>
          <w:szCs w:val="28"/>
          <w:highlight w:val="none"/>
        </w:rPr>
        <w:t>%。</w:t>
      </w:r>
    </w:p>
    <w:p w14:paraId="3AC9FF4E">
      <w:pPr>
        <w:pStyle w:val="2"/>
        <w:jc w:val="center"/>
      </w:pPr>
      <w:r>
        <w:rPr>
          <w:rFonts w:hint="eastAsia" w:ascii="仿宋_GB2312" w:eastAsia="仿宋_GB2312"/>
          <w:color w:val="000000"/>
          <w:sz w:val="32"/>
        </w:rPr>
        <w:t>图1：收入</w:t>
      </w:r>
      <w:r>
        <w:rPr>
          <w:rFonts w:hint="eastAsia" w:ascii="仿宋_GB2312" w:eastAsia="仿宋_GB2312"/>
          <w:color w:val="000000"/>
          <w:sz w:val="32"/>
          <w:lang w:eastAsia="zh-CN"/>
        </w:rPr>
        <w:t>决</w:t>
      </w:r>
      <w:r>
        <w:rPr>
          <w:rFonts w:hint="eastAsia" w:ascii="仿宋_GB2312" w:eastAsia="仿宋_GB2312"/>
          <w:color w:val="000000"/>
          <w:sz w:val="32"/>
        </w:rPr>
        <w:t>算</w:t>
      </w:r>
    </w:p>
    <w:p w14:paraId="66FAD62E">
      <w:pPr>
        <w:pStyle w:val="2"/>
        <w:jc w:val="center"/>
      </w:pPr>
      <w:r>
        <w:drawing>
          <wp:inline distT="0" distB="0" distL="114300" distR="114300">
            <wp:extent cx="3981450" cy="1905000"/>
            <wp:effectExtent l="4445" t="4445" r="14605" b="14605"/>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FDF4EC8"/>
    <w:p w14:paraId="4671B2E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57F98F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2024年度本年支出合计</w:t>
      </w:r>
      <w:r>
        <w:rPr>
          <w:rFonts w:hint="eastAsia" w:ascii="仿宋_GB2312" w:eastAsia="仿宋_GB2312"/>
          <w:sz w:val="28"/>
          <w:szCs w:val="28"/>
          <w:lang w:val="en-US" w:eastAsia="zh-CN"/>
        </w:rPr>
        <w:t>5046.40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657.53</w:t>
      </w:r>
      <w:r>
        <w:rPr>
          <w:rFonts w:hint="eastAsia" w:ascii="仿宋_GB2312" w:eastAsia="仿宋_GB2312"/>
          <w:sz w:val="28"/>
          <w:szCs w:val="28"/>
        </w:rPr>
        <w:t>万元，下降</w:t>
      </w:r>
      <w:r>
        <w:rPr>
          <w:rFonts w:hint="eastAsia" w:ascii="仿宋_GB2312" w:eastAsia="仿宋_GB2312"/>
          <w:sz w:val="28"/>
          <w:szCs w:val="28"/>
          <w:lang w:val="en-US" w:eastAsia="zh-CN"/>
        </w:rPr>
        <w:t>11.53</w:t>
      </w:r>
      <w:r>
        <w:rPr>
          <w:rFonts w:hint="eastAsia" w:ascii="仿宋_GB2312" w:eastAsia="仿宋_GB2312"/>
          <w:sz w:val="28"/>
          <w:szCs w:val="28"/>
        </w:rPr>
        <w:t>%。</w:t>
      </w:r>
      <w:r>
        <w:rPr>
          <w:rFonts w:hint="eastAsia" w:ascii="仿宋_GB2312" w:eastAsia="仿宋_GB2312"/>
          <w:sz w:val="28"/>
          <w:szCs w:val="28"/>
          <w:highlight w:val="none"/>
        </w:rPr>
        <w:t>其中：</w:t>
      </w:r>
    </w:p>
    <w:p w14:paraId="12CB289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970.99</w:t>
      </w:r>
      <w:r>
        <w:rPr>
          <w:rFonts w:hint="eastAsia" w:ascii="仿宋_GB2312" w:eastAsia="仿宋_GB2312"/>
          <w:sz w:val="28"/>
          <w:szCs w:val="28"/>
        </w:rPr>
        <w:t>万元，占支出合计的</w:t>
      </w:r>
      <w:r>
        <w:rPr>
          <w:rFonts w:hint="eastAsia" w:ascii="仿宋_GB2312" w:eastAsia="仿宋_GB2312"/>
          <w:sz w:val="28"/>
          <w:szCs w:val="28"/>
          <w:lang w:val="en-US" w:eastAsia="zh-CN"/>
        </w:rPr>
        <w:t>19.24</w:t>
      </w:r>
      <w:r>
        <w:rPr>
          <w:rFonts w:hint="eastAsia" w:ascii="仿宋_GB2312" w:eastAsia="仿宋_GB2312"/>
          <w:sz w:val="28"/>
          <w:szCs w:val="28"/>
        </w:rPr>
        <w:t>%。</w:t>
      </w:r>
    </w:p>
    <w:p w14:paraId="5600710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2D5E1CB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1DB92D5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4075.41</w:t>
      </w:r>
      <w:r>
        <w:rPr>
          <w:rFonts w:hint="eastAsia" w:ascii="仿宋_GB2312" w:eastAsia="仿宋_GB2312"/>
          <w:sz w:val="28"/>
          <w:szCs w:val="28"/>
        </w:rPr>
        <w:t>万元，占支出合计的</w:t>
      </w:r>
      <w:r>
        <w:rPr>
          <w:rFonts w:hint="eastAsia" w:ascii="仿宋_GB2312" w:eastAsia="仿宋_GB2312"/>
          <w:sz w:val="28"/>
          <w:szCs w:val="28"/>
          <w:lang w:val="en-US" w:eastAsia="zh-CN"/>
        </w:rPr>
        <w:t>80.76</w:t>
      </w:r>
      <w:r>
        <w:rPr>
          <w:rFonts w:hint="eastAsia" w:ascii="仿宋_GB2312" w:eastAsia="仿宋_GB2312"/>
          <w:sz w:val="28"/>
          <w:szCs w:val="28"/>
        </w:rPr>
        <w:t>%。</w:t>
      </w:r>
    </w:p>
    <w:p w14:paraId="587BA4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14:paraId="594BDD28">
      <w:pPr>
        <w:tabs>
          <w:tab w:val="center" w:pos="6979"/>
        </w:tabs>
        <w:spacing w:line="580" w:lineRule="exact"/>
        <w:ind w:firstLine="570"/>
        <w:rPr>
          <w:rFonts w:hint="eastAsia" w:ascii="仿宋_GB2312" w:eastAsia="仿宋_GB2312"/>
          <w:sz w:val="28"/>
          <w:szCs w:val="28"/>
        </w:rPr>
      </w:pPr>
    </w:p>
    <w:p w14:paraId="73531EA0">
      <w:pPr>
        <w:pStyle w:val="2"/>
        <w:ind w:firstLine="642"/>
        <w:jc w:val="center"/>
        <w:rPr>
          <w:rFonts w:hint="eastAsia" w:ascii="黑体" w:eastAsia="黑体"/>
          <w:b/>
          <w:sz w:val="28"/>
          <w:szCs w:val="28"/>
        </w:rPr>
      </w:pPr>
      <w:r>
        <w:rPr>
          <w:rFonts w:hint="eastAsia" w:ascii="仿宋_GB2312" w:eastAsia="仿宋_GB2312"/>
          <w:color w:val="000000"/>
          <w:sz w:val="32"/>
        </w:rPr>
        <w:t>图2：基本支出和项目支出情况</w:t>
      </w:r>
    </w:p>
    <w:p w14:paraId="1E486A07">
      <w:pPr>
        <w:jc w:val="center"/>
        <w:rPr>
          <w:rFonts w:hint="eastAsia" w:ascii="黑体" w:eastAsia="黑体"/>
          <w:b/>
          <w:sz w:val="28"/>
          <w:szCs w:val="28"/>
        </w:rPr>
      </w:pPr>
      <w:r>
        <w:drawing>
          <wp:inline distT="0" distB="0" distL="114300" distR="114300">
            <wp:extent cx="4819650" cy="2743200"/>
            <wp:effectExtent l="4445" t="4445" r="14605" b="14605"/>
            <wp:docPr id="4" name="图表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5D7742">
      <w:pPr>
        <w:jc w:val="center"/>
      </w:pPr>
    </w:p>
    <w:p w14:paraId="751BFF99">
      <w:pPr>
        <w:jc w:val="center"/>
      </w:pPr>
    </w:p>
    <w:p w14:paraId="0A2ABDF1">
      <w:pPr>
        <w:jc w:val="center"/>
      </w:pP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CB35E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hint="eastAsia" w:ascii="仿宋_GB2312" w:eastAsia="仿宋_GB2312"/>
          <w:sz w:val="28"/>
          <w:szCs w:val="28"/>
          <w:lang w:eastAsia="zh-CN"/>
        </w:rPr>
        <w:t>、支</w:t>
      </w:r>
      <w:r>
        <w:rPr>
          <w:rFonts w:hint="eastAsia" w:ascii="仿宋_GB2312" w:eastAsia="仿宋_GB2312"/>
          <w:sz w:val="28"/>
          <w:szCs w:val="28"/>
        </w:rPr>
        <w:t>总计</w:t>
      </w:r>
      <w:r>
        <w:rPr>
          <w:rFonts w:hint="eastAsia" w:ascii="仿宋_GB2312" w:eastAsia="仿宋_GB2312"/>
          <w:sz w:val="28"/>
          <w:szCs w:val="28"/>
          <w:lang w:val="en-US" w:eastAsia="zh-CN"/>
        </w:rPr>
        <w:t>846.74</w:t>
      </w:r>
      <w:r>
        <w:rPr>
          <w:rFonts w:hint="eastAsia" w:ascii="仿宋_GB2312" w:eastAsia="仿宋_GB2312"/>
          <w:sz w:val="28"/>
          <w:szCs w:val="28"/>
        </w:rPr>
        <w:t>万元，比上年减少</w:t>
      </w:r>
      <w:r>
        <w:rPr>
          <w:rFonts w:hint="eastAsia" w:ascii="仿宋_GB2312" w:eastAsia="仿宋_GB2312"/>
          <w:sz w:val="28"/>
          <w:szCs w:val="28"/>
          <w:lang w:val="en-US" w:eastAsia="zh-CN"/>
        </w:rPr>
        <w:t>722.24</w:t>
      </w:r>
      <w:r>
        <w:rPr>
          <w:rFonts w:hint="eastAsia" w:ascii="仿宋_GB2312" w:eastAsia="仿宋_GB2312"/>
          <w:sz w:val="28"/>
          <w:szCs w:val="28"/>
        </w:rPr>
        <w:t>万元，下降</w:t>
      </w:r>
      <w:r>
        <w:rPr>
          <w:rFonts w:hint="eastAsia" w:ascii="仿宋_GB2312" w:eastAsia="仿宋_GB2312"/>
          <w:sz w:val="28"/>
          <w:szCs w:val="28"/>
          <w:lang w:val="en-US" w:eastAsia="zh-CN"/>
        </w:rPr>
        <w:t>46.03</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97FCAE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0D3FB8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970.99</w:t>
      </w:r>
      <w:r>
        <w:rPr>
          <w:rFonts w:hint="eastAsia" w:ascii="仿宋_GB2312" w:eastAsia="仿宋_GB2312"/>
          <w:sz w:val="28"/>
          <w:szCs w:val="28"/>
        </w:rPr>
        <w:t>万元，主要用于以下方面：</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785.34</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80.88</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61.40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6.32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；住房保障支出</w:t>
      </w:r>
      <w:r>
        <w:rPr>
          <w:rFonts w:hint="eastAsia" w:ascii="仿宋_GB2312" w:eastAsia="仿宋_GB2312"/>
          <w:sz w:val="28"/>
          <w:szCs w:val="28"/>
          <w:highlight w:val="none"/>
          <w:lang w:val="en-US" w:eastAsia="zh-CN"/>
        </w:rPr>
        <w:t>124.25万元，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12.80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62B2BD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EF42819">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1.“社会保障和就业支出”2024年度年初预算</w:t>
      </w:r>
      <w:r>
        <w:rPr>
          <w:rFonts w:hint="eastAsia" w:ascii="仿宋_GB2312" w:eastAsia="仿宋_GB2312"/>
          <w:sz w:val="28"/>
          <w:szCs w:val="28"/>
          <w:highlight w:val="none"/>
          <w:lang w:val="en-US" w:eastAsia="zh-CN"/>
        </w:rPr>
        <w:t>787.9</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785.34</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99.68</w:t>
      </w:r>
      <w:r>
        <w:rPr>
          <w:rFonts w:hint="eastAsia" w:ascii="仿宋_GB2312" w:eastAsia="仿宋_GB2312"/>
          <w:sz w:val="28"/>
          <w:szCs w:val="28"/>
          <w:highlight w:val="none"/>
        </w:rPr>
        <w:t>%。其中：</w:t>
      </w:r>
    </w:p>
    <w:p w14:paraId="1EA0C1A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024年度年初预算</w:t>
      </w:r>
      <w:r>
        <w:rPr>
          <w:rFonts w:hint="eastAsia" w:ascii="仿宋_GB2312" w:eastAsia="仿宋_GB2312"/>
          <w:sz w:val="28"/>
          <w:szCs w:val="28"/>
          <w:highlight w:val="none"/>
          <w:lang w:val="en-US" w:eastAsia="zh-CN"/>
        </w:rPr>
        <w:t>120.32</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126.62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105.24</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在编职工社会保险基数调增</w:t>
      </w:r>
      <w:r>
        <w:rPr>
          <w:rFonts w:hint="eastAsia" w:ascii="仿宋_GB2312" w:eastAsia="仿宋_GB2312"/>
          <w:sz w:val="28"/>
          <w:szCs w:val="28"/>
          <w:highlight w:val="none"/>
        </w:rPr>
        <w:t>。</w:t>
      </w:r>
    </w:p>
    <w:p w14:paraId="7CBC979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“社会福利”2024年度年初预算</w:t>
      </w:r>
      <w:r>
        <w:rPr>
          <w:rFonts w:hint="eastAsia" w:ascii="仿宋_GB2312" w:eastAsia="仿宋_GB2312"/>
          <w:sz w:val="28"/>
          <w:szCs w:val="28"/>
          <w:highlight w:val="none"/>
          <w:lang w:val="en-US" w:eastAsia="zh-CN"/>
        </w:rPr>
        <w:t>667.58</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658.72</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98.67</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2024年在编职工退休4人</w:t>
      </w:r>
      <w:r>
        <w:rPr>
          <w:rFonts w:hint="eastAsia" w:ascii="仿宋_GB2312" w:eastAsia="仿宋_GB2312"/>
          <w:sz w:val="28"/>
          <w:szCs w:val="28"/>
          <w:highlight w:val="none"/>
        </w:rPr>
        <w:t>。</w:t>
      </w:r>
    </w:p>
    <w:p w14:paraId="1CE59C8A">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w:t>
      </w:r>
      <w:r>
        <w:rPr>
          <w:rFonts w:hint="eastAsia" w:ascii="仿宋_GB2312" w:hAnsi="Times New Roman" w:eastAsia="仿宋_GB2312" w:cs="Times New Roman"/>
          <w:sz w:val="28"/>
          <w:szCs w:val="28"/>
          <w:highlight w:val="none"/>
          <w:lang w:val="en-US" w:eastAsia="zh-CN"/>
        </w:rPr>
        <w:t>卫生健康支出”</w:t>
      </w:r>
      <w:r>
        <w:rPr>
          <w:rFonts w:hint="eastAsia" w:ascii="仿宋_GB2312" w:eastAsia="仿宋_GB2312"/>
          <w:sz w:val="28"/>
          <w:szCs w:val="28"/>
          <w:highlight w:val="none"/>
          <w:lang w:val="en-US" w:eastAsia="zh-CN"/>
        </w:rPr>
        <w:t>2</w:t>
      </w:r>
      <w:r>
        <w:rPr>
          <w:rFonts w:hint="eastAsia" w:ascii="仿宋_GB2312" w:hAnsi="Times New Roman" w:eastAsia="仿宋_GB2312" w:cs="Times New Roman"/>
          <w:sz w:val="28"/>
          <w:szCs w:val="28"/>
          <w:highlight w:val="none"/>
        </w:rPr>
        <w:t>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val="en-US" w:eastAsia="zh-CN"/>
        </w:rPr>
        <w:t>58.16</w:t>
      </w:r>
      <w:r>
        <w:rPr>
          <w:rFonts w:hint="eastAsia" w:ascii="仿宋_GB2312" w:hAnsi="Times New Roman" w:eastAsia="仿宋_GB2312" w:cs="Times New Roman"/>
          <w:sz w:val="28"/>
          <w:szCs w:val="28"/>
          <w:highlight w:val="none"/>
        </w:rPr>
        <w:t>万元，202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61.4</w:t>
      </w:r>
      <w:r>
        <w:rPr>
          <w:rFonts w:hint="default" w:ascii="仿宋_GB2312" w:eastAsia="仿宋_GB2312" w:cs="Times New Roman"/>
          <w:sz w:val="28"/>
          <w:szCs w:val="28"/>
          <w:highlight w:val="none"/>
          <w:lang w:val="en-US" w:eastAsia="zh-CN"/>
        </w:rPr>
        <w:t>0</w:t>
      </w:r>
      <w:r>
        <w:rPr>
          <w:rFonts w:hint="eastAsia" w:ascii="仿宋_GB2312" w:hAnsi="Times New Roman" w:eastAsia="仿宋_GB2312" w:cs="Times New Roman"/>
          <w:sz w:val="28"/>
          <w:szCs w:val="28"/>
          <w:highlight w:val="none"/>
        </w:rPr>
        <w:t>万元，</w:t>
      </w:r>
      <w:r>
        <w:rPr>
          <w:rFonts w:hint="eastAsia" w:ascii="仿宋_GB2312" w:hAnsi="Times New Roman" w:eastAsia="仿宋_GB2312" w:cs="Times New Roman"/>
          <w:sz w:val="28"/>
          <w:szCs w:val="28"/>
          <w:highlight w:val="none"/>
          <w:lang w:eastAsia="zh-CN"/>
        </w:rPr>
        <w:t>完成年初预算的</w:t>
      </w:r>
      <w:r>
        <w:rPr>
          <w:rFonts w:hint="eastAsia" w:ascii="仿宋_GB2312" w:eastAsia="仿宋_GB2312" w:cs="Times New Roman"/>
          <w:sz w:val="28"/>
          <w:szCs w:val="28"/>
          <w:highlight w:val="none"/>
          <w:lang w:val="en-US" w:eastAsia="zh-CN"/>
        </w:rPr>
        <w:t>105.57</w:t>
      </w:r>
      <w:r>
        <w:rPr>
          <w:rFonts w:hint="eastAsia" w:ascii="仿宋_GB2312" w:hAnsi="Times New Roman" w:eastAsia="仿宋_GB2312" w:cs="Times New Roman"/>
          <w:sz w:val="28"/>
          <w:szCs w:val="28"/>
          <w:highlight w:val="none"/>
        </w:rPr>
        <w:t>%。</w:t>
      </w:r>
      <w:r>
        <w:rPr>
          <w:rFonts w:hint="eastAsia" w:ascii="仿宋_GB2312" w:eastAsia="仿宋_GB2312"/>
          <w:sz w:val="28"/>
          <w:szCs w:val="28"/>
          <w:highlight w:val="none"/>
        </w:rPr>
        <w:t>其中：</w:t>
      </w:r>
    </w:p>
    <w:p w14:paraId="676862F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w:t>
      </w:r>
      <w:r>
        <w:rPr>
          <w:rFonts w:hint="eastAsia" w:ascii="仿宋_GB2312" w:eastAsia="仿宋_GB2312"/>
          <w:sz w:val="28"/>
          <w:szCs w:val="28"/>
          <w:highlight w:val="none"/>
          <w:lang w:val="en-US" w:eastAsia="zh-CN"/>
        </w:rPr>
        <w:t>”2</w:t>
      </w:r>
      <w:r>
        <w:rPr>
          <w:rFonts w:hint="eastAsia" w:ascii="仿宋_GB2312" w:hAnsi="Times New Roman" w:eastAsia="仿宋_GB2312" w:cs="Times New Roman"/>
          <w:sz w:val="28"/>
          <w:szCs w:val="28"/>
          <w:highlight w:val="none"/>
        </w:rPr>
        <w:t>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val="en-US" w:eastAsia="zh-CN"/>
        </w:rPr>
        <w:t>58.16</w:t>
      </w:r>
      <w:r>
        <w:rPr>
          <w:rFonts w:hint="eastAsia" w:ascii="仿宋_GB2312" w:hAnsi="Times New Roman" w:eastAsia="仿宋_GB2312" w:cs="Times New Roman"/>
          <w:sz w:val="28"/>
          <w:szCs w:val="28"/>
          <w:highlight w:val="none"/>
        </w:rPr>
        <w:t>万元，202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61.40</w:t>
      </w:r>
      <w:r>
        <w:rPr>
          <w:rFonts w:hint="eastAsia" w:ascii="仿宋_GB2312" w:hAnsi="Times New Roman" w:eastAsia="仿宋_GB2312" w:cs="Times New Roman"/>
          <w:sz w:val="28"/>
          <w:szCs w:val="28"/>
          <w:highlight w:val="none"/>
        </w:rPr>
        <w:t>万元，</w:t>
      </w:r>
      <w:r>
        <w:rPr>
          <w:rFonts w:hint="eastAsia" w:ascii="仿宋_GB2312" w:hAnsi="Times New Roman" w:eastAsia="仿宋_GB2312" w:cs="Times New Roman"/>
          <w:sz w:val="28"/>
          <w:szCs w:val="28"/>
          <w:highlight w:val="none"/>
          <w:lang w:eastAsia="zh-CN"/>
        </w:rPr>
        <w:t>完成年初预算的</w:t>
      </w:r>
      <w:r>
        <w:rPr>
          <w:rFonts w:hint="eastAsia" w:ascii="仿宋_GB2312" w:eastAsia="仿宋_GB2312" w:cs="Times New Roman"/>
          <w:sz w:val="28"/>
          <w:szCs w:val="28"/>
          <w:highlight w:val="none"/>
          <w:lang w:val="en-US" w:eastAsia="zh-CN"/>
        </w:rPr>
        <w:t>105.57</w:t>
      </w:r>
      <w:r>
        <w:rPr>
          <w:rFonts w:hint="eastAsia" w:ascii="仿宋_GB2312" w:hAnsi="Times New Roman" w:eastAsia="仿宋_GB2312" w:cs="Times New Roman"/>
          <w:sz w:val="28"/>
          <w:szCs w:val="28"/>
          <w:highlight w:val="none"/>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在编职工社会保险基数调增</w:t>
      </w:r>
      <w:r>
        <w:rPr>
          <w:rFonts w:hint="eastAsia" w:ascii="仿宋_GB2312" w:eastAsia="仿宋_GB2312"/>
          <w:sz w:val="28"/>
          <w:szCs w:val="28"/>
          <w:highlight w:val="none"/>
        </w:rPr>
        <w:t>。</w:t>
      </w:r>
    </w:p>
    <w:p w14:paraId="40B3AC1B">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hAnsi="Times New Roman" w:eastAsia="仿宋_GB2312" w:cs="Times New Roman"/>
          <w:sz w:val="28"/>
          <w:szCs w:val="28"/>
          <w:highlight w:val="none"/>
          <w:lang w:val="en-US" w:eastAsia="zh-CN"/>
        </w:rPr>
        <w:t>住房保障支出”</w:t>
      </w:r>
      <w:r>
        <w:rPr>
          <w:rFonts w:hint="eastAsia" w:ascii="仿宋_GB2312" w:eastAsia="仿宋_GB2312"/>
          <w:sz w:val="28"/>
          <w:szCs w:val="28"/>
          <w:highlight w:val="none"/>
          <w:lang w:val="en-US" w:eastAsia="zh-CN"/>
        </w:rPr>
        <w:t>2</w:t>
      </w:r>
      <w:r>
        <w:rPr>
          <w:rFonts w:hint="eastAsia" w:ascii="仿宋_GB2312" w:hAnsi="Times New Roman" w:eastAsia="仿宋_GB2312" w:cs="Times New Roman"/>
          <w:sz w:val="28"/>
          <w:szCs w:val="28"/>
          <w:highlight w:val="none"/>
        </w:rPr>
        <w:t>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val="en-US" w:eastAsia="zh-CN"/>
        </w:rPr>
        <w:t>0.00</w:t>
      </w:r>
      <w:r>
        <w:rPr>
          <w:rFonts w:hint="eastAsia" w:ascii="仿宋_GB2312" w:hAnsi="Times New Roman" w:eastAsia="仿宋_GB2312" w:cs="Times New Roman"/>
          <w:sz w:val="28"/>
          <w:szCs w:val="28"/>
          <w:highlight w:val="none"/>
        </w:rPr>
        <w:t>万元，202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124.25</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highlight w:val="none"/>
        </w:rPr>
        <w:t>其中：</w:t>
      </w:r>
    </w:p>
    <w:p w14:paraId="2859ECA3">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“住房改革支出</w:t>
      </w:r>
      <w:r>
        <w:rPr>
          <w:rFonts w:hint="eastAsia" w:ascii="仿宋_GB2312" w:eastAsia="仿宋_GB2312"/>
          <w:sz w:val="28"/>
          <w:szCs w:val="28"/>
          <w:highlight w:val="none"/>
          <w:lang w:val="en-US" w:eastAsia="zh-CN"/>
        </w:rPr>
        <w:t>”2</w:t>
      </w:r>
      <w:r>
        <w:rPr>
          <w:rFonts w:hint="eastAsia" w:ascii="仿宋_GB2312" w:hAnsi="Times New Roman" w:eastAsia="仿宋_GB2312" w:cs="Times New Roman"/>
          <w:sz w:val="28"/>
          <w:szCs w:val="28"/>
          <w:highlight w:val="none"/>
        </w:rPr>
        <w:t>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val="en-US" w:eastAsia="zh-CN"/>
        </w:rPr>
        <w:t>0.00</w:t>
      </w:r>
      <w:r>
        <w:rPr>
          <w:rFonts w:hint="eastAsia" w:ascii="仿宋_GB2312" w:hAnsi="Times New Roman" w:eastAsia="仿宋_GB2312" w:cs="Times New Roman"/>
          <w:sz w:val="28"/>
          <w:szCs w:val="28"/>
          <w:highlight w:val="none"/>
        </w:rPr>
        <w:t>万元，202</w:t>
      </w: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124.25</w:t>
      </w:r>
      <w:r>
        <w:rPr>
          <w:rFonts w:hint="eastAsia" w:ascii="仿宋_GB2312" w:hAnsi="Times New Roman" w:eastAsia="仿宋_GB2312" w:cs="Times New Roman"/>
          <w:sz w:val="28"/>
          <w:szCs w:val="28"/>
          <w:highlight w:val="none"/>
        </w:rPr>
        <w:t>万元。</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补发职工住房补贴</w:t>
      </w:r>
      <w:r>
        <w:rPr>
          <w:rFonts w:hint="eastAsia" w:ascii="仿宋_GB2312" w:eastAsia="仿宋_GB2312"/>
          <w:sz w:val="28"/>
          <w:szCs w:val="28"/>
          <w:highlight w:val="none"/>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F320804">
      <w:pPr>
        <w:tabs>
          <w:tab w:val="center" w:pos="6979"/>
        </w:tabs>
        <w:spacing w:line="580" w:lineRule="exact"/>
        <w:ind w:firstLine="560" w:firstLineChars="200"/>
        <w:rPr>
          <w:rFonts w:hint="eastAsia" w:ascii="仿宋_GB2312" w:eastAsia="仿宋_GB2312"/>
          <w:sz w:val="28"/>
          <w:szCs w:val="28"/>
          <w:highlight w:val="yellow"/>
          <w:lang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无</w:t>
      </w:r>
      <w:r>
        <w:rPr>
          <w:rFonts w:hint="eastAsia" w:ascii="仿宋_GB2312" w:eastAsia="仿宋_GB2312"/>
          <w:sz w:val="28"/>
          <w:szCs w:val="28"/>
          <w:highlight w:val="none"/>
        </w:rPr>
        <w:t>政府性基金预算财政拨款</w:t>
      </w:r>
      <w:r>
        <w:rPr>
          <w:rFonts w:hint="eastAsia" w:ascii="仿宋_GB2312" w:eastAsia="仿宋_GB2312"/>
          <w:sz w:val="28"/>
          <w:szCs w:val="28"/>
          <w:highlight w:val="none"/>
          <w:lang w:eastAsia="zh-CN"/>
        </w:rPr>
        <w:t>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76B882C">
      <w:pPr>
        <w:numPr>
          <w:ilvl w:val="0"/>
          <w:numId w:val="0"/>
        </w:numPr>
        <w:ind w:firstLine="560" w:firstLineChars="200"/>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970.99</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902.81万元，</w:t>
      </w:r>
      <w:r>
        <w:rPr>
          <w:rFonts w:hint="eastAsia" w:ascii="仿宋_GB2312" w:eastAsia="仿宋_GB2312"/>
          <w:sz w:val="28"/>
          <w:szCs w:val="28"/>
        </w:rPr>
        <w:t>包括基本工资、津贴补贴、绩效工资、机关事业单位基本养老保险缴费、职业年金缴费、职工基本医疗保险缴费、住房公积金、其他社会保障缴费；（2）商品和服务支出</w:t>
      </w:r>
      <w:r>
        <w:rPr>
          <w:rFonts w:hint="eastAsia" w:ascii="仿宋_GB2312" w:eastAsia="仿宋_GB2312"/>
          <w:sz w:val="28"/>
          <w:szCs w:val="28"/>
          <w:lang w:val="en-US" w:eastAsia="zh-CN"/>
        </w:rPr>
        <w:t>0.00万元；</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68.18万元，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lang w:eastAsia="zh-CN"/>
        </w:rPr>
        <w:t>、</w:t>
      </w:r>
      <w:r>
        <w:rPr>
          <w:rFonts w:ascii="仿宋_GB2312" w:eastAsia="仿宋_GB2312"/>
          <w:sz w:val="28"/>
          <w:szCs w:val="28"/>
        </w:rPr>
        <w:t>奖励金</w:t>
      </w:r>
      <w:r>
        <w:rPr>
          <w:rFonts w:hint="eastAsia" w:ascii="仿宋_GB2312" w:eastAsia="仿宋_GB2312"/>
          <w:sz w:val="28"/>
          <w:szCs w:val="28"/>
        </w:rPr>
        <w:t>。（4）其他资本性支出</w:t>
      </w:r>
      <w:r>
        <w:rPr>
          <w:rFonts w:hint="eastAsia" w:ascii="仿宋_GB2312" w:eastAsia="仿宋_GB2312"/>
          <w:sz w:val="28"/>
          <w:szCs w:val="28"/>
          <w:lang w:val="en-US" w:eastAsia="zh-CN"/>
        </w:rPr>
        <w:t>0.00万元。</w:t>
      </w:r>
    </w:p>
    <w:p w14:paraId="6E021488">
      <w:pPr>
        <w:tabs>
          <w:tab w:val="center" w:pos="6979"/>
        </w:tabs>
        <w:jc w:val="both"/>
        <w:rPr>
          <w:rFonts w:hint="eastAsia" w:ascii="宋体" w:hAnsi="宋体" w:cs="宋体"/>
          <w:b/>
          <w:bCs/>
          <w:spacing w:val="40"/>
          <w:kern w:val="0"/>
          <w:sz w:val="32"/>
          <w:szCs w:val="32"/>
        </w:rPr>
      </w:pPr>
    </w:p>
    <w:p w14:paraId="6B2722A3">
      <w:pPr>
        <w:tabs>
          <w:tab w:val="center" w:pos="6979"/>
        </w:tabs>
        <w:spacing w:line="580" w:lineRule="exact"/>
        <w:ind w:firstLine="548" w:firstLineChars="196"/>
        <w:rPr>
          <w:rFonts w:hint="eastAsia" w:ascii="仿宋_GB2312" w:eastAsia="仿宋_GB2312"/>
          <w:sz w:val="28"/>
          <w:szCs w:val="28"/>
        </w:rPr>
      </w:pPr>
    </w:p>
    <w:p w14:paraId="582DBA48">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530A02B4">
      <w:pPr>
        <w:autoSpaceDE w:val="0"/>
        <w:autoSpaceDN w:val="0"/>
        <w:adjustRightInd w:val="0"/>
        <w:spacing w:line="580" w:lineRule="exact"/>
        <w:jc w:val="both"/>
        <w:rPr>
          <w:rFonts w:ascii="仿宋_GB2312" w:eastAsia="仿宋_GB2312"/>
          <w:b/>
          <w:sz w:val="32"/>
          <w:szCs w:val="32"/>
        </w:rPr>
      </w:pPr>
    </w:p>
    <w:p w14:paraId="27B92DCE">
      <w:pPr>
        <w:autoSpaceDE w:val="0"/>
        <w:autoSpaceDN w:val="0"/>
        <w:adjustRightInd w:val="0"/>
        <w:spacing w:line="580" w:lineRule="exact"/>
        <w:jc w:val="both"/>
        <w:rPr>
          <w:rFonts w:ascii="仿宋_GB2312" w:eastAsia="仿宋_GB2312"/>
          <w:b/>
          <w:sz w:val="32"/>
          <w:szCs w:val="32"/>
        </w:rPr>
      </w:pPr>
    </w:p>
    <w:p w14:paraId="081C3F94">
      <w:pPr>
        <w:pStyle w:val="2"/>
      </w:pPr>
    </w:p>
    <w:p w14:paraId="7F4827AA">
      <w:pPr>
        <w:autoSpaceDE w:val="0"/>
        <w:autoSpaceDN w:val="0"/>
        <w:adjustRightInd w:val="0"/>
        <w:spacing w:line="580" w:lineRule="exact"/>
        <w:jc w:val="both"/>
        <w:rPr>
          <w:rFonts w:hint="eastAsia" w:ascii="仿宋_GB2312" w:eastAsia="仿宋_GB2312"/>
          <w:b/>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79804E5">
      <w:pPr>
        <w:spacing w:line="560" w:lineRule="exact"/>
        <w:ind w:firstLine="560" w:firstLineChars="200"/>
        <w:rPr>
          <w:rFonts w:hint="eastAsia"/>
          <w:highlight w:val="none"/>
        </w:rPr>
      </w:pPr>
      <w:r>
        <w:rPr>
          <w:rFonts w:hint="eastAsia" w:ascii="仿宋_GB2312" w:eastAsia="仿宋_GB2312"/>
          <w:sz w:val="28"/>
          <w:szCs w:val="28"/>
          <w:highlight w:val="none"/>
          <w:lang w:eastAsia="zh-CN"/>
        </w:rPr>
        <w:t>本单位无此项经费。</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9595B93">
      <w:pPr>
        <w:ind w:left="54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2F5EF205">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516.25</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410.44</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105.81</w:t>
      </w:r>
      <w:r>
        <w:rPr>
          <w:rFonts w:hint="eastAsia" w:ascii="仿宋_GB2312" w:eastAsia="仿宋_GB2312"/>
          <w:sz w:val="28"/>
          <w:szCs w:val="28"/>
          <w:highlight w:val="none"/>
        </w:rPr>
        <w:t>元。授予中小企业合同金额</w:t>
      </w:r>
      <w:r>
        <w:rPr>
          <w:rFonts w:hint="eastAsia" w:ascii="仿宋_GB2312" w:eastAsia="仿宋_GB2312"/>
          <w:sz w:val="28"/>
          <w:szCs w:val="28"/>
          <w:highlight w:val="none"/>
          <w:lang w:val="en-US" w:eastAsia="zh-CN"/>
        </w:rPr>
        <w:t>475.28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92.06</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475.28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92.06</w:t>
      </w:r>
      <w:r>
        <w:rPr>
          <w:rFonts w:hint="eastAsia" w:ascii="仿宋_GB2312" w:eastAsia="仿宋_GB2312"/>
          <w:sz w:val="28"/>
          <w:szCs w:val="28"/>
          <w:highlight w:val="none"/>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hint="eastAsia" w:ascii="仿宋_GB2312" w:eastAsia="仿宋_GB2312"/>
          <w:sz w:val="32"/>
          <w:szCs w:val="32"/>
          <w:lang w:val="en-US" w:eastAsia="zh-CN"/>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12月31日，北京市大兴区殡仪馆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r>
        <w:rPr>
          <w:rFonts w:hint="eastAsia" w:ascii="仿宋_GB2312" w:eastAsia="仿宋_GB2312"/>
          <w:sz w:val="28"/>
          <w:szCs w:val="28"/>
          <w:lang w:val="en-US" w:eastAsia="zh-CN"/>
        </w:rPr>
        <w:t>,</w:t>
      </w:r>
      <w:r>
        <w:rPr>
          <w:rFonts w:hint="eastAsia" w:ascii="仿宋_GB2312" w:eastAsia="仿宋_GB2312"/>
          <w:sz w:val="28"/>
          <w:szCs w:val="28"/>
        </w:rPr>
        <w:t>共计149.28万元</w:t>
      </w:r>
      <w:r>
        <w:rPr>
          <w:rFonts w:hint="eastAsia" w:ascii="仿宋_GB2312" w:eastAsia="仿宋_GB2312"/>
          <w:sz w:val="28"/>
          <w:szCs w:val="28"/>
          <w:lang w:eastAsia="zh-CN"/>
        </w:rPr>
        <w:t>。</w:t>
      </w:r>
      <w:bookmarkStart w:id="0" w:name="_GoBack"/>
      <w:bookmarkEnd w:id="0"/>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lang w:val="en-US" w:eastAsia="zh-CN"/>
        </w:rPr>
        <w:t>.00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9AC1523">
      <w:pPr>
        <w:ind w:firstLine="560" w:firstLineChars="200"/>
        <w:rPr>
          <w:rFonts w:hint="eastAsia" w:ascii="仿宋_GB2312" w:eastAsia="仿宋_GB2312"/>
          <w:sz w:val="28"/>
          <w:szCs w:val="28"/>
        </w:rPr>
      </w:pPr>
      <w:r>
        <w:rPr>
          <w:rFonts w:hint="eastAsia" w:ascii="仿宋_GB2312" w:eastAsia="仿宋_GB2312"/>
          <w:sz w:val="28"/>
          <w:szCs w:val="28"/>
        </w:rPr>
        <w:t xml:space="preserve">7. </w:t>
      </w:r>
      <w:r>
        <w:rPr>
          <w:rFonts w:hint="eastAsia" w:ascii="仿宋_GB2312" w:eastAsia="仿宋_GB2312"/>
          <w:sz w:val="28"/>
          <w:szCs w:val="28"/>
          <w:highlight w:val="none"/>
          <w:lang w:val="en-US" w:eastAsia="zh-CN"/>
        </w:rPr>
        <w:t>本单位当年使用的所有支出功能分类款级科目名词解释：</w:t>
      </w:r>
    </w:p>
    <w:p w14:paraId="4141EC0F">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事业单位离退休（项）：反映事业单位开支的离退休经费。</w:t>
      </w:r>
    </w:p>
    <w:p w14:paraId="6718E4A3">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14:paraId="1102EC43">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w:t>
      </w:r>
    </w:p>
    <w:p w14:paraId="28B975B2">
      <w:pPr>
        <w:ind w:firstLine="560" w:firstLineChars="200"/>
        <w:rPr>
          <w:rFonts w:hint="eastAsia" w:ascii="仿宋_GB2312" w:eastAsia="仿宋_GB2312"/>
          <w:sz w:val="28"/>
          <w:szCs w:val="28"/>
          <w:lang w:eastAsia="zh-CN"/>
        </w:rPr>
      </w:pPr>
      <w:r>
        <w:rPr>
          <w:rFonts w:hint="eastAsia" w:ascii="仿宋_GB2312" w:eastAsia="仿宋_GB2312"/>
          <w:sz w:val="28"/>
          <w:szCs w:val="28"/>
        </w:rPr>
        <w:t>社会保障和就业支出（类）</w:t>
      </w:r>
      <w:r>
        <w:rPr>
          <w:rFonts w:hint="eastAsia" w:ascii="仿宋_GB2312" w:eastAsia="仿宋_GB2312"/>
          <w:sz w:val="28"/>
          <w:szCs w:val="28"/>
          <w:lang w:eastAsia="zh-CN"/>
        </w:rPr>
        <w:t>社会福利（款）殡葬（项）：反映殡葬管理和殡葬服务方面的支出。包括民政部门直属的殡仪馆、公墓、殡葬管理服务机构的支出。</w:t>
      </w:r>
    </w:p>
    <w:p w14:paraId="27983683">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r>
        <w:rPr>
          <w:rFonts w:hint="eastAsia" w:ascii="仿宋_GB2312" w:eastAsia="仿宋_GB2312"/>
          <w:sz w:val="28"/>
          <w:szCs w:val="28"/>
          <w:lang w:val="en-US" w:eastAsia="zh-CN"/>
        </w:rPr>
        <w:t xml:space="preserve">                                           </w:t>
      </w:r>
    </w:p>
    <w:p w14:paraId="4B8D842B">
      <w:pPr>
        <w:tabs>
          <w:tab w:val="center" w:pos="6979"/>
        </w:tabs>
        <w:spacing w:before="156" w:beforeLines="50" w:after="156" w:afterLines="50"/>
        <w:ind w:firstLine="560" w:firstLineChars="200"/>
        <w:jc w:val="both"/>
        <w:rPr>
          <w:rFonts w:hint="default" w:ascii="宋体" w:hAnsi="宋体" w:cs="宋体"/>
          <w:b/>
          <w:bCs/>
          <w:spacing w:val="40"/>
          <w:kern w:val="0"/>
          <w:sz w:val="32"/>
          <w:szCs w:val="32"/>
          <w:lang w:val="en-US"/>
        </w:rPr>
      </w:pPr>
      <w:r>
        <w:rPr>
          <w:rFonts w:hint="eastAsia" w:ascii="仿宋_GB2312" w:eastAsia="仿宋_GB2312"/>
          <w:sz w:val="28"/>
          <w:szCs w:val="28"/>
          <w:lang w:val="en-US" w:eastAsia="zh-CN"/>
        </w:rPr>
        <w:t>住房保障支出</w:t>
      </w:r>
      <w:r>
        <w:rPr>
          <w:rFonts w:hint="eastAsia" w:ascii="仿宋_GB2312" w:eastAsia="仿宋_GB2312"/>
          <w:sz w:val="28"/>
          <w:szCs w:val="28"/>
          <w:lang w:eastAsia="zh-CN"/>
        </w:rPr>
        <w:t>（类）</w:t>
      </w:r>
      <w:r>
        <w:rPr>
          <w:rFonts w:hint="eastAsia" w:ascii="仿宋_GB2312" w:eastAsia="仿宋_GB2312"/>
          <w:sz w:val="28"/>
          <w:szCs w:val="28"/>
          <w:lang w:val="en-US" w:eastAsia="zh-CN"/>
        </w:rPr>
        <w:t>住房改革支出</w:t>
      </w:r>
      <w:r>
        <w:rPr>
          <w:rFonts w:hint="eastAsia" w:ascii="仿宋_GB2312" w:eastAsia="仿宋_GB2312"/>
          <w:sz w:val="28"/>
          <w:szCs w:val="28"/>
          <w:lang w:eastAsia="zh-CN"/>
        </w:rPr>
        <w:t>（款）</w:t>
      </w:r>
      <w:r>
        <w:rPr>
          <w:rFonts w:hint="eastAsia" w:ascii="仿宋_GB2312" w:eastAsia="仿宋_GB2312"/>
          <w:sz w:val="28"/>
          <w:szCs w:val="28"/>
          <w:lang w:val="en-US" w:eastAsia="zh-CN"/>
        </w:rPr>
        <w:t>购房补贴</w:t>
      </w:r>
      <w:r>
        <w:rPr>
          <w:rFonts w:hint="eastAsia" w:ascii="仿宋_GB2312" w:eastAsia="仿宋_GB2312"/>
          <w:sz w:val="28"/>
          <w:szCs w:val="28"/>
          <w:lang w:eastAsia="zh-CN"/>
        </w:rPr>
        <w:t>（项）：</w:t>
      </w:r>
      <w:r>
        <w:rPr>
          <w:rFonts w:hint="eastAsia" w:ascii="仿宋_GB2312" w:eastAsia="仿宋_GB2312"/>
          <w:sz w:val="28"/>
          <w:szCs w:val="28"/>
          <w:lang w:val="en-US" w:eastAsia="zh-CN"/>
        </w:rPr>
        <w:t>反映按房改政策规定的标准，行政事业单位向符合条件职工(含离退休人员)、军队(含武警)向转役复员离退休人员发放的用于购买住房的补贴。</w:t>
      </w:r>
    </w:p>
    <w:p w14:paraId="2B1454F0">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29437324">
      <w:pPr>
        <w:tabs>
          <w:tab w:val="center" w:pos="6979"/>
        </w:tabs>
        <w:spacing w:line="380" w:lineRule="exact"/>
        <w:jc w:val="center"/>
        <w:rPr>
          <w:rFonts w:ascii="宋体" w:hAnsi="宋体" w:cs="宋体"/>
          <w:b/>
          <w:bCs/>
          <w:kern w:val="0"/>
          <w:sz w:val="28"/>
          <w:szCs w:val="28"/>
        </w:rPr>
      </w:pPr>
    </w:p>
    <w:p w14:paraId="5C87C8C4">
      <w:pPr>
        <w:tabs>
          <w:tab w:val="center" w:pos="6979"/>
        </w:tabs>
        <w:spacing w:line="380" w:lineRule="exact"/>
        <w:jc w:val="center"/>
        <w:rPr>
          <w:rFonts w:ascii="宋体" w:hAnsi="宋体" w:cs="宋体"/>
          <w:b/>
          <w:bCs/>
          <w:kern w:val="0"/>
          <w:sz w:val="28"/>
          <w:szCs w:val="28"/>
        </w:rPr>
      </w:pPr>
    </w:p>
    <w:p w14:paraId="3C8EE80D">
      <w:pPr>
        <w:tabs>
          <w:tab w:val="center" w:pos="6979"/>
        </w:tabs>
        <w:spacing w:line="380" w:lineRule="exact"/>
        <w:jc w:val="center"/>
        <w:rPr>
          <w:rFonts w:ascii="宋体" w:hAnsi="宋体" w:cs="宋体"/>
          <w:b/>
          <w:bCs/>
          <w:kern w:val="0"/>
          <w:sz w:val="28"/>
          <w:szCs w:val="28"/>
        </w:rPr>
      </w:pPr>
    </w:p>
    <w:p w14:paraId="4B4B83CB">
      <w:pPr>
        <w:tabs>
          <w:tab w:val="center" w:pos="6979"/>
        </w:tabs>
        <w:spacing w:line="380" w:lineRule="exact"/>
        <w:jc w:val="center"/>
        <w:rPr>
          <w:rFonts w:ascii="宋体" w:hAnsi="宋体" w:cs="宋体"/>
          <w:b/>
          <w:bCs/>
          <w:kern w:val="0"/>
          <w:sz w:val="28"/>
          <w:szCs w:val="28"/>
        </w:rPr>
      </w:pPr>
    </w:p>
    <w:p w14:paraId="11208D66">
      <w:pPr>
        <w:tabs>
          <w:tab w:val="center" w:pos="6979"/>
        </w:tabs>
        <w:spacing w:line="380" w:lineRule="exact"/>
        <w:jc w:val="center"/>
        <w:rPr>
          <w:rFonts w:ascii="宋体" w:hAnsi="宋体" w:cs="宋体"/>
          <w:b/>
          <w:bCs/>
          <w:kern w:val="0"/>
          <w:sz w:val="28"/>
          <w:szCs w:val="28"/>
        </w:rPr>
      </w:pPr>
    </w:p>
    <w:p w14:paraId="7B8C0181">
      <w:pPr>
        <w:tabs>
          <w:tab w:val="center" w:pos="6979"/>
        </w:tabs>
        <w:spacing w:line="380" w:lineRule="exact"/>
        <w:jc w:val="center"/>
        <w:rPr>
          <w:rFonts w:ascii="宋体" w:hAnsi="宋体" w:cs="宋体"/>
          <w:b/>
          <w:bCs/>
          <w:kern w:val="0"/>
          <w:sz w:val="28"/>
          <w:szCs w:val="28"/>
        </w:rPr>
      </w:pPr>
    </w:p>
    <w:p w14:paraId="6711564B">
      <w:pPr>
        <w:tabs>
          <w:tab w:val="center" w:pos="6979"/>
        </w:tabs>
        <w:spacing w:line="380" w:lineRule="exact"/>
        <w:jc w:val="center"/>
        <w:rPr>
          <w:rFonts w:ascii="宋体" w:hAnsi="宋体" w:cs="宋体"/>
          <w:b/>
          <w:bCs/>
          <w:kern w:val="0"/>
          <w:sz w:val="28"/>
          <w:szCs w:val="28"/>
        </w:rPr>
      </w:pPr>
    </w:p>
    <w:p w14:paraId="32F083CC">
      <w:pPr>
        <w:tabs>
          <w:tab w:val="center" w:pos="6979"/>
        </w:tabs>
        <w:spacing w:line="380" w:lineRule="exact"/>
        <w:jc w:val="center"/>
        <w:rPr>
          <w:rFonts w:ascii="宋体" w:hAnsi="宋体" w:cs="宋体"/>
          <w:b/>
          <w:bCs/>
          <w:kern w:val="0"/>
          <w:sz w:val="28"/>
          <w:szCs w:val="28"/>
        </w:rPr>
      </w:pPr>
    </w:p>
    <w:p w14:paraId="00A93425">
      <w:pPr>
        <w:tabs>
          <w:tab w:val="center" w:pos="6979"/>
        </w:tabs>
        <w:spacing w:line="380" w:lineRule="exact"/>
        <w:jc w:val="center"/>
        <w:rPr>
          <w:rFonts w:ascii="宋体" w:hAnsi="宋体" w:cs="宋体"/>
          <w:b/>
          <w:bCs/>
          <w:kern w:val="0"/>
          <w:sz w:val="28"/>
          <w:szCs w:val="28"/>
        </w:rPr>
      </w:pPr>
    </w:p>
    <w:p w14:paraId="05EEA70F">
      <w:pPr>
        <w:tabs>
          <w:tab w:val="center" w:pos="6979"/>
        </w:tabs>
        <w:spacing w:line="380" w:lineRule="exact"/>
        <w:jc w:val="center"/>
        <w:rPr>
          <w:rFonts w:ascii="宋体" w:hAnsi="宋体" w:cs="宋体"/>
          <w:b/>
          <w:bCs/>
          <w:kern w:val="0"/>
          <w:sz w:val="28"/>
          <w:szCs w:val="28"/>
        </w:rPr>
      </w:pPr>
    </w:p>
    <w:p w14:paraId="5AC61738">
      <w:pPr>
        <w:jc w:val="both"/>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DDADAB0">
      <w:pPr>
        <w:ind w:firstLine="560" w:firstLineChars="200"/>
        <w:rPr>
          <w:rFonts w:hint="eastAsia" w:ascii="黑体" w:eastAsia="黑体"/>
          <w:sz w:val="28"/>
          <w:szCs w:val="28"/>
        </w:rPr>
      </w:pPr>
      <w:r>
        <w:rPr>
          <w:rFonts w:hint="eastAsia" w:ascii="黑体" w:eastAsia="黑体"/>
          <w:sz w:val="28"/>
          <w:szCs w:val="28"/>
          <w:lang w:val="en-US"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14:paraId="34D1142C">
      <w:pPr>
        <w:spacing w:line="560" w:lineRule="exact"/>
        <w:ind w:firstLine="840" w:firstLineChars="300"/>
        <w:rPr>
          <w:rFonts w:hint="eastAsia" w:ascii="仿宋_GB2312" w:eastAsia="仿宋_GB2312"/>
          <w:sz w:val="28"/>
          <w:szCs w:val="28"/>
          <w:highlight w:val="none"/>
          <w:lang w:eastAsia="zh-CN"/>
        </w:rPr>
      </w:pPr>
      <w:r>
        <w:rPr>
          <w:rFonts w:ascii="仿宋_GB2312" w:eastAsia="仿宋_GB2312"/>
          <w:sz w:val="28"/>
          <w:szCs w:val="28"/>
          <w:highlight w:val="none"/>
        </w:rPr>
        <w:t>本单位</w:t>
      </w:r>
      <w:r>
        <w:rPr>
          <w:rFonts w:hint="eastAsia" w:ascii="仿宋_GB2312" w:eastAsia="仿宋_GB2312"/>
          <w:sz w:val="28"/>
          <w:szCs w:val="28"/>
          <w:highlight w:val="none"/>
          <w:lang w:val="en-US" w:eastAsia="zh-CN"/>
        </w:rPr>
        <w:t>2</w:t>
      </w:r>
      <w:r>
        <w:rPr>
          <w:rFonts w:ascii="仿宋_GB2312" w:eastAsia="仿宋_GB2312"/>
          <w:sz w:val="28"/>
          <w:szCs w:val="28"/>
          <w:highlight w:val="none"/>
        </w:rPr>
        <w:t>02</w:t>
      </w:r>
      <w:r>
        <w:rPr>
          <w:rFonts w:hint="eastAsia" w:ascii="仿宋_GB2312" w:eastAsia="仿宋_GB2312"/>
          <w:sz w:val="28"/>
          <w:szCs w:val="28"/>
          <w:highlight w:val="none"/>
          <w:lang w:val="en-US" w:eastAsia="zh-CN"/>
        </w:rPr>
        <w:t>4</w:t>
      </w:r>
      <w:r>
        <w:rPr>
          <w:rFonts w:ascii="仿宋_GB2312" w:eastAsia="仿宋_GB2312"/>
          <w:sz w:val="28"/>
          <w:szCs w:val="28"/>
          <w:highlight w:val="none"/>
        </w:rPr>
        <w:t>年度</w:t>
      </w:r>
      <w:r>
        <w:rPr>
          <w:rFonts w:hint="eastAsia" w:ascii="仿宋_GB2312" w:eastAsia="仿宋_GB2312"/>
          <w:sz w:val="28"/>
          <w:szCs w:val="28"/>
          <w:highlight w:val="none"/>
          <w:lang w:val="en-US" w:eastAsia="zh-CN"/>
        </w:rPr>
        <w:t>无</w:t>
      </w:r>
      <w:r>
        <w:rPr>
          <w:rFonts w:ascii="仿宋_GB2312" w:eastAsia="仿宋_GB2312"/>
          <w:sz w:val="28"/>
          <w:szCs w:val="28"/>
          <w:highlight w:val="none"/>
        </w:rPr>
        <w:t>项目支出绩效</w:t>
      </w:r>
      <w:r>
        <w:rPr>
          <w:rFonts w:hint="eastAsia" w:ascii="仿宋_GB2312" w:eastAsia="仿宋_GB2312"/>
          <w:sz w:val="28"/>
          <w:szCs w:val="28"/>
          <w:highlight w:val="none"/>
          <w:lang w:eastAsia="zh-CN"/>
        </w:rPr>
        <w:t>自评表。</w:t>
      </w:r>
    </w:p>
    <w:p w14:paraId="3DD5F570">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AF7B16"/>
    <w:rsid w:val="04C3537C"/>
    <w:rsid w:val="079004AC"/>
    <w:rsid w:val="0BA148CA"/>
    <w:rsid w:val="0C1165C4"/>
    <w:rsid w:val="0D6D544B"/>
    <w:rsid w:val="0DD136FE"/>
    <w:rsid w:val="0F4F2584"/>
    <w:rsid w:val="0F542F2C"/>
    <w:rsid w:val="0F8E2C57"/>
    <w:rsid w:val="1059665E"/>
    <w:rsid w:val="10AC13BA"/>
    <w:rsid w:val="145A6C1B"/>
    <w:rsid w:val="14B73493"/>
    <w:rsid w:val="1644148E"/>
    <w:rsid w:val="167A2FF9"/>
    <w:rsid w:val="1764587C"/>
    <w:rsid w:val="17C31108"/>
    <w:rsid w:val="18581C69"/>
    <w:rsid w:val="1AEC0734"/>
    <w:rsid w:val="1DEF20B0"/>
    <w:rsid w:val="1FF7AB17"/>
    <w:rsid w:val="214243FA"/>
    <w:rsid w:val="21AD613C"/>
    <w:rsid w:val="22467189"/>
    <w:rsid w:val="257A14F5"/>
    <w:rsid w:val="27196C26"/>
    <w:rsid w:val="277F485F"/>
    <w:rsid w:val="29EF086F"/>
    <w:rsid w:val="2BC34C59"/>
    <w:rsid w:val="2EFFE297"/>
    <w:rsid w:val="301437CA"/>
    <w:rsid w:val="349D1F0A"/>
    <w:rsid w:val="34DD0473"/>
    <w:rsid w:val="368E50F4"/>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EB61E9B"/>
    <w:rsid w:val="71691990"/>
    <w:rsid w:val="71793A80"/>
    <w:rsid w:val="72DC2312"/>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BFFE559C"/>
    <w:rsid w:val="C75F6086"/>
    <w:rsid w:val="C7F7ED2D"/>
    <w:rsid w:val="CFAF854E"/>
    <w:rsid w:val="D8D7928E"/>
    <w:rsid w:val="D8FE3136"/>
    <w:rsid w:val="DDDE60B7"/>
    <w:rsid w:val="DE9F6A22"/>
    <w:rsid w:val="DF4FCE6A"/>
    <w:rsid w:val="DFD6CE7C"/>
    <w:rsid w:val="DFE93440"/>
    <w:rsid w:val="DFEF5C84"/>
    <w:rsid w:val="E4FED278"/>
    <w:rsid w:val="E9EF25D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2"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404040">
                    <a:lumMod val="75000"/>
                    <a:lumOff val="25000"/>
                  </a:srgbClr>
                </a:solidFill>
                <a:latin typeface="+mn-lt"/>
                <a:ea typeface="+mn-ea"/>
                <a:cs typeface="+mn-cs"/>
              </a:defRPr>
            </a:pPr>
            <a:r>
              <a:t>收入决算</a:t>
            </a:r>
          </a:p>
        </c:rich>
      </c:tx>
      <c:layout>
        <c:manualLayout>
          <c:xMode val="edge"/>
          <c:yMode val="edge"/>
          <c:x val="0.4125"/>
          <c:y val="0.0277777777777778"/>
        </c:manualLayout>
      </c:layout>
      <c:overlay val="0"/>
      <c:spPr>
        <a:noFill/>
        <a:ln>
          <a:noFill/>
        </a:ln>
        <a:effectLst/>
      </c:spPr>
    </c:title>
    <c:autoTitleDeleted val="0"/>
    <c:plotArea>
      <c:layout/>
      <c:pieChart>
        <c:varyColors val="1"/>
        <c:ser>
          <c:idx val="0"/>
          <c:order val="0"/>
          <c:spPr/>
          <c:explosion val="0"/>
          <c:dPt>
            <c:idx val="0"/>
            <c:bubble3D val="0"/>
            <c:spPr>
              <a:solidFill>
                <a:srgbClr val="4472C4"/>
              </a:solidFill>
              <a:ln>
                <a:solidFill>
                  <a:srgbClr val="FFFFFF"/>
                </a:solidFill>
              </a:ln>
              <a:effectLst/>
            </c:spPr>
          </c:dPt>
          <c:dPt>
            <c:idx val="1"/>
            <c:bubble3D val="0"/>
            <c:spPr>
              <a:solidFill>
                <a:srgbClr val="ED7D31"/>
              </a:solidFill>
              <a:ln>
                <a:solidFill>
                  <a:srgbClr val="FFFFFF"/>
                </a:solidFill>
              </a:ln>
              <a:effectLst/>
            </c:spPr>
          </c:dPt>
          <c:dPt>
            <c:idx val="2"/>
            <c:bubble3D val="0"/>
            <c:spPr>
              <a:solidFill>
                <a:srgbClr val="A5A5A5"/>
              </a:solidFill>
              <a:ln>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404040">
                        <a:lumMod val="75000"/>
                        <a:lumOff val="25000"/>
                      </a:srgb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[工作簿2]Sheet1!$D$8:$D$10</c:f>
              <c:strCache>
                <c:ptCount val="3"/>
                <c:pt idx="0">
                  <c:v>财政拨款收入</c:v>
                </c:pt>
                <c:pt idx="1">
                  <c:v>经营收入</c:v>
                </c:pt>
                <c:pt idx="2">
                  <c:v>其他收入</c:v>
                </c:pt>
              </c:strCache>
            </c:strRef>
          </c:cat>
          <c:val>
            <c:numRef>
              <c:f>[工作簿2]Sheet1!$E$8:$E$10</c:f>
              <c:numCache>
                <c:formatCode>General</c:formatCode>
                <c:ptCount val="3"/>
                <c:pt idx="0">
                  <c:v>846.76</c:v>
                </c:pt>
                <c:pt idx="1">
                  <c:v>4405.01</c:v>
                </c:pt>
                <c:pt idx="2">
                  <c:v>7.08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8a21d002-51c0-4e61-a31a-eac44532f0e6}"/>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404040">
                    <a:lumMod val="75000"/>
                    <a:lumOff val="25000"/>
                  </a:srgb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rgbClr val="4472C4"/>
              </a:solidFill>
              <a:ln>
                <a:solidFill>
                  <a:srgbClr val="FFFFFF"/>
                </a:solidFill>
              </a:ln>
              <a:effectLst/>
            </c:spPr>
          </c:dPt>
          <c:dPt>
            <c:idx val="1"/>
            <c:bubble3D val="0"/>
            <c:spPr>
              <a:solidFill>
                <a:srgbClr val="ED7D31"/>
              </a:solidFill>
              <a:ln>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404040">
                        <a:lumMod val="75000"/>
                        <a:lumOff val="25000"/>
                      </a:srgb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[工作簿2]Sheet1!$D$15:$D$16</c:f>
              <c:strCache>
                <c:ptCount val="2"/>
                <c:pt idx="0">
                  <c:v>基本支出</c:v>
                </c:pt>
                <c:pt idx="1">
                  <c:v>经营支出</c:v>
                </c:pt>
              </c:strCache>
            </c:strRef>
          </c:cat>
          <c:val>
            <c:numRef>
              <c:f>[工作簿2]Sheet1!$E$15:$E$16</c:f>
              <c:numCache>
                <c:formatCode>General</c:formatCode>
                <c:ptCount val="2"/>
                <c:pt idx="0">
                  <c:v>970.99</c:v>
                </c:pt>
                <c:pt idx="1">
                  <c:v>4075.41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1dddfedb-689e-4b59-bd3a-30800e03c1cf}"/>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472C4"/>
  <a:srgbClr val="ED7D31"/>
  <a:srgbClr val="A5A5A5"/>
  <a:srgbClr val="FFC000"/>
  <a:srgbClr val="5B9BD5"/>
  <a:srgbClr val="70AD47"/>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472C4"/>
  <a:srgbClr val="ED7D31"/>
  <a:srgbClr val="A5A5A5"/>
  <a:srgbClr val="FFC000"/>
  <a:srgbClr val="5B9BD5"/>
  <a:srgbClr val="70AD47"/>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10083">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3151</Words>
  <Characters>3645</Characters>
  <Lines>44</Lines>
  <Paragraphs>12</Paragraphs>
  <TotalTime>15</TotalTime>
  <ScaleCrop>false</ScaleCrop>
  <LinksUpToDate>false</LinksUpToDate>
  <CharactersWithSpaces>3710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高超凡</cp:lastModifiedBy>
  <cp:lastPrinted>2020-08-09T19:39:00Z</cp:lastPrinted>
  <dcterms:modified xsi:type="dcterms:W3CDTF">2025-09-26T01:04:17Z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0ABA6B928DFC4C31807767E29FE2639E_13</vt:lpwstr>
  </property>
  <property fmtid="{D5CDD505-2E9C-101B-9397-08002B2CF9AE}" pid="4" name="KSOTemplateDocerSaveRecord">
    <vt:lpwstr>eyJoZGlkIjoiNjg4ODUyMjgxNjcxMzJkYjljZjc4NzlkNjFiMGZjNzgiLCJ1c2VySWQiOiIxMTI0MDEyMzQ5In0=</vt:lpwstr>
  </property>
</Properties>
</file>