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04564">
      <w:pPr>
        <w:rPr>
          <w:rFonts w:hint="eastAsia" w:ascii="黑体" w:eastAsia="黑体"/>
          <w:sz w:val="72"/>
          <w:szCs w:val="72"/>
        </w:rPr>
      </w:pPr>
    </w:p>
    <w:p w14:paraId="3BD212EF">
      <w:pPr>
        <w:rPr>
          <w:rFonts w:hint="eastAsia" w:ascii="黑体" w:eastAsia="黑体"/>
          <w:sz w:val="72"/>
          <w:szCs w:val="72"/>
        </w:rPr>
      </w:pPr>
    </w:p>
    <w:p w14:paraId="57E12E27">
      <w:pPr>
        <w:rPr>
          <w:rFonts w:hint="eastAsia" w:ascii="黑体" w:eastAsia="黑体"/>
          <w:sz w:val="72"/>
          <w:szCs w:val="72"/>
        </w:rPr>
      </w:pPr>
    </w:p>
    <w:p w14:paraId="40ED51EC">
      <w:pPr>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民政局（本级）</w:t>
      </w:r>
    </w:p>
    <w:p w14:paraId="06D92F9E">
      <w:pPr>
        <w:jc w:val="center"/>
        <w:rPr>
          <w:rFonts w:hint="eastAsia" w:ascii="黑体" w:eastAsia="黑体"/>
          <w:sz w:val="52"/>
          <w:szCs w:val="52"/>
        </w:rPr>
      </w:pPr>
      <w:r>
        <w:rPr>
          <w:rFonts w:hint="eastAsia" w:ascii="黑体" w:eastAsia="黑体"/>
          <w:sz w:val="72"/>
          <w:szCs w:val="72"/>
        </w:rPr>
        <w:t xml:space="preserve"> 2024年度部门决算报表及说明</w:t>
      </w:r>
    </w:p>
    <w:p w14:paraId="309D7650">
      <w:pPr>
        <w:jc w:val="center"/>
        <w:rPr>
          <w:rFonts w:ascii="黑体" w:eastAsia="黑体"/>
          <w:sz w:val="52"/>
          <w:szCs w:val="52"/>
        </w:rPr>
      </w:pPr>
    </w:p>
    <w:p w14:paraId="187E462D">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14:paraId="4885C576">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14:paraId="10D03097">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FB4C9C2">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14:paraId="704EA0D5">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14:paraId="16FA26A9">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14:paraId="784BB9A5">
      <w:pPr>
        <w:tabs>
          <w:tab w:val="center" w:pos="6979"/>
        </w:tabs>
        <w:spacing w:before="156" w:beforeLines="50" w:after="156" w:afterLines="50"/>
        <w:jc w:val="center"/>
        <w:rPr>
          <w:rFonts w:hint="eastAsia" w:ascii="宋体" w:hAnsi="宋体" w:cs="宋体"/>
          <w:b/>
          <w:bCs/>
          <w:spacing w:val="40"/>
          <w:kern w:val="0"/>
          <w:sz w:val="32"/>
          <w:szCs w:val="32"/>
        </w:rPr>
      </w:pPr>
    </w:p>
    <w:p w14:paraId="150FF65C">
      <w:pPr>
        <w:tabs>
          <w:tab w:val="center" w:pos="6979"/>
        </w:tabs>
        <w:spacing w:before="156" w:beforeLines="50" w:after="156" w:afterLines="50"/>
        <w:jc w:val="center"/>
        <w:rPr>
          <w:rFonts w:hint="eastAsia" w:ascii="宋体" w:hAnsi="宋体" w:cs="宋体"/>
          <w:b/>
          <w:bCs/>
          <w:spacing w:val="40"/>
          <w:kern w:val="0"/>
          <w:sz w:val="32"/>
          <w:szCs w:val="32"/>
        </w:rPr>
      </w:pPr>
    </w:p>
    <w:p w14:paraId="7680F1D3">
      <w:pPr>
        <w:tabs>
          <w:tab w:val="center" w:pos="6979"/>
        </w:tabs>
        <w:spacing w:before="156" w:beforeLines="50" w:after="156" w:afterLines="50"/>
        <w:rPr>
          <w:rFonts w:hint="eastAsia" w:ascii="宋体" w:hAnsi="宋体" w:cs="宋体"/>
          <w:b/>
          <w:bCs/>
          <w:spacing w:val="40"/>
          <w:kern w:val="0"/>
          <w:sz w:val="32"/>
          <w:szCs w:val="32"/>
        </w:rPr>
      </w:pPr>
    </w:p>
    <w:p w14:paraId="6542EBC4">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14:paraId="14E024DD">
      <w:pPr>
        <w:tabs>
          <w:tab w:val="center" w:pos="6979"/>
        </w:tabs>
        <w:spacing w:before="156" w:beforeLines="50" w:after="156" w:afterLines="50"/>
        <w:rPr>
          <w:rFonts w:hint="eastAsia" w:ascii="宋体" w:hAnsi="宋体" w:cs="宋体"/>
          <w:b/>
          <w:bCs/>
          <w:spacing w:val="40"/>
          <w:kern w:val="0"/>
          <w:sz w:val="32"/>
          <w:szCs w:val="32"/>
        </w:rPr>
      </w:pPr>
    </w:p>
    <w:p w14:paraId="67990383">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14:paraId="1244FC9F">
      <w:pPr>
        <w:tabs>
          <w:tab w:val="center" w:pos="6979"/>
        </w:tabs>
        <w:spacing w:before="156" w:beforeLines="50" w:after="156" w:afterLines="50"/>
        <w:rPr>
          <w:rFonts w:hint="eastAsia" w:ascii="宋体" w:hAnsi="宋体" w:cs="宋体"/>
          <w:b/>
          <w:bCs/>
          <w:spacing w:val="40"/>
          <w:kern w:val="0"/>
          <w:sz w:val="32"/>
          <w:szCs w:val="32"/>
        </w:rPr>
      </w:pPr>
    </w:p>
    <w:p w14:paraId="07572D0F">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A292CCB">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14:paraId="235C350B">
      <w:pPr>
        <w:ind w:firstLine="560" w:firstLineChars="200"/>
        <w:rPr>
          <w:rFonts w:hint="eastAsia" w:ascii="微软雅黑" w:hAnsi="微软雅黑" w:eastAsia="宋体" w:cs="微软雅黑"/>
          <w:i w:val="0"/>
          <w:caps w:val="0"/>
          <w:color w:val="444444"/>
          <w:spacing w:val="0"/>
          <w:sz w:val="28"/>
          <w:szCs w:val="28"/>
          <w:shd w:val="clear" w:color="auto" w:fill="FFFFFF"/>
          <w:lang w:eastAsia="zh-CN"/>
        </w:rPr>
      </w:pPr>
      <w:r>
        <w:rPr>
          <w:rFonts w:hint="eastAsia" w:ascii="仿宋_GB2312" w:hAnsi="Tahoma" w:eastAsia="仿宋_GB2312" w:cs="Tahoma"/>
          <w:b/>
          <w:color w:val="000000"/>
          <w:sz w:val="28"/>
          <w:szCs w:val="28"/>
          <w:highlight w:val="none"/>
        </w:rPr>
        <w:t>区民政局</w:t>
      </w:r>
      <w:r>
        <w:rPr>
          <w:rFonts w:hint="eastAsia" w:ascii="仿宋_GB2312" w:hAnsi="Tahoma" w:eastAsia="仿宋_GB2312" w:cs="Tahoma"/>
          <w:color w:val="000000"/>
          <w:sz w:val="28"/>
          <w:szCs w:val="28"/>
          <w:highlight w:val="none"/>
        </w:rPr>
        <w:t>主要负责统筹推进、督促指导、监督管理本区养老服务工作，本区老年人福利和特殊困难老年人救助工作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本区社会团体、社会服务机构、基金会等社会组织的登记和监督管理工作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执行婚姻登记管理政策并组织实施，指导婚姻登记机构管理工作，推进婚俗改革</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执行殡葬管理政策并组织实施，指导殡葬服务机构管理工作，推进殡葬改革</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执行儿童福利、孤困儿童保障、儿童收养、儿童救助保护政策和标准，健全困境儿童保障制度，指导儿童福利机构管理工作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健全城乡社会救助体系</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负责城乡居民最低生活保障、临时救助。负责特困人员供养工作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负责城市生活无着流浪乞讨人员救助工作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负责本区行政区划的设立、命名、变更和政府及派出机关驻地迁移等审核上报工作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负责本区行政区域界线的管理工作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负责各镇街边界争议调处工作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执行对见义勇为人员的奖励和权益保护政策，负责组织实施见义勇为人员的奖励和权益保护工作</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执行本区残疾人社会福利政策并统筹实施，指导有关权益保护工作</w:t>
      </w:r>
      <w:r>
        <w:rPr>
          <w:rFonts w:hint="eastAsia" w:ascii="仿宋_GB2312" w:hAnsi="Tahoma" w:eastAsia="仿宋_GB2312" w:cs="Tahoma"/>
          <w:color w:val="000000"/>
          <w:sz w:val="28"/>
          <w:szCs w:val="28"/>
          <w:highlight w:val="none"/>
          <w:lang w:eastAsia="zh-CN"/>
        </w:rPr>
        <w:t>等。</w:t>
      </w:r>
    </w:p>
    <w:p w14:paraId="3715582D">
      <w:pPr>
        <w:ind w:firstLine="560" w:firstLineChars="200"/>
        <w:rPr>
          <w:rFonts w:hint="eastAsia" w:ascii="仿宋_GB2312" w:hAnsi="Tahoma" w:eastAsia="仿宋_GB2312" w:cs="Tahoma"/>
          <w:color w:val="000000"/>
          <w:sz w:val="28"/>
          <w:szCs w:val="28"/>
          <w:highlight w:val="none"/>
        </w:rPr>
      </w:pPr>
      <w:r>
        <w:rPr>
          <w:rFonts w:hint="eastAsia" w:ascii="仿宋_GB2312" w:hAnsi="Tahoma" w:eastAsia="仿宋_GB2312" w:cs="Tahoma"/>
          <w:color w:val="000000"/>
          <w:sz w:val="28"/>
          <w:szCs w:val="28"/>
          <w:lang w:eastAsia="zh-CN"/>
        </w:rPr>
        <w:t>（二）</w:t>
      </w:r>
      <w:r>
        <w:rPr>
          <w:rFonts w:hint="eastAsia" w:ascii="仿宋_GB2312" w:hAnsi="Tahoma" w:eastAsia="仿宋_GB2312" w:cs="Tahoma"/>
          <w:color w:val="000000"/>
          <w:sz w:val="28"/>
          <w:szCs w:val="28"/>
          <w:highlight w:val="none"/>
        </w:rPr>
        <w:t>区民政局</w:t>
      </w:r>
      <w:r>
        <w:rPr>
          <w:rFonts w:hint="eastAsia" w:ascii="仿宋_GB2312" w:hAnsi="Tahoma" w:eastAsia="仿宋_GB2312" w:cs="Tahoma"/>
          <w:color w:val="000000"/>
          <w:sz w:val="28"/>
          <w:szCs w:val="28"/>
          <w:highlight w:val="none"/>
          <w:lang w:eastAsia="zh-CN"/>
        </w:rPr>
        <w:t>为行政机关单位，</w:t>
      </w:r>
      <w:r>
        <w:rPr>
          <w:rFonts w:hint="eastAsia" w:ascii="仿宋_GB2312" w:hAnsi="Tahoma" w:eastAsia="仿宋_GB2312" w:cs="Tahoma"/>
          <w:color w:val="000000"/>
          <w:sz w:val="28"/>
          <w:szCs w:val="28"/>
          <w:highlight w:val="none"/>
        </w:rPr>
        <w:t>核定</w:t>
      </w:r>
      <w:r>
        <w:rPr>
          <w:rFonts w:hint="eastAsia" w:ascii="仿宋_GB2312" w:hAnsi="Tahoma" w:eastAsia="仿宋_GB2312" w:cs="Tahoma"/>
          <w:color w:val="000000"/>
          <w:sz w:val="28"/>
          <w:szCs w:val="28"/>
          <w:highlight w:val="none"/>
          <w:lang w:val="en-US" w:eastAsia="zh-CN"/>
        </w:rPr>
        <w:t>6</w:t>
      </w:r>
      <w:r>
        <w:rPr>
          <w:rFonts w:hint="eastAsia" w:ascii="仿宋_GB2312" w:hAnsi="Tahoma" w:eastAsia="仿宋_GB2312" w:cs="Tahoma"/>
          <w:color w:val="000000"/>
          <w:sz w:val="28"/>
          <w:szCs w:val="28"/>
          <w:highlight w:val="none"/>
        </w:rPr>
        <w:t>个机关科室、</w:t>
      </w:r>
      <w:r>
        <w:rPr>
          <w:rFonts w:hint="eastAsia" w:ascii="仿宋_GB2312" w:hAnsi="Tahoma" w:eastAsia="仿宋_GB2312" w:cs="Tahoma"/>
          <w:color w:val="000000"/>
          <w:sz w:val="28"/>
          <w:szCs w:val="28"/>
          <w:highlight w:val="none"/>
          <w:lang w:val="en-US" w:eastAsia="zh-CN"/>
        </w:rPr>
        <w:t>8</w:t>
      </w:r>
      <w:r>
        <w:rPr>
          <w:rFonts w:hint="eastAsia" w:ascii="仿宋_GB2312" w:hAnsi="Tahoma" w:eastAsia="仿宋_GB2312" w:cs="Tahoma"/>
          <w:color w:val="000000"/>
          <w:sz w:val="28"/>
          <w:szCs w:val="28"/>
          <w:highlight w:val="none"/>
        </w:rPr>
        <w:t>个事业单位。</w:t>
      </w:r>
      <w:r>
        <w:rPr>
          <w:rFonts w:hint="eastAsia" w:ascii="仿宋_GB2312" w:hAnsi="Tahoma" w:eastAsia="仿宋_GB2312" w:cs="Tahoma"/>
          <w:color w:val="000000"/>
          <w:sz w:val="28"/>
          <w:szCs w:val="28"/>
          <w:highlight w:val="none"/>
          <w:lang w:val="en-US" w:eastAsia="zh-CN"/>
        </w:rPr>
        <w:t>6</w:t>
      </w:r>
      <w:r>
        <w:rPr>
          <w:rFonts w:hint="eastAsia" w:ascii="仿宋_GB2312" w:hAnsi="Tahoma" w:eastAsia="仿宋_GB2312" w:cs="Tahoma"/>
          <w:color w:val="000000"/>
          <w:sz w:val="28"/>
          <w:szCs w:val="28"/>
          <w:highlight w:val="none"/>
        </w:rPr>
        <w:t>个科室包括</w:t>
      </w:r>
      <w:r>
        <w:rPr>
          <w:rFonts w:hint="eastAsia" w:ascii="仿宋_GB2312" w:hAnsi="Tahoma" w:eastAsia="仿宋_GB2312" w:cs="Tahoma"/>
          <w:color w:val="000000"/>
          <w:sz w:val="28"/>
          <w:szCs w:val="28"/>
          <w:highlight w:val="none"/>
          <w:lang w:eastAsia="zh-CN"/>
        </w:rPr>
        <w:t>综合</w:t>
      </w:r>
      <w:r>
        <w:rPr>
          <w:rFonts w:hint="eastAsia" w:ascii="仿宋_GB2312" w:hAnsi="Tahoma" w:eastAsia="仿宋_GB2312" w:cs="Tahoma"/>
          <w:color w:val="000000"/>
          <w:sz w:val="28"/>
          <w:szCs w:val="28"/>
          <w:highlight w:val="none"/>
        </w:rPr>
        <w:t>办公室、</w:t>
      </w:r>
      <w:r>
        <w:rPr>
          <w:rFonts w:hint="eastAsia" w:ascii="仿宋_GB2312" w:hAnsi="Tahoma" w:eastAsia="仿宋_GB2312" w:cs="Tahoma"/>
          <w:color w:val="000000"/>
          <w:sz w:val="28"/>
          <w:szCs w:val="28"/>
          <w:highlight w:val="none"/>
          <w:lang w:eastAsia="zh-CN"/>
        </w:rPr>
        <w:t>政工</w:t>
      </w:r>
      <w:r>
        <w:rPr>
          <w:rFonts w:hint="eastAsia" w:ascii="仿宋_GB2312" w:hAnsi="Tahoma" w:eastAsia="仿宋_GB2312" w:cs="Tahoma"/>
          <w:color w:val="000000"/>
          <w:sz w:val="28"/>
          <w:szCs w:val="28"/>
          <w:highlight w:val="none"/>
        </w:rPr>
        <w:t>科、社会组织科、社会救助和社会福利科、社会事务科、</w:t>
      </w:r>
      <w:r>
        <w:rPr>
          <w:rFonts w:hint="eastAsia" w:ascii="仿宋_GB2312" w:hAnsi="Tahoma" w:eastAsia="仿宋_GB2312" w:cs="Tahoma"/>
          <w:color w:val="000000"/>
          <w:sz w:val="28"/>
          <w:szCs w:val="28"/>
          <w:highlight w:val="none"/>
          <w:lang w:eastAsia="zh-CN"/>
        </w:rPr>
        <w:t>养老服务科</w:t>
      </w:r>
      <w:r>
        <w:rPr>
          <w:rFonts w:hint="eastAsia" w:ascii="仿宋_GB2312" w:hAnsi="Tahoma" w:eastAsia="仿宋_GB2312" w:cs="Tahoma"/>
          <w:color w:val="000000"/>
          <w:sz w:val="28"/>
          <w:szCs w:val="28"/>
          <w:highlight w:val="none"/>
        </w:rPr>
        <w:t>。</w:t>
      </w:r>
      <w:r>
        <w:rPr>
          <w:rFonts w:hint="eastAsia" w:ascii="仿宋_GB2312" w:hAnsi="Tahoma" w:eastAsia="仿宋_GB2312" w:cs="Tahoma"/>
          <w:color w:val="000000"/>
          <w:sz w:val="28"/>
          <w:szCs w:val="28"/>
          <w:highlight w:val="none"/>
          <w:lang w:val="en-US" w:eastAsia="zh-CN"/>
        </w:rPr>
        <w:t>8</w:t>
      </w:r>
      <w:r>
        <w:rPr>
          <w:rFonts w:hint="eastAsia" w:ascii="仿宋_GB2312" w:hAnsi="Tahoma" w:eastAsia="仿宋_GB2312" w:cs="Tahoma"/>
          <w:color w:val="000000"/>
          <w:sz w:val="28"/>
          <w:szCs w:val="28"/>
          <w:highlight w:val="none"/>
        </w:rPr>
        <w:t>个事业单位包括大兴区接受捐赠工作站、大兴区婚姻登记中心、大兴区儿童福利院(挂北京市大兴区未成年人社会保护中心、北京市大兴区反家暴救助中心牌子 )、大兴区救助管理站、大兴区困难群众救助服务指导中心(挂北京市大兴区居民经济状况核对中心 )、大兴区民政局综合事务中心、大兴区老龄事业发展中心</w:t>
      </w:r>
      <w:r>
        <w:rPr>
          <w:rFonts w:hint="eastAsia" w:ascii="仿宋_GB2312" w:hAnsi="Tahoma" w:eastAsia="仿宋_GB2312" w:cs="Tahoma"/>
          <w:color w:val="000000"/>
          <w:sz w:val="28"/>
          <w:szCs w:val="28"/>
          <w:highlight w:val="none"/>
          <w:lang w:eastAsia="zh-CN"/>
        </w:rPr>
        <w:t>、</w:t>
      </w:r>
      <w:r>
        <w:rPr>
          <w:rFonts w:hint="eastAsia" w:ascii="仿宋_GB2312" w:hAnsi="Tahoma" w:eastAsia="仿宋_GB2312" w:cs="Tahoma"/>
          <w:color w:val="000000"/>
          <w:sz w:val="28"/>
          <w:szCs w:val="28"/>
          <w:highlight w:val="none"/>
        </w:rPr>
        <w:t>大兴区养老服务指导中心。</w:t>
      </w:r>
    </w:p>
    <w:p w14:paraId="25A1BEA6">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lang w:val="en-US" w:eastAsia="zh-CN"/>
        </w:rPr>
        <w:t>二</w:t>
      </w:r>
      <w:r>
        <w:rPr>
          <w:rFonts w:hint="eastAsia" w:ascii="黑体" w:eastAsia="黑体"/>
          <w:sz w:val="28"/>
          <w:szCs w:val="28"/>
        </w:rPr>
        <w:t>、收入支出决算总体情况说明</w:t>
      </w:r>
    </w:p>
    <w:p w14:paraId="2D37376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w:t>
      </w:r>
      <w:r>
        <w:rPr>
          <w:rFonts w:hint="eastAsia" w:ascii="仿宋_GB2312" w:eastAsia="仿宋_GB2312"/>
          <w:sz w:val="28"/>
          <w:szCs w:val="28"/>
          <w:lang w:val="en-US" w:eastAsia="zh-CN"/>
        </w:rPr>
        <w:t>收、支</w:t>
      </w:r>
      <w:r>
        <w:rPr>
          <w:rFonts w:hint="eastAsia" w:ascii="仿宋_GB2312" w:eastAsia="仿宋_GB2312"/>
          <w:sz w:val="28"/>
          <w:szCs w:val="28"/>
        </w:rPr>
        <w:t>总计</w:t>
      </w:r>
      <w:r>
        <w:rPr>
          <w:rFonts w:hint="eastAsia" w:ascii="仿宋_GB2312" w:eastAsia="仿宋_GB2312"/>
          <w:sz w:val="28"/>
          <w:szCs w:val="28"/>
          <w:lang w:val="en-US" w:eastAsia="zh-CN"/>
        </w:rPr>
        <w:t>47456.48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2635.97</w:t>
      </w:r>
      <w:r>
        <w:rPr>
          <w:rFonts w:hint="eastAsia" w:ascii="仿宋_GB2312" w:eastAsia="仿宋_GB2312"/>
          <w:sz w:val="28"/>
          <w:szCs w:val="28"/>
        </w:rPr>
        <w:t>万元，增长</w:t>
      </w:r>
      <w:r>
        <w:rPr>
          <w:rFonts w:hint="eastAsia" w:ascii="仿宋_GB2312" w:eastAsia="仿宋_GB2312"/>
          <w:sz w:val="28"/>
          <w:szCs w:val="28"/>
          <w:lang w:val="en-US" w:eastAsia="zh-CN"/>
        </w:rPr>
        <w:t>5.88</w:t>
      </w:r>
      <w:r>
        <w:rPr>
          <w:rFonts w:hint="eastAsia" w:ascii="仿宋_GB2312" w:eastAsia="仿宋_GB2312"/>
          <w:sz w:val="28"/>
          <w:szCs w:val="28"/>
        </w:rPr>
        <w:t>%。</w:t>
      </w:r>
    </w:p>
    <w:p w14:paraId="3221D1E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CF1DD06">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47067.54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2247.03</w:t>
      </w:r>
      <w:r>
        <w:rPr>
          <w:rFonts w:hint="eastAsia" w:ascii="仿宋_GB2312" w:eastAsia="仿宋_GB2312"/>
          <w:sz w:val="28"/>
          <w:szCs w:val="28"/>
        </w:rPr>
        <w:t>万元，增长</w:t>
      </w:r>
      <w:r>
        <w:rPr>
          <w:rFonts w:hint="eastAsia" w:ascii="仿宋_GB2312" w:eastAsia="仿宋_GB2312"/>
          <w:sz w:val="28"/>
          <w:szCs w:val="28"/>
          <w:lang w:val="en-US" w:eastAsia="zh-CN"/>
        </w:rPr>
        <w:t>5.01</w:t>
      </w:r>
      <w:r>
        <w:rPr>
          <w:rFonts w:hint="eastAsia" w:ascii="仿宋_GB2312" w:eastAsia="仿宋_GB2312"/>
          <w:sz w:val="28"/>
          <w:szCs w:val="28"/>
        </w:rPr>
        <w:t>%。</w:t>
      </w:r>
      <w:r>
        <w:rPr>
          <w:rFonts w:hint="eastAsia" w:ascii="仿宋_GB2312" w:eastAsia="仿宋_GB2312"/>
          <w:sz w:val="28"/>
          <w:szCs w:val="28"/>
          <w:lang w:val="en-US" w:eastAsia="zh-CN"/>
        </w:rPr>
        <w:t>其中：</w:t>
      </w:r>
    </w:p>
    <w:p w14:paraId="4738727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47050.76</w:t>
      </w:r>
      <w:r>
        <w:rPr>
          <w:rFonts w:hint="eastAsia" w:ascii="仿宋_GB2312" w:eastAsia="仿宋_GB2312"/>
          <w:sz w:val="28"/>
          <w:szCs w:val="28"/>
        </w:rPr>
        <w:t>万元，占收入合计的</w:t>
      </w:r>
      <w:r>
        <w:rPr>
          <w:rFonts w:hint="eastAsia" w:ascii="仿宋_GB2312" w:eastAsia="仿宋_GB2312"/>
          <w:sz w:val="28"/>
          <w:szCs w:val="28"/>
          <w:lang w:val="en-US" w:eastAsia="zh-CN"/>
        </w:rPr>
        <w:t>99.96</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40715.57</w:t>
      </w:r>
      <w:r>
        <w:rPr>
          <w:rFonts w:hint="eastAsia" w:ascii="仿宋_GB2312" w:eastAsia="仿宋_GB2312"/>
          <w:sz w:val="28"/>
          <w:szCs w:val="28"/>
        </w:rPr>
        <w:t>万元，占收入合计的</w:t>
      </w:r>
      <w:r>
        <w:rPr>
          <w:rFonts w:hint="eastAsia" w:ascii="仿宋_GB2312" w:eastAsia="仿宋_GB2312"/>
          <w:sz w:val="28"/>
          <w:szCs w:val="28"/>
          <w:lang w:val="en-US" w:eastAsia="zh-CN"/>
        </w:rPr>
        <w:t>86.50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6335.19</w:t>
      </w:r>
      <w:r>
        <w:rPr>
          <w:rFonts w:hint="eastAsia" w:ascii="仿宋_GB2312" w:eastAsia="仿宋_GB2312"/>
          <w:sz w:val="28"/>
          <w:szCs w:val="28"/>
        </w:rPr>
        <w:t>万元，占收入合计的</w:t>
      </w:r>
      <w:r>
        <w:rPr>
          <w:rFonts w:hint="eastAsia" w:ascii="仿宋_GB2312" w:eastAsia="仿宋_GB2312"/>
          <w:sz w:val="28"/>
          <w:szCs w:val="28"/>
          <w:lang w:val="en-US" w:eastAsia="zh-CN"/>
        </w:rPr>
        <w:t>13.46</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DE41D9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7F79A4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713DBE8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4171A0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4CA8EE4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16.78</w:t>
      </w:r>
      <w:r>
        <w:rPr>
          <w:rFonts w:hint="eastAsia" w:ascii="仿宋_GB2312" w:eastAsia="仿宋_GB2312"/>
          <w:sz w:val="28"/>
          <w:szCs w:val="28"/>
        </w:rPr>
        <w:t>万元，占收入合计的</w:t>
      </w:r>
      <w:r>
        <w:rPr>
          <w:rFonts w:hint="eastAsia" w:ascii="仿宋_GB2312" w:eastAsia="仿宋_GB2312"/>
          <w:sz w:val="28"/>
          <w:szCs w:val="28"/>
          <w:lang w:val="en-US" w:eastAsia="zh-CN"/>
        </w:rPr>
        <w:t>0.04</w:t>
      </w:r>
      <w:r>
        <w:rPr>
          <w:rFonts w:hint="eastAsia" w:ascii="仿宋_GB2312" w:eastAsia="仿宋_GB2312"/>
          <w:sz w:val="28"/>
          <w:szCs w:val="28"/>
        </w:rPr>
        <w:t>%。</w:t>
      </w:r>
    </w:p>
    <w:p w14:paraId="11531172">
      <w:pPr>
        <w:pStyle w:val="2"/>
        <w:jc w:val="center"/>
      </w:pPr>
      <w:r>
        <w:rPr>
          <w:rFonts w:hint="eastAsia" w:ascii="仿宋_GB2312" w:eastAsia="仿宋_GB2312"/>
          <w:color w:val="000000"/>
          <w:sz w:val="32"/>
        </w:rPr>
        <w:t>图1：收入</w:t>
      </w:r>
      <w:r>
        <w:rPr>
          <w:rFonts w:hint="eastAsia" w:ascii="仿宋_GB2312" w:eastAsia="仿宋_GB2312"/>
          <w:color w:val="000000"/>
          <w:sz w:val="32"/>
          <w:lang w:eastAsia="zh-CN"/>
        </w:rPr>
        <w:t>决</w:t>
      </w:r>
      <w:r>
        <w:rPr>
          <w:rFonts w:hint="eastAsia" w:ascii="仿宋_GB2312" w:eastAsia="仿宋_GB2312"/>
          <w:color w:val="000000"/>
          <w:sz w:val="32"/>
        </w:rPr>
        <w:t>算</w:t>
      </w:r>
    </w:p>
    <w:p w14:paraId="39D8CF65">
      <w:pPr>
        <w:pStyle w:val="2"/>
        <w:jc w:val="center"/>
        <w:rPr>
          <w:rFonts w:hint="eastAsia" w:ascii="仿宋_GB2312" w:eastAsia="仿宋_GB2312"/>
          <w:color w:val="000000"/>
          <w:sz w:val="32"/>
        </w:rPr>
      </w:pPr>
      <w:r>
        <w:drawing>
          <wp:inline distT="0" distB="0" distL="114300" distR="114300">
            <wp:extent cx="3578225" cy="1762125"/>
            <wp:effectExtent l="4445" t="4445" r="17780" b="508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AF7E19C">
      <w:pPr>
        <w:tabs>
          <w:tab w:val="center" w:pos="6979"/>
        </w:tabs>
        <w:spacing w:line="580" w:lineRule="exact"/>
        <w:ind w:firstLine="570"/>
        <w:rPr>
          <w:rFonts w:hint="eastAsia" w:ascii="仿宋_GB2312" w:eastAsia="仿宋_GB2312"/>
          <w:sz w:val="28"/>
          <w:szCs w:val="28"/>
        </w:rPr>
      </w:pPr>
    </w:p>
    <w:p w14:paraId="638AA8D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8241A72">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47456.48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2635.97</w:t>
      </w:r>
      <w:r>
        <w:rPr>
          <w:rFonts w:hint="eastAsia" w:ascii="仿宋_GB2312" w:eastAsia="仿宋_GB2312"/>
          <w:sz w:val="28"/>
          <w:szCs w:val="28"/>
        </w:rPr>
        <w:t>万元，增长</w:t>
      </w:r>
      <w:r>
        <w:rPr>
          <w:rFonts w:hint="eastAsia" w:ascii="仿宋_GB2312" w:eastAsia="仿宋_GB2312"/>
          <w:sz w:val="28"/>
          <w:szCs w:val="28"/>
          <w:lang w:val="en-US" w:eastAsia="zh-CN"/>
        </w:rPr>
        <w:t>5.88</w:t>
      </w:r>
      <w:r>
        <w:rPr>
          <w:rFonts w:hint="eastAsia" w:ascii="仿宋_GB2312" w:eastAsia="仿宋_GB2312"/>
          <w:sz w:val="28"/>
          <w:szCs w:val="28"/>
        </w:rPr>
        <w:t>%。</w:t>
      </w:r>
      <w:r>
        <w:rPr>
          <w:rFonts w:hint="eastAsia" w:ascii="仿宋_GB2312" w:eastAsia="仿宋_GB2312"/>
          <w:sz w:val="28"/>
          <w:szCs w:val="28"/>
          <w:lang w:val="en-US" w:eastAsia="zh-CN"/>
        </w:rPr>
        <w:t>其中：</w:t>
      </w:r>
    </w:p>
    <w:p w14:paraId="5CA9708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4333.39</w:t>
      </w:r>
      <w:r>
        <w:rPr>
          <w:rFonts w:hint="eastAsia" w:ascii="仿宋_GB2312" w:eastAsia="仿宋_GB2312"/>
          <w:sz w:val="28"/>
          <w:szCs w:val="28"/>
        </w:rPr>
        <w:t>万元，占支出合计的</w:t>
      </w:r>
      <w:r>
        <w:rPr>
          <w:rFonts w:hint="eastAsia" w:ascii="仿宋_GB2312" w:eastAsia="仿宋_GB2312"/>
          <w:sz w:val="28"/>
          <w:szCs w:val="28"/>
          <w:lang w:val="en-US" w:eastAsia="zh-CN"/>
        </w:rPr>
        <w:t>9.13</w:t>
      </w:r>
      <w:r>
        <w:rPr>
          <w:rFonts w:hint="eastAsia" w:ascii="仿宋_GB2312" w:eastAsia="仿宋_GB2312"/>
          <w:sz w:val="28"/>
          <w:szCs w:val="28"/>
        </w:rPr>
        <w:t>%。</w:t>
      </w:r>
    </w:p>
    <w:p w14:paraId="6A2C59F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43123.09</w:t>
      </w:r>
      <w:r>
        <w:rPr>
          <w:rFonts w:hint="eastAsia" w:ascii="仿宋_GB2312" w:eastAsia="仿宋_GB2312"/>
          <w:sz w:val="28"/>
          <w:szCs w:val="28"/>
        </w:rPr>
        <w:t>万元，占支出合计的</w:t>
      </w:r>
      <w:r>
        <w:rPr>
          <w:rFonts w:hint="eastAsia" w:ascii="仿宋_GB2312" w:eastAsia="仿宋_GB2312"/>
          <w:sz w:val="28"/>
          <w:szCs w:val="28"/>
          <w:lang w:val="en-US" w:eastAsia="zh-CN"/>
        </w:rPr>
        <w:t>90.87</w:t>
      </w:r>
      <w:r>
        <w:rPr>
          <w:rFonts w:hint="eastAsia" w:ascii="仿宋_GB2312" w:eastAsia="仿宋_GB2312"/>
          <w:sz w:val="28"/>
          <w:szCs w:val="28"/>
        </w:rPr>
        <w:t>%。</w:t>
      </w:r>
    </w:p>
    <w:p w14:paraId="7CCC927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415EA8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456F70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EE54E73">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53D30E61">
      <w:pPr>
        <w:jc w:val="center"/>
        <w:rPr>
          <w:rFonts w:hint="eastAsia" w:ascii="黑体" w:eastAsia="黑体"/>
          <w:b/>
          <w:sz w:val="28"/>
          <w:szCs w:val="28"/>
        </w:rPr>
      </w:pPr>
      <w:r>
        <w:drawing>
          <wp:inline distT="0" distB="0" distL="114300" distR="114300">
            <wp:extent cx="3692525" cy="1933575"/>
            <wp:effectExtent l="4445" t="5080" r="17780" b="444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A93EF48">
      <w:pPr>
        <w:tabs>
          <w:tab w:val="center" w:pos="6979"/>
        </w:tabs>
        <w:spacing w:line="580" w:lineRule="exact"/>
        <w:ind w:firstLine="570"/>
        <w:rPr>
          <w:rFonts w:hint="eastAsia" w:ascii="仿宋_GB2312" w:eastAsia="仿宋_GB2312"/>
          <w:sz w:val="28"/>
          <w:szCs w:val="28"/>
        </w:rPr>
      </w:pPr>
    </w:p>
    <w:p w14:paraId="78326F71">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三</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14:paraId="1828075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w:t>
      </w:r>
      <w:r>
        <w:rPr>
          <w:rFonts w:hint="eastAsia" w:ascii="仿宋_GB2312" w:eastAsia="仿宋_GB2312"/>
          <w:sz w:val="28"/>
          <w:szCs w:val="28"/>
          <w:lang w:val="en-US" w:eastAsia="zh-CN"/>
        </w:rPr>
        <w:t>收、支</w:t>
      </w:r>
      <w:r>
        <w:rPr>
          <w:rFonts w:hint="eastAsia" w:ascii="仿宋_GB2312" w:eastAsia="仿宋_GB2312"/>
          <w:sz w:val="28"/>
          <w:szCs w:val="28"/>
        </w:rPr>
        <w:t>总计</w:t>
      </w:r>
      <w:r>
        <w:rPr>
          <w:rFonts w:hint="eastAsia" w:ascii="仿宋_GB2312" w:eastAsia="仿宋_GB2312"/>
          <w:sz w:val="28"/>
          <w:szCs w:val="28"/>
          <w:lang w:val="en-US" w:eastAsia="zh-CN"/>
        </w:rPr>
        <w:t>47439.70</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2619.19</w:t>
      </w:r>
      <w:r>
        <w:rPr>
          <w:rFonts w:hint="eastAsia" w:ascii="仿宋_GB2312" w:eastAsia="仿宋_GB2312"/>
          <w:sz w:val="28"/>
          <w:szCs w:val="28"/>
        </w:rPr>
        <w:t>万元，增长</w:t>
      </w:r>
      <w:r>
        <w:rPr>
          <w:rFonts w:hint="eastAsia" w:ascii="仿宋_GB2312" w:eastAsia="仿宋_GB2312"/>
          <w:sz w:val="28"/>
          <w:szCs w:val="28"/>
          <w:lang w:val="en-US" w:eastAsia="zh-CN"/>
        </w:rPr>
        <w:t>5.84</w:t>
      </w:r>
      <w:r>
        <w:rPr>
          <w:rFonts w:hint="eastAsia" w:ascii="仿宋_GB2312" w:eastAsia="仿宋_GB2312"/>
          <w:sz w:val="28"/>
          <w:szCs w:val="28"/>
        </w:rPr>
        <w:t>%。</w:t>
      </w:r>
    </w:p>
    <w:p w14:paraId="0FDE8A43">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四</w:t>
      </w:r>
      <w:r>
        <w:rPr>
          <w:rFonts w:hint="eastAsia" w:ascii="黑体" w:eastAsia="黑体"/>
          <w:sz w:val="28"/>
          <w:szCs w:val="28"/>
        </w:rPr>
        <w:t>、一般公共预算财政拨款支出决算情况说明</w:t>
      </w:r>
    </w:p>
    <w:p w14:paraId="4EBF14D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BDC42D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41104.51</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31.88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0.08</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39.53万元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40305.62万元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98.06</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338.54万元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0.82</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388.94万元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0.95</w:t>
      </w:r>
      <w:r>
        <w:rPr>
          <w:rFonts w:hint="eastAsia" w:ascii="仿宋_GB2312" w:eastAsia="仿宋_GB2312"/>
          <w:sz w:val="28"/>
          <w:szCs w:val="28"/>
        </w:rPr>
        <w:t>%。</w:t>
      </w:r>
    </w:p>
    <w:p w14:paraId="1E8E582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0E1572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31.88</w:t>
      </w:r>
      <w:r>
        <w:rPr>
          <w:rFonts w:hint="eastAsia" w:ascii="仿宋_GB2312" w:eastAsia="仿宋_GB2312"/>
          <w:sz w:val="28"/>
          <w:szCs w:val="28"/>
        </w:rPr>
        <w:t>万元。其中：</w:t>
      </w:r>
    </w:p>
    <w:p w14:paraId="2146BB7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社会工作</w:t>
      </w:r>
      <w:r>
        <w:rPr>
          <w:rFonts w:hint="eastAsia" w:ascii="仿宋_GB2312" w:eastAsia="仿宋_GB2312"/>
          <w:sz w:val="28"/>
          <w:szCs w:val="28"/>
        </w:rPr>
        <w:t>事务”（款，下同）2024年度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31.88</w:t>
      </w:r>
      <w:r>
        <w:rPr>
          <w:rFonts w:hint="eastAsia" w:ascii="仿宋_GB2312" w:eastAsia="仿宋_GB2312"/>
          <w:sz w:val="28"/>
          <w:szCs w:val="28"/>
        </w:rPr>
        <w:t>万元。主要原因：</w:t>
      </w:r>
      <w:r>
        <w:rPr>
          <w:rFonts w:hint="eastAsia" w:ascii="仿宋_GB2312" w:eastAsia="仿宋_GB2312"/>
          <w:sz w:val="28"/>
          <w:szCs w:val="28"/>
          <w:lang w:eastAsia="zh-CN"/>
        </w:rPr>
        <w:t>追加市级社会建设资金</w:t>
      </w:r>
      <w:r>
        <w:rPr>
          <w:rFonts w:hint="eastAsia" w:ascii="仿宋_GB2312" w:eastAsia="仿宋_GB2312"/>
          <w:sz w:val="28"/>
          <w:szCs w:val="28"/>
        </w:rPr>
        <w:t>。</w:t>
      </w:r>
    </w:p>
    <w:p w14:paraId="1629A0D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教育支出</w:t>
      </w:r>
      <w:r>
        <w:rPr>
          <w:rFonts w:hint="eastAsia" w:ascii="仿宋_GB2312" w:eastAsia="仿宋_GB2312"/>
          <w:sz w:val="28"/>
          <w:szCs w:val="28"/>
        </w:rPr>
        <w:t>”(类)2024年度</w:t>
      </w:r>
      <w:r>
        <w:rPr>
          <w:rFonts w:hint="eastAsia" w:ascii="仿宋_GB2312" w:eastAsia="仿宋_GB2312"/>
          <w:sz w:val="28"/>
          <w:szCs w:val="28"/>
          <w:lang w:val="en-US" w:eastAsia="zh-CN"/>
        </w:rPr>
        <w:t>年初预算110.00万元，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39.53</w:t>
      </w:r>
      <w:r>
        <w:rPr>
          <w:rFonts w:hint="eastAsia" w:ascii="仿宋_GB2312" w:eastAsia="仿宋_GB2312"/>
          <w:sz w:val="28"/>
          <w:szCs w:val="28"/>
        </w:rPr>
        <w:t>万元，</w:t>
      </w:r>
      <w:r>
        <w:rPr>
          <w:rFonts w:hint="eastAsia" w:ascii="仿宋_GB2312" w:eastAsia="仿宋_GB2312"/>
          <w:sz w:val="28"/>
          <w:szCs w:val="28"/>
          <w:lang w:val="en-US" w:eastAsia="zh-CN"/>
        </w:rPr>
        <w:t>完成年初预算的35.94</w:t>
      </w:r>
      <w:r>
        <w:rPr>
          <w:rFonts w:hint="eastAsia" w:ascii="仿宋_GB2312" w:eastAsia="仿宋_GB2312"/>
          <w:sz w:val="28"/>
          <w:szCs w:val="28"/>
        </w:rPr>
        <w:t>%。其中：</w:t>
      </w:r>
    </w:p>
    <w:p w14:paraId="1119340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”（款）2024年度</w:t>
      </w:r>
      <w:r>
        <w:rPr>
          <w:rFonts w:hint="eastAsia" w:ascii="仿宋_GB2312" w:eastAsia="仿宋_GB2312"/>
          <w:sz w:val="28"/>
          <w:szCs w:val="28"/>
          <w:lang w:val="en-US" w:eastAsia="zh-CN"/>
        </w:rPr>
        <w:t>年初预算110.00万元，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39.53</w:t>
      </w:r>
      <w:r>
        <w:rPr>
          <w:rFonts w:hint="eastAsia" w:ascii="仿宋_GB2312" w:eastAsia="仿宋_GB2312"/>
          <w:sz w:val="28"/>
          <w:szCs w:val="28"/>
        </w:rPr>
        <w:t>万元，</w:t>
      </w:r>
      <w:r>
        <w:rPr>
          <w:rFonts w:hint="eastAsia" w:ascii="仿宋_GB2312" w:eastAsia="仿宋_GB2312"/>
          <w:sz w:val="28"/>
          <w:szCs w:val="28"/>
          <w:lang w:val="en-US" w:eastAsia="zh-CN"/>
        </w:rPr>
        <w:t>完成年初预算的35.94</w:t>
      </w:r>
      <w:r>
        <w:rPr>
          <w:rFonts w:hint="eastAsia" w:ascii="仿宋_GB2312" w:eastAsia="仿宋_GB2312"/>
          <w:sz w:val="28"/>
          <w:szCs w:val="28"/>
        </w:rPr>
        <w:t>%。主要原因：</w:t>
      </w:r>
      <w:r>
        <w:rPr>
          <w:rFonts w:hint="eastAsia" w:ascii="仿宋_GB2312" w:eastAsia="仿宋_GB2312"/>
          <w:sz w:val="28"/>
          <w:szCs w:val="28"/>
          <w:lang w:eastAsia="zh-CN"/>
        </w:rPr>
        <w:t>机构改革，部分培训项目指标追减至社会工作部</w:t>
      </w:r>
      <w:r>
        <w:rPr>
          <w:rFonts w:hint="eastAsia" w:ascii="仿宋_GB2312" w:eastAsia="仿宋_GB2312"/>
          <w:sz w:val="28"/>
          <w:szCs w:val="28"/>
        </w:rPr>
        <w:t>。</w:t>
      </w:r>
    </w:p>
    <w:p w14:paraId="78621BF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社会保障支出</w:t>
      </w:r>
      <w:r>
        <w:rPr>
          <w:rFonts w:hint="eastAsia" w:ascii="仿宋_GB2312" w:eastAsia="仿宋_GB2312"/>
          <w:sz w:val="28"/>
          <w:szCs w:val="28"/>
        </w:rPr>
        <w:t>”(类) 2024年度</w:t>
      </w:r>
      <w:r>
        <w:rPr>
          <w:rFonts w:hint="eastAsia" w:ascii="仿宋_GB2312" w:eastAsia="仿宋_GB2312"/>
          <w:sz w:val="28"/>
          <w:szCs w:val="28"/>
          <w:lang w:val="en-US" w:eastAsia="zh-CN"/>
        </w:rPr>
        <w:t>年初预算45068.25万元，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40305.62</w:t>
      </w:r>
      <w:r>
        <w:rPr>
          <w:rFonts w:hint="eastAsia" w:ascii="仿宋_GB2312" w:eastAsia="仿宋_GB2312"/>
          <w:sz w:val="28"/>
          <w:szCs w:val="28"/>
        </w:rPr>
        <w:t>万元，</w:t>
      </w:r>
      <w:r>
        <w:rPr>
          <w:rFonts w:hint="eastAsia" w:ascii="仿宋_GB2312" w:eastAsia="仿宋_GB2312"/>
          <w:sz w:val="28"/>
          <w:szCs w:val="28"/>
          <w:lang w:val="en-US" w:eastAsia="zh-CN"/>
        </w:rPr>
        <w:t>完成年初预算的89.43</w:t>
      </w:r>
      <w:r>
        <w:rPr>
          <w:rFonts w:hint="eastAsia" w:ascii="仿宋_GB2312" w:eastAsia="仿宋_GB2312"/>
          <w:sz w:val="28"/>
          <w:szCs w:val="28"/>
        </w:rPr>
        <w:t>%。其中：</w:t>
      </w:r>
    </w:p>
    <w:p w14:paraId="26270EE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“人力资源和社会保障管理事务”（款） 2024年度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70.92</w:t>
      </w:r>
      <w:r>
        <w:rPr>
          <w:rFonts w:hint="eastAsia" w:ascii="仿宋_GB2312" w:eastAsia="仿宋_GB2312"/>
          <w:sz w:val="28"/>
          <w:szCs w:val="28"/>
        </w:rPr>
        <w:t>万元。主要原因：</w:t>
      </w:r>
      <w:r>
        <w:rPr>
          <w:rFonts w:hint="eastAsia" w:ascii="仿宋_GB2312" w:eastAsia="仿宋_GB2312"/>
          <w:sz w:val="28"/>
          <w:szCs w:val="28"/>
          <w:lang w:eastAsia="zh-CN"/>
        </w:rPr>
        <w:t>市级追加见义勇为死亡人员褒扬金</w:t>
      </w:r>
      <w:r>
        <w:rPr>
          <w:rFonts w:hint="eastAsia" w:ascii="仿宋_GB2312" w:eastAsia="仿宋_GB2312"/>
          <w:sz w:val="28"/>
          <w:szCs w:val="28"/>
        </w:rPr>
        <w:t>。</w:t>
      </w:r>
    </w:p>
    <w:p w14:paraId="0DD1DD5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民政管理事务</w:t>
      </w:r>
      <w:r>
        <w:rPr>
          <w:rFonts w:hint="eastAsia" w:ascii="仿宋_GB2312" w:eastAsia="仿宋_GB2312"/>
          <w:sz w:val="28"/>
          <w:szCs w:val="28"/>
        </w:rPr>
        <w:t>”（款）2024年度</w:t>
      </w:r>
      <w:r>
        <w:rPr>
          <w:rFonts w:hint="eastAsia" w:ascii="仿宋_GB2312" w:eastAsia="仿宋_GB2312"/>
          <w:sz w:val="28"/>
          <w:szCs w:val="28"/>
          <w:lang w:val="en-US" w:eastAsia="zh-CN"/>
        </w:rPr>
        <w:t>年初预算4609.11万元，</w:t>
      </w:r>
      <w:r>
        <w:rPr>
          <w:rFonts w:hint="eastAsia" w:ascii="仿宋_GB2312" w:eastAsia="仿宋_GB2312"/>
          <w:sz w:val="28"/>
          <w:szCs w:val="28"/>
        </w:rPr>
        <w:t>2024年度决算</w:t>
      </w:r>
      <w:r>
        <w:rPr>
          <w:rFonts w:hint="eastAsia" w:ascii="仿宋_GB2312" w:eastAsia="仿宋_GB2312"/>
          <w:sz w:val="28"/>
          <w:szCs w:val="28"/>
          <w:lang w:val="en-US" w:eastAsia="zh-CN"/>
        </w:rPr>
        <w:t>4276.38</w:t>
      </w:r>
      <w:r>
        <w:rPr>
          <w:rFonts w:hint="eastAsia" w:ascii="仿宋_GB2312" w:eastAsia="仿宋_GB2312"/>
          <w:sz w:val="28"/>
          <w:szCs w:val="28"/>
        </w:rPr>
        <w:t>万元，</w:t>
      </w:r>
      <w:r>
        <w:rPr>
          <w:rFonts w:hint="eastAsia" w:ascii="仿宋_GB2312" w:eastAsia="仿宋_GB2312"/>
          <w:sz w:val="28"/>
          <w:szCs w:val="28"/>
          <w:lang w:val="en-US" w:eastAsia="zh-CN"/>
        </w:rPr>
        <w:t>完成年初预算的92.78</w:t>
      </w:r>
      <w:r>
        <w:rPr>
          <w:rFonts w:hint="eastAsia" w:ascii="仿宋_GB2312" w:eastAsia="仿宋_GB2312"/>
          <w:sz w:val="28"/>
          <w:szCs w:val="28"/>
        </w:rPr>
        <w:t>%。主要原因：</w:t>
      </w:r>
      <w:r>
        <w:rPr>
          <w:rFonts w:hint="eastAsia" w:ascii="仿宋_GB2312" w:eastAsia="仿宋_GB2312"/>
          <w:sz w:val="28"/>
          <w:szCs w:val="28"/>
          <w:lang w:eastAsia="zh-CN"/>
        </w:rPr>
        <w:t>机构改革，部分项目划转至社会工作部</w:t>
      </w:r>
      <w:r>
        <w:rPr>
          <w:rFonts w:hint="eastAsia" w:ascii="仿宋_GB2312" w:eastAsia="仿宋_GB2312"/>
          <w:sz w:val="28"/>
          <w:szCs w:val="28"/>
        </w:rPr>
        <w:t>。</w:t>
      </w:r>
    </w:p>
    <w:p w14:paraId="7265340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”（款）2024年度</w:t>
      </w:r>
      <w:r>
        <w:rPr>
          <w:rFonts w:hint="eastAsia" w:ascii="仿宋_GB2312" w:eastAsia="仿宋_GB2312"/>
          <w:sz w:val="28"/>
          <w:szCs w:val="28"/>
          <w:lang w:val="en-US" w:eastAsia="zh-CN"/>
        </w:rPr>
        <w:t>年初预算462.03万元，</w:t>
      </w:r>
      <w:r>
        <w:rPr>
          <w:rFonts w:hint="eastAsia" w:ascii="仿宋_GB2312" w:eastAsia="仿宋_GB2312"/>
          <w:sz w:val="28"/>
          <w:szCs w:val="28"/>
        </w:rPr>
        <w:t>2024年度决算</w:t>
      </w:r>
      <w:r>
        <w:rPr>
          <w:rFonts w:hint="eastAsia" w:ascii="仿宋_GB2312" w:eastAsia="仿宋_GB2312"/>
          <w:sz w:val="28"/>
          <w:szCs w:val="28"/>
          <w:lang w:val="en-US" w:eastAsia="zh-CN"/>
        </w:rPr>
        <w:t>507.18</w:t>
      </w:r>
      <w:r>
        <w:rPr>
          <w:rFonts w:hint="eastAsia" w:ascii="仿宋_GB2312" w:eastAsia="仿宋_GB2312"/>
          <w:sz w:val="28"/>
          <w:szCs w:val="28"/>
        </w:rPr>
        <w:t>万元，</w:t>
      </w:r>
      <w:r>
        <w:rPr>
          <w:rFonts w:hint="eastAsia" w:ascii="仿宋_GB2312" w:eastAsia="仿宋_GB2312"/>
          <w:sz w:val="28"/>
          <w:szCs w:val="28"/>
          <w:lang w:val="en-US" w:eastAsia="zh-CN"/>
        </w:rPr>
        <w:t>完成年初预算的109.77</w:t>
      </w:r>
      <w:r>
        <w:rPr>
          <w:rFonts w:hint="eastAsia" w:ascii="仿宋_GB2312" w:eastAsia="仿宋_GB2312"/>
          <w:sz w:val="28"/>
          <w:szCs w:val="28"/>
        </w:rPr>
        <w:t>%。主要原因：</w:t>
      </w:r>
      <w:r>
        <w:rPr>
          <w:rFonts w:hint="eastAsia" w:ascii="仿宋_GB2312" w:eastAsia="仿宋_GB2312"/>
          <w:sz w:val="28"/>
          <w:szCs w:val="28"/>
          <w:lang w:eastAsia="zh-CN"/>
        </w:rPr>
        <w:t>根据政策，社保基数调整</w:t>
      </w:r>
      <w:r>
        <w:rPr>
          <w:rFonts w:hint="eastAsia" w:ascii="仿宋_GB2312" w:eastAsia="仿宋_GB2312"/>
          <w:sz w:val="28"/>
          <w:szCs w:val="28"/>
        </w:rPr>
        <w:t>。</w:t>
      </w:r>
    </w:p>
    <w:p w14:paraId="70AEA27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社会福利</w:t>
      </w:r>
      <w:r>
        <w:rPr>
          <w:rFonts w:hint="eastAsia" w:ascii="仿宋_GB2312" w:eastAsia="仿宋_GB2312"/>
          <w:sz w:val="28"/>
          <w:szCs w:val="28"/>
        </w:rPr>
        <w:t>”（款）2024年度</w:t>
      </w:r>
      <w:r>
        <w:rPr>
          <w:rFonts w:hint="eastAsia" w:ascii="仿宋_GB2312" w:eastAsia="仿宋_GB2312"/>
          <w:sz w:val="28"/>
          <w:szCs w:val="28"/>
          <w:lang w:val="en-US" w:eastAsia="zh-CN"/>
        </w:rPr>
        <w:t>年初预算27163.62万元，</w:t>
      </w:r>
      <w:r>
        <w:rPr>
          <w:rFonts w:hint="eastAsia" w:ascii="仿宋_GB2312" w:eastAsia="仿宋_GB2312"/>
          <w:sz w:val="28"/>
          <w:szCs w:val="28"/>
        </w:rPr>
        <w:t>2024年度决算</w:t>
      </w:r>
      <w:r>
        <w:rPr>
          <w:rFonts w:hint="eastAsia" w:ascii="仿宋_GB2312" w:eastAsia="仿宋_GB2312"/>
          <w:sz w:val="28"/>
          <w:szCs w:val="28"/>
          <w:lang w:val="en-US" w:eastAsia="zh-CN"/>
        </w:rPr>
        <w:t>22669.06</w:t>
      </w:r>
      <w:r>
        <w:rPr>
          <w:rFonts w:hint="eastAsia" w:ascii="仿宋_GB2312" w:eastAsia="仿宋_GB2312"/>
          <w:sz w:val="28"/>
          <w:szCs w:val="28"/>
        </w:rPr>
        <w:t>万元，</w:t>
      </w:r>
      <w:r>
        <w:rPr>
          <w:rFonts w:hint="eastAsia" w:ascii="仿宋_GB2312" w:eastAsia="仿宋_GB2312"/>
          <w:sz w:val="28"/>
          <w:szCs w:val="28"/>
          <w:lang w:val="en-US" w:eastAsia="zh-CN"/>
        </w:rPr>
        <w:t>完成年初预算的83.45</w:t>
      </w:r>
      <w:r>
        <w:rPr>
          <w:rFonts w:hint="eastAsia" w:ascii="仿宋_GB2312" w:eastAsia="仿宋_GB2312"/>
          <w:sz w:val="28"/>
          <w:szCs w:val="28"/>
        </w:rPr>
        <w:t>%。主要原因：</w:t>
      </w:r>
      <w:r>
        <w:rPr>
          <w:rFonts w:hint="eastAsia" w:ascii="仿宋_GB2312" w:eastAsia="仿宋_GB2312"/>
          <w:sz w:val="28"/>
          <w:szCs w:val="28"/>
          <w:lang w:eastAsia="zh-CN"/>
        </w:rPr>
        <w:t>机构改革，征地超转人员资金划转至人保局</w:t>
      </w:r>
      <w:r>
        <w:rPr>
          <w:rFonts w:hint="eastAsia" w:ascii="仿宋_GB2312" w:eastAsia="仿宋_GB2312"/>
          <w:sz w:val="28"/>
          <w:szCs w:val="28"/>
        </w:rPr>
        <w:t>。</w:t>
      </w:r>
    </w:p>
    <w:p w14:paraId="71562DE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残疾人事业</w:t>
      </w:r>
      <w:r>
        <w:rPr>
          <w:rFonts w:hint="eastAsia" w:ascii="仿宋_GB2312" w:eastAsia="仿宋_GB2312"/>
          <w:sz w:val="28"/>
          <w:szCs w:val="28"/>
        </w:rPr>
        <w:t>”（款）2024年度</w:t>
      </w:r>
      <w:r>
        <w:rPr>
          <w:rFonts w:hint="eastAsia" w:ascii="仿宋_GB2312" w:eastAsia="仿宋_GB2312"/>
          <w:sz w:val="28"/>
          <w:szCs w:val="28"/>
          <w:lang w:val="en-US" w:eastAsia="zh-CN"/>
        </w:rPr>
        <w:t>年初预算7743.38万元，</w:t>
      </w:r>
      <w:r>
        <w:rPr>
          <w:rFonts w:hint="eastAsia" w:ascii="仿宋_GB2312" w:eastAsia="仿宋_GB2312"/>
          <w:sz w:val="28"/>
          <w:szCs w:val="28"/>
        </w:rPr>
        <w:t>2024年度决算</w:t>
      </w:r>
      <w:r>
        <w:rPr>
          <w:rFonts w:hint="eastAsia" w:ascii="仿宋_GB2312" w:eastAsia="仿宋_GB2312"/>
          <w:sz w:val="28"/>
          <w:szCs w:val="28"/>
          <w:lang w:val="en-US" w:eastAsia="zh-CN"/>
        </w:rPr>
        <w:t>7848.12</w:t>
      </w:r>
      <w:r>
        <w:rPr>
          <w:rFonts w:hint="eastAsia" w:ascii="仿宋_GB2312" w:eastAsia="仿宋_GB2312"/>
          <w:sz w:val="28"/>
          <w:szCs w:val="28"/>
        </w:rPr>
        <w:t>万元，</w:t>
      </w:r>
      <w:r>
        <w:rPr>
          <w:rFonts w:hint="eastAsia" w:ascii="仿宋_GB2312" w:eastAsia="仿宋_GB2312"/>
          <w:sz w:val="28"/>
          <w:szCs w:val="28"/>
          <w:lang w:val="en-US" w:eastAsia="zh-CN"/>
        </w:rPr>
        <w:t>完成年初预算的101.35</w:t>
      </w:r>
      <w:r>
        <w:rPr>
          <w:rFonts w:hint="eastAsia" w:ascii="仿宋_GB2312" w:eastAsia="仿宋_GB2312"/>
          <w:sz w:val="28"/>
          <w:szCs w:val="28"/>
        </w:rPr>
        <w:t>%。主要原因：</w:t>
      </w:r>
      <w:r>
        <w:rPr>
          <w:rFonts w:hint="eastAsia" w:ascii="仿宋_GB2312" w:eastAsia="仿宋_GB2312"/>
          <w:sz w:val="28"/>
          <w:szCs w:val="28"/>
          <w:lang w:eastAsia="zh-CN"/>
        </w:rPr>
        <w:t>根据政策，补贴标准调增</w:t>
      </w:r>
      <w:r>
        <w:rPr>
          <w:rFonts w:hint="eastAsia" w:ascii="仿宋_GB2312" w:eastAsia="仿宋_GB2312"/>
          <w:sz w:val="28"/>
          <w:szCs w:val="28"/>
        </w:rPr>
        <w:t>。</w:t>
      </w:r>
    </w:p>
    <w:p w14:paraId="0E50AEB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最低生活保障</w:t>
      </w:r>
      <w:r>
        <w:rPr>
          <w:rFonts w:hint="eastAsia" w:ascii="仿宋_GB2312" w:eastAsia="仿宋_GB2312"/>
          <w:sz w:val="28"/>
          <w:szCs w:val="28"/>
        </w:rPr>
        <w:t>”（款）2024年度</w:t>
      </w:r>
      <w:r>
        <w:rPr>
          <w:rFonts w:hint="eastAsia" w:ascii="仿宋_GB2312" w:eastAsia="仿宋_GB2312"/>
          <w:sz w:val="28"/>
          <w:szCs w:val="28"/>
          <w:lang w:val="en-US" w:eastAsia="zh-CN"/>
        </w:rPr>
        <w:t>年初预算3743.88万元，</w:t>
      </w:r>
      <w:r>
        <w:rPr>
          <w:rFonts w:hint="eastAsia" w:ascii="仿宋_GB2312" w:eastAsia="仿宋_GB2312"/>
          <w:sz w:val="28"/>
          <w:szCs w:val="28"/>
        </w:rPr>
        <w:t>2024年度决算</w:t>
      </w:r>
      <w:r>
        <w:rPr>
          <w:rFonts w:hint="eastAsia" w:ascii="仿宋_GB2312" w:eastAsia="仿宋_GB2312"/>
          <w:sz w:val="28"/>
          <w:szCs w:val="28"/>
          <w:lang w:val="en-US" w:eastAsia="zh-CN"/>
        </w:rPr>
        <w:t>3628.66</w:t>
      </w:r>
      <w:r>
        <w:rPr>
          <w:rFonts w:hint="eastAsia" w:ascii="仿宋_GB2312" w:eastAsia="仿宋_GB2312"/>
          <w:sz w:val="28"/>
          <w:szCs w:val="28"/>
        </w:rPr>
        <w:t>万元，</w:t>
      </w:r>
      <w:r>
        <w:rPr>
          <w:rFonts w:hint="eastAsia" w:ascii="仿宋_GB2312" w:eastAsia="仿宋_GB2312"/>
          <w:sz w:val="28"/>
          <w:szCs w:val="28"/>
          <w:lang w:val="en-US" w:eastAsia="zh-CN"/>
        </w:rPr>
        <w:t>完成年初预算的96.92</w:t>
      </w:r>
      <w:r>
        <w:rPr>
          <w:rFonts w:hint="eastAsia" w:ascii="仿宋_GB2312" w:eastAsia="仿宋_GB2312"/>
          <w:sz w:val="28"/>
          <w:szCs w:val="28"/>
        </w:rPr>
        <w:t>%。主要原因：</w:t>
      </w:r>
      <w:r>
        <w:rPr>
          <w:rFonts w:hint="eastAsia" w:ascii="仿宋_GB2312" w:eastAsia="仿宋_GB2312"/>
          <w:sz w:val="28"/>
          <w:szCs w:val="28"/>
          <w:lang w:eastAsia="zh-CN"/>
        </w:rPr>
        <w:t>自然减员；根据政策不符合条件人员退出</w:t>
      </w:r>
      <w:r>
        <w:rPr>
          <w:rFonts w:hint="eastAsia" w:ascii="仿宋_GB2312" w:eastAsia="仿宋_GB2312"/>
          <w:sz w:val="28"/>
          <w:szCs w:val="28"/>
        </w:rPr>
        <w:t>。</w:t>
      </w:r>
    </w:p>
    <w:p w14:paraId="4532E9B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临时救助</w:t>
      </w:r>
      <w:r>
        <w:rPr>
          <w:rFonts w:hint="eastAsia" w:ascii="仿宋_GB2312" w:eastAsia="仿宋_GB2312"/>
          <w:sz w:val="28"/>
          <w:szCs w:val="28"/>
        </w:rPr>
        <w:t>”（款）2024年度</w:t>
      </w:r>
      <w:r>
        <w:rPr>
          <w:rFonts w:hint="eastAsia" w:ascii="仿宋_GB2312" w:eastAsia="仿宋_GB2312"/>
          <w:sz w:val="28"/>
          <w:szCs w:val="28"/>
          <w:lang w:val="en-US" w:eastAsia="zh-CN"/>
        </w:rPr>
        <w:t>年初预算619.00万元，</w:t>
      </w:r>
      <w:r>
        <w:rPr>
          <w:rFonts w:hint="eastAsia" w:ascii="仿宋_GB2312" w:eastAsia="仿宋_GB2312"/>
          <w:sz w:val="28"/>
          <w:szCs w:val="28"/>
        </w:rPr>
        <w:t>2024年度决算</w:t>
      </w:r>
      <w:r>
        <w:rPr>
          <w:rFonts w:hint="eastAsia" w:ascii="仿宋_GB2312" w:eastAsia="仿宋_GB2312"/>
          <w:sz w:val="28"/>
          <w:szCs w:val="28"/>
          <w:lang w:val="en-US" w:eastAsia="zh-CN"/>
        </w:rPr>
        <w:t>510.42</w:t>
      </w:r>
      <w:r>
        <w:rPr>
          <w:rFonts w:hint="eastAsia" w:ascii="仿宋_GB2312" w:eastAsia="仿宋_GB2312"/>
          <w:sz w:val="28"/>
          <w:szCs w:val="28"/>
        </w:rPr>
        <w:t>万元，</w:t>
      </w:r>
      <w:r>
        <w:rPr>
          <w:rFonts w:hint="eastAsia" w:ascii="仿宋_GB2312" w:eastAsia="仿宋_GB2312"/>
          <w:sz w:val="28"/>
          <w:szCs w:val="28"/>
          <w:lang w:val="en-US" w:eastAsia="zh-CN"/>
        </w:rPr>
        <w:t>完成年初预算的82.46</w:t>
      </w:r>
      <w:r>
        <w:rPr>
          <w:rFonts w:hint="eastAsia" w:ascii="仿宋_GB2312" w:eastAsia="仿宋_GB2312"/>
          <w:sz w:val="28"/>
          <w:szCs w:val="28"/>
        </w:rPr>
        <w:t>%。主要原因：</w:t>
      </w:r>
      <w:r>
        <w:rPr>
          <w:rFonts w:hint="eastAsia" w:ascii="仿宋_GB2312" w:eastAsia="仿宋_GB2312"/>
          <w:sz w:val="28"/>
          <w:szCs w:val="28"/>
          <w:lang w:eastAsia="zh-CN"/>
        </w:rPr>
        <w:t>流浪乞讨人员医疗费实际发生比预期减少</w:t>
      </w:r>
      <w:r>
        <w:rPr>
          <w:rFonts w:hint="eastAsia" w:ascii="仿宋_GB2312" w:eastAsia="仿宋_GB2312"/>
          <w:sz w:val="28"/>
          <w:szCs w:val="28"/>
        </w:rPr>
        <w:t>。</w:t>
      </w:r>
    </w:p>
    <w:p w14:paraId="3EDD11ED">
      <w:pPr>
        <w:pStyle w:val="11"/>
        <w:rPr>
          <w:rFonts w:hint="eastAsia"/>
        </w:rPr>
      </w:pPr>
      <w:r>
        <w:rPr>
          <w:rFonts w:hint="eastAsia" w:ascii="仿宋_GB2312" w:eastAsia="仿宋_GB2312"/>
          <w:sz w:val="28"/>
          <w:szCs w:val="28"/>
        </w:rPr>
        <w:t>“</w:t>
      </w:r>
      <w:r>
        <w:rPr>
          <w:rFonts w:hint="eastAsia"/>
        </w:rPr>
        <w:t>特困人员救助供养</w:t>
      </w:r>
      <w:r>
        <w:rPr>
          <w:rFonts w:hint="eastAsia" w:ascii="仿宋_GB2312" w:eastAsia="仿宋_GB2312"/>
          <w:sz w:val="28"/>
          <w:szCs w:val="28"/>
        </w:rPr>
        <w:t>”（款）2024年度</w:t>
      </w:r>
      <w:r>
        <w:rPr>
          <w:rFonts w:hint="eastAsia" w:ascii="仿宋_GB2312" w:eastAsia="仿宋_GB2312"/>
          <w:sz w:val="28"/>
          <w:szCs w:val="28"/>
          <w:lang w:val="en-US" w:eastAsia="zh-CN"/>
        </w:rPr>
        <w:t>年初预算</w:t>
      </w:r>
      <w:r>
        <w:rPr>
          <w:rFonts w:hint="eastAsia"/>
          <w:sz w:val="28"/>
          <w:szCs w:val="28"/>
          <w:lang w:val="en-US" w:eastAsia="zh-CN"/>
        </w:rPr>
        <w:t>627.99</w:t>
      </w:r>
      <w:r>
        <w:rPr>
          <w:rFonts w:hint="eastAsia" w:ascii="仿宋_GB2312" w:eastAsia="仿宋_GB2312"/>
          <w:sz w:val="28"/>
          <w:szCs w:val="28"/>
          <w:lang w:val="en-US" w:eastAsia="zh-CN"/>
        </w:rPr>
        <w:t>万元，</w:t>
      </w:r>
      <w:r>
        <w:rPr>
          <w:rFonts w:hint="eastAsia" w:ascii="仿宋_GB2312" w:eastAsia="仿宋_GB2312"/>
          <w:sz w:val="28"/>
          <w:szCs w:val="28"/>
        </w:rPr>
        <w:t>2024年度决算</w:t>
      </w:r>
      <w:r>
        <w:rPr>
          <w:rFonts w:hint="eastAsia"/>
          <w:sz w:val="28"/>
          <w:szCs w:val="28"/>
          <w:lang w:val="en-US" w:eastAsia="zh-CN"/>
        </w:rPr>
        <w:t>618.28</w:t>
      </w:r>
      <w:r>
        <w:rPr>
          <w:rFonts w:hint="eastAsia" w:ascii="仿宋_GB2312" w:eastAsia="仿宋_GB2312"/>
          <w:sz w:val="28"/>
          <w:szCs w:val="28"/>
        </w:rPr>
        <w:t>万元，</w:t>
      </w:r>
      <w:r>
        <w:rPr>
          <w:rFonts w:hint="eastAsia" w:ascii="仿宋_GB2312" w:eastAsia="仿宋_GB2312"/>
          <w:sz w:val="28"/>
          <w:szCs w:val="28"/>
          <w:lang w:val="en-US" w:eastAsia="zh-CN"/>
        </w:rPr>
        <w:t>完成年初预算的</w:t>
      </w:r>
      <w:r>
        <w:rPr>
          <w:rFonts w:hint="eastAsia"/>
          <w:sz w:val="28"/>
          <w:szCs w:val="28"/>
          <w:lang w:val="en-US" w:eastAsia="zh-CN"/>
        </w:rPr>
        <w:t>98.45</w:t>
      </w:r>
      <w:r>
        <w:rPr>
          <w:rFonts w:hint="eastAsia" w:ascii="仿宋_GB2312" w:eastAsia="仿宋_GB2312"/>
          <w:sz w:val="28"/>
          <w:szCs w:val="28"/>
        </w:rPr>
        <w:t>%。主要原因：</w:t>
      </w:r>
      <w:r>
        <w:rPr>
          <w:rFonts w:hint="eastAsia" w:ascii="仿宋_GB2312" w:eastAsia="仿宋_GB2312"/>
          <w:sz w:val="28"/>
          <w:szCs w:val="28"/>
          <w:lang w:eastAsia="zh-CN"/>
        </w:rPr>
        <w:t>自然减员；根据政策不符合条件人员退出</w:t>
      </w:r>
      <w:r>
        <w:rPr>
          <w:rFonts w:hint="eastAsia" w:ascii="仿宋_GB2312" w:eastAsia="仿宋_GB2312"/>
          <w:sz w:val="28"/>
          <w:szCs w:val="28"/>
        </w:rPr>
        <w:t>。</w:t>
      </w:r>
    </w:p>
    <w:p w14:paraId="6300FE3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其他生活救助</w:t>
      </w:r>
      <w:r>
        <w:rPr>
          <w:rFonts w:hint="eastAsia" w:ascii="仿宋_GB2312" w:eastAsia="仿宋_GB2312"/>
          <w:sz w:val="28"/>
          <w:szCs w:val="28"/>
        </w:rPr>
        <w:t>”（款）2024年度</w:t>
      </w:r>
      <w:r>
        <w:rPr>
          <w:rFonts w:hint="eastAsia" w:ascii="仿宋_GB2312" w:eastAsia="仿宋_GB2312"/>
          <w:sz w:val="28"/>
          <w:szCs w:val="28"/>
          <w:lang w:val="en-US" w:eastAsia="zh-CN"/>
        </w:rPr>
        <w:t>年初预算10.51万元，</w:t>
      </w:r>
      <w:r>
        <w:rPr>
          <w:rFonts w:hint="eastAsia" w:ascii="仿宋_GB2312" w:eastAsia="仿宋_GB2312"/>
          <w:sz w:val="28"/>
          <w:szCs w:val="28"/>
        </w:rPr>
        <w:t>2024年度决算</w:t>
      </w:r>
      <w:r>
        <w:rPr>
          <w:rFonts w:hint="eastAsia" w:ascii="仿宋_GB2312" w:eastAsia="仿宋_GB2312"/>
          <w:sz w:val="28"/>
          <w:szCs w:val="28"/>
          <w:lang w:val="en-US" w:eastAsia="zh-CN"/>
        </w:rPr>
        <w:t>87.87</w:t>
      </w:r>
      <w:r>
        <w:rPr>
          <w:rFonts w:hint="eastAsia" w:ascii="仿宋_GB2312" w:eastAsia="仿宋_GB2312"/>
          <w:sz w:val="28"/>
          <w:szCs w:val="28"/>
        </w:rPr>
        <w:t>万元，</w:t>
      </w:r>
      <w:r>
        <w:rPr>
          <w:rFonts w:hint="eastAsia" w:ascii="仿宋_GB2312" w:eastAsia="仿宋_GB2312"/>
          <w:sz w:val="28"/>
          <w:szCs w:val="28"/>
          <w:lang w:val="en-US" w:eastAsia="zh-CN"/>
        </w:rPr>
        <w:t>完成年初预算的836.06</w:t>
      </w:r>
      <w:r>
        <w:rPr>
          <w:rFonts w:hint="eastAsia" w:ascii="仿宋_GB2312" w:eastAsia="仿宋_GB2312"/>
          <w:sz w:val="28"/>
          <w:szCs w:val="28"/>
        </w:rPr>
        <w:t>%。主要原因：</w:t>
      </w:r>
      <w:r>
        <w:rPr>
          <w:rFonts w:hint="eastAsia" w:ascii="仿宋_GB2312" w:eastAsia="仿宋_GB2312"/>
          <w:sz w:val="28"/>
          <w:szCs w:val="28"/>
          <w:lang w:eastAsia="zh-CN"/>
        </w:rPr>
        <w:t>年中追加困难群众一次性生活费</w:t>
      </w:r>
      <w:r>
        <w:rPr>
          <w:rFonts w:hint="eastAsia" w:ascii="仿宋_GB2312" w:eastAsia="仿宋_GB2312"/>
          <w:sz w:val="28"/>
          <w:szCs w:val="28"/>
        </w:rPr>
        <w:t>。</w:t>
      </w:r>
    </w:p>
    <w:p w14:paraId="244A80FA">
      <w:pPr>
        <w:pStyle w:val="11"/>
        <w:rPr>
          <w:rFonts w:hint="eastAsia"/>
        </w:rPr>
      </w:pPr>
      <w:r>
        <w:rPr>
          <w:rFonts w:hint="eastAsia" w:ascii="仿宋_GB2312" w:eastAsia="仿宋_GB2312"/>
          <w:sz w:val="28"/>
          <w:szCs w:val="28"/>
        </w:rPr>
        <w:t>“</w:t>
      </w:r>
      <w:r>
        <w:rPr>
          <w:rFonts w:hint="eastAsia" w:ascii="仿宋_GB2312" w:eastAsia="仿宋_GB2312"/>
          <w:sz w:val="28"/>
          <w:szCs w:val="28"/>
          <w:lang w:eastAsia="zh-CN"/>
        </w:rPr>
        <w:t>其他</w:t>
      </w:r>
      <w:r>
        <w:rPr>
          <w:rFonts w:hint="eastAsia"/>
          <w:sz w:val="28"/>
          <w:szCs w:val="28"/>
          <w:lang w:val="en-US" w:eastAsia="zh-CN"/>
        </w:rPr>
        <w:t>社会保障和就业支出</w:t>
      </w:r>
      <w:r>
        <w:rPr>
          <w:rFonts w:hint="eastAsia" w:ascii="仿宋_GB2312" w:eastAsia="仿宋_GB2312"/>
          <w:sz w:val="28"/>
          <w:szCs w:val="28"/>
        </w:rPr>
        <w:t>”（款）2024年度</w:t>
      </w:r>
      <w:r>
        <w:rPr>
          <w:rFonts w:hint="eastAsia" w:ascii="仿宋_GB2312" w:eastAsia="仿宋_GB2312"/>
          <w:sz w:val="28"/>
          <w:szCs w:val="28"/>
          <w:lang w:val="en-US" w:eastAsia="zh-CN"/>
        </w:rPr>
        <w:t>年初预算</w:t>
      </w:r>
      <w:r>
        <w:rPr>
          <w:rFonts w:hint="eastAsia"/>
          <w:sz w:val="28"/>
          <w:szCs w:val="28"/>
          <w:lang w:val="en-US" w:eastAsia="zh-CN"/>
        </w:rPr>
        <w:t>88.73</w:t>
      </w:r>
      <w:r>
        <w:rPr>
          <w:rFonts w:hint="eastAsia" w:ascii="仿宋_GB2312" w:eastAsia="仿宋_GB2312"/>
          <w:sz w:val="28"/>
          <w:szCs w:val="28"/>
          <w:lang w:val="en-US" w:eastAsia="zh-CN"/>
        </w:rPr>
        <w:t>万元，</w:t>
      </w:r>
      <w:r>
        <w:rPr>
          <w:rFonts w:hint="eastAsia" w:ascii="仿宋_GB2312" w:eastAsia="仿宋_GB2312"/>
          <w:sz w:val="28"/>
          <w:szCs w:val="28"/>
        </w:rPr>
        <w:t>2024年度决算</w:t>
      </w:r>
      <w:r>
        <w:rPr>
          <w:rFonts w:hint="eastAsia" w:ascii="仿宋_GB2312" w:eastAsia="仿宋_GB2312"/>
          <w:sz w:val="28"/>
          <w:szCs w:val="28"/>
          <w:lang w:val="en-US" w:eastAsia="zh-CN"/>
        </w:rPr>
        <w:t>8</w:t>
      </w:r>
      <w:r>
        <w:rPr>
          <w:rFonts w:hint="eastAsia"/>
          <w:sz w:val="28"/>
          <w:szCs w:val="28"/>
          <w:lang w:val="en-US" w:eastAsia="zh-CN"/>
        </w:rPr>
        <w:t>8</w:t>
      </w:r>
      <w:r>
        <w:rPr>
          <w:rFonts w:hint="eastAsia" w:ascii="仿宋_GB2312" w:eastAsia="仿宋_GB2312"/>
          <w:sz w:val="28"/>
          <w:szCs w:val="28"/>
          <w:lang w:val="en-US" w:eastAsia="zh-CN"/>
        </w:rPr>
        <w:t>.</w:t>
      </w:r>
      <w:r>
        <w:rPr>
          <w:rFonts w:hint="eastAsia"/>
          <w:sz w:val="28"/>
          <w:szCs w:val="28"/>
          <w:lang w:val="en-US" w:eastAsia="zh-CN"/>
        </w:rPr>
        <w:t>73</w:t>
      </w:r>
      <w:r>
        <w:rPr>
          <w:rFonts w:hint="eastAsia" w:ascii="仿宋_GB2312" w:eastAsia="仿宋_GB2312"/>
          <w:sz w:val="28"/>
          <w:szCs w:val="28"/>
        </w:rPr>
        <w:t>万元，</w:t>
      </w:r>
      <w:r>
        <w:rPr>
          <w:rFonts w:hint="eastAsia" w:ascii="仿宋_GB2312" w:eastAsia="仿宋_GB2312"/>
          <w:sz w:val="28"/>
          <w:szCs w:val="28"/>
          <w:lang w:val="en-US" w:eastAsia="zh-CN"/>
        </w:rPr>
        <w:t>完成年初预算的</w:t>
      </w:r>
      <w:r>
        <w:rPr>
          <w:rFonts w:hint="eastAsia"/>
          <w:sz w:val="28"/>
          <w:szCs w:val="28"/>
          <w:lang w:val="en-US" w:eastAsia="zh-CN"/>
        </w:rPr>
        <w:t>100</w:t>
      </w:r>
      <w:r>
        <w:rPr>
          <w:rFonts w:hint="eastAsia" w:ascii="仿宋_GB2312" w:eastAsia="仿宋_GB2312"/>
          <w:sz w:val="28"/>
          <w:szCs w:val="28"/>
        </w:rPr>
        <w:t>%。</w:t>
      </w:r>
    </w:p>
    <w:p w14:paraId="1C71050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 2024年度</w:t>
      </w:r>
      <w:r>
        <w:rPr>
          <w:rFonts w:hint="eastAsia" w:ascii="仿宋_GB2312" w:eastAsia="仿宋_GB2312"/>
          <w:sz w:val="28"/>
          <w:szCs w:val="28"/>
          <w:lang w:val="en-US" w:eastAsia="zh-CN"/>
        </w:rPr>
        <w:t>年初预算365.35万元，</w:t>
      </w:r>
      <w:r>
        <w:rPr>
          <w:rFonts w:hint="eastAsia" w:ascii="仿宋_GB2312" w:eastAsia="仿宋_GB2312"/>
          <w:sz w:val="28"/>
          <w:szCs w:val="28"/>
        </w:rPr>
        <w:t>2024年度决算</w:t>
      </w:r>
      <w:r>
        <w:rPr>
          <w:rFonts w:hint="eastAsia" w:ascii="仿宋_GB2312" w:eastAsia="仿宋_GB2312"/>
          <w:sz w:val="28"/>
          <w:szCs w:val="28"/>
          <w:lang w:val="en-US" w:eastAsia="zh-CN"/>
        </w:rPr>
        <w:t>338.54</w:t>
      </w:r>
      <w:r>
        <w:rPr>
          <w:rFonts w:hint="eastAsia" w:ascii="仿宋_GB2312" w:eastAsia="仿宋_GB2312"/>
          <w:sz w:val="28"/>
          <w:szCs w:val="28"/>
        </w:rPr>
        <w:t>万元，</w:t>
      </w:r>
      <w:r>
        <w:rPr>
          <w:rFonts w:hint="eastAsia" w:ascii="仿宋_GB2312" w:eastAsia="仿宋_GB2312"/>
          <w:sz w:val="28"/>
          <w:szCs w:val="28"/>
          <w:lang w:val="en-US" w:eastAsia="zh-CN"/>
        </w:rPr>
        <w:t>完成年初预算的92.66</w:t>
      </w:r>
      <w:r>
        <w:rPr>
          <w:rFonts w:hint="eastAsia" w:ascii="仿宋_GB2312" w:eastAsia="仿宋_GB2312"/>
          <w:sz w:val="28"/>
          <w:szCs w:val="28"/>
        </w:rPr>
        <w:t>%。其中：</w:t>
      </w:r>
    </w:p>
    <w:p w14:paraId="0AF7377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 2024年度</w:t>
      </w:r>
      <w:r>
        <w:rPr>
          <w:rFonts w:hint="eastAsia" w:ascii="仿宋_GB2312" w:eastAsia="仿宋_GB2312"/>
          <w:sz w:val="28"/>
          <w:szCs w:val="28"/>
          <w:lang w:val="en-US" w:eastAsia="zh-CN"/>
        </w:rPr>
        <w:t>年初预算365.35万元，</w:t>
      </w:r>
      <w:r>
        <w:rPr>
          <w:rFonts w:hint="eastAsia" w:ascii="仿宋_GB2312" w:eastAsia="仿宋_GB2312"/>
          <w:sz w:val="28"/>
          <w:szCs w:val="28"/>
        </w:rPr>
        <w:t>2024年度决算</w:t>
      </w:r>
      <w:r>
        <w:rPr>
          <w:rFonts w:hint="eastAsia" w:ascii="仿宋_GB2312" w:eastAsia="仿宋_GB2312"/>
          <w:sz w:val="28"/>
          <w:szCs w:val="28"/>
          <w:lang w:val="en-US" w:eastAsia="zh-CN"/>
        </w:rPr>
        <w:t>338.54</w:t>
      </w:r>
      <w:r>
        <w:rPr>
          <w:rFonts w:hint="eastAsia" w:ascii="仿宋_GB2312" w:eastAsia="仿宋_GB2312"/>
          <w:sz w:val="28"/>
          <w:szCs w:val="28"/>
        </w:rPr>
        <w:t>万元，</w:t>
      </w:r>
      <w:r>
        <w:rPr>
          <w:rFonts w:hint="eastAsia" w:ascii="仿宋_GB2312" w:eastAsia="仿宋_GB2312"/>
          <w:sz w:val="28"/>
          <w:szCs w:val="28"/>
          <w:lang w:val="en-US" w:eastAsia="zh-CN"/>
        </w:rPr>
        <w:t>完成年初预算的92.66</w:t>
      </w:r>
      <w:r>
        <w:rPr>
          <w:rFonts w:hint="eastAsia" w:ascii="仿宋_GB2312" w:eastAsia="仿宋_GB2312"/>
          <w:sz w:val="28"/>
          <w:szCs w:val="28"/>
        </w:rPr>
        <w:t>%。主要原因：</w:t>
      </w:r>
      <w:r>
        <w:rPr>
          <w:rFonts w:hint="eastAsia" w:ascii="仿宋_GB2312" w:eastAsia="仿宋_GB2312"/>
          <w:sz w:val="28"/>
          <w:szCs w:val="28"/>
          <w:lang w:eastAsia="zh-CN"/>
        </w:rPr>
        <w:t>机构改革，部分人员划转至社会工作部，经费同时划转</w:t>
      </w:r>
      <w:r>
        <w:rPr>
          <w:rFonts w:hint="eastAsia" w:ascii="仿宋_GB2312" w:eastAsia="仿宋_GB2312"/>
          <w:sz w:val="28"/>
          <w:szCs w:val="28"/>
        </w:rPr>
        <w:t>。</w:t>
      </w:r>
    </w:p>
    <w:p w14:paraId="3A08E53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 2024年度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388.94</w:t>
      </w:r>
      <w:r>
        <w:rPr>
          <w:rFonts w:hint="eastAsia" w:ascii="仿宋_GB2312" w:eastAsia="仿宋_GB2312"/>
          <w:sz w:val="28"/>
          <w:szCs w:val="28"/>
        </w:rPr>
        <w:t>万元。其中：</w:t>
      </w:r>
    </w:p>
    <w:p w14:paraId="6A98B33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388.94</w:t>
      </w:r>
      <w:r>
        <w:rPr>
          <w:rFonts w:hint="eastAsia" w:ascii="仿宋_GB2312" w:eastAsia="仿宋_GB2312"/>
          <w:sz w:val="28"/>
          <w:szCs w:val="28"/>
        </w:rPr>
        <w:t>万元。主要原因：</w:t>
      </w:r>
      <w:r>
        <w:rPr>
          <w:rFonts w:hint="eastAsia" w:ascii="仿宋_GB2312" w:eastAsia="仿宋_GB2312"/>
          <w:sz w:val="28"/>
          <w:szCs w:val="28"/>
          <w:lang w:eastAsia="zh-CN"/>
        </w:rPr>
        <w:t>年中追加职工住房补贴</w:t>
      </w:r>
      <w:r>
        <w:rPr>
          <w:rFonts w:hint="eastAsia" w:ascii="仿宋_GB2312" w:eastAsia="仿宋_GB2312"/>
          <w:sz w:val="28"/>
          <w:szCs w:val="28"/>
        </w:rPr>
        <w:t>。</w:t>
      </w:r>
    </w:p>
    <w:p w14:paraId="2FC6F7F8">
      <w:pPr>
        <w:spacing w:line="560" w:lineRule="exact"/>
        <w:ind w:firstLine="420" w:firstLineChars="150"/>
        <w:rPr>
          <w:rFonts w:ascii="仿宋_GB2312" w:eastAsia="仿宋_GB2312"/>
          <w:sz w:val="28"/>
          <w:szCs w:val="28"/>
        </w:rPr>
      </w:pPr>
      <w:r>
        <w:rPr>
          <w:rFonts w:hint="eastAsia" w:ascii="黑体" w:eastAsia="黑体"/>
          <w:sz w:val="28"/>
          <w:szCs w:val="28"/>
          <w:lang w:val="en-US" w:eastAsia="zh-CN"/>
        </w:rPr>
        <w:t>五</w:t>
      </w:r>
      <w:r>
        <w:rPr>
          <w:rFonts w:hint="eastAsia" w:ascii="黑体" w:eastAsia="黑体"/>
          <w:sz w:val="28"/>
          <w:szCs w:val="28"/>
        </w:rPr>
        <w:t>、政府性基金预算财政拨款支出决算情况说明</w:t>
      </w:r>
    </w:p>
    <w:p w14:paraId="72FE5D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0477B4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6335.19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6193.80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97.77</w:t>
      </w:r>
      <w:r>
        <w:rPr>
          <w:rFonts w:hint="eastAsia" w:ascii="仿宋_GB2312" w:eastAsia="仿宋_GB2312"/>
          <w:sz w:val="28"/>
          <w:szCs w:val="28"/>
        </w:rPr>
        <w:t>%；</w:t>
      </w:r>
      <w:r>
        <w:rPr>
          <w:rFonts w:hint="eastAsia" w:ascii="仿宋_GB2312" w:eastAsia="仿宋_GB2312"/>
          <w:sz w:val="28"/>
          <w:szCs w:val="28"/>
          <w:lang w:eastAsia="zh-CN"/>
        </w:rPr>
        <w:t>其他支出</w:t>
      </w:r>
      <w:r>
        <w:rPr>
          <w:rFonts w:hint="eastAsia" w:ascii="仿宋_GB2312" w:eastAsia="仿宋_GB2312"/>
          <w:sz w:val="28"/>
          <w:szCs w:val="28"/>
          <w:lang w:val="en-US" w:eastAsia="zh-CN"/>
        </w:rPr>
        <w:t>141.39万元，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2.23</w:t>
      </w:r>
      <w:r>
        <w:rPr>
          <w:rFonts w:hint="eastAsia" w:ascii="仿宋_GB2312" w:eastAsia="仿宋_GB2312"/>
          <w:sz w:val="28"/>
          <w:szCs w:val="28"/>
        </w:rPr>
        <w:t>%。</w:t>
      </w:r>
    </w:p>
    <w:p w14:paraId="22B2F73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B0D9AE6">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1.“城乡社区支出”（类，下同）2024年度</w:t>
      </w:r>
      <w:r>
        <w:rPr>
          <w:rFonts w:hint="eastAsia" w:ascii="仿宋_GB2312" w:eastAsia="仿宋_GB2312"/>
          <w:sz w:val="28"/>
          <w:szCs w:val="28"/>
          <w:lang w:val="en-US" w:eastAsia="zh-CN"/>
        </w:rPr>
        <w:t>年初预算1406.23万元，</w:t>
      </w:r>
      <w:r>
        <w:rPr>
          <w:rFonts w:hint="eastAsia" w:ascii="仿宋_GB2312" w:eastAsia="仿宋_GB2312"/>
          <w:sz w:val="28"/>
          <w:szCs w:val="28"/>
        </w:rPr>
        <w:t>2024年度决算</w:t>
      </w:r>
      <w:r>
        <w:rPr>
          <w:rFonts w:hint="eastAsia" w:ascii="仿宋_GB2312" w:eastAsia="仿宋_GB2312"/>
          <w:sz w:val="28"/>
          <w:szCs w:val="28"/>
          <w:lang w:val="en-US" w:eastAsia="zh-CN"/>
        </w:rPr>
        <w:t>6193.80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完成年初预算的440.45</w:t>
      </w:r>
      <w:r>
        <w:rPr>
          <w:rFonts w:hint="eastAsia" w:ascii="仿宋_GB2312" w:eastAsia="仿宋_GB2312"/>
          <w:sz w:val="28"/>
          <w:szCs w:val="28"/>
        </w:rPr>
        <w:t>%。其中：</w:t>
      </w:r>
    </w:p>
    <w:p w14:paraId="3668984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“国有土地使用权出让收入安排的支出”（款，下同）2024年度</w:t>
      </w:r>
      <w:r>
        <w:rPr>
          <w:rFonts w:hint="eastAsia" w:ascii="仿宋_GB2312" w:eastAsia="仿宋_GB2312"/>
          <w:sz w:val="28"/>
          <w:szCs w:val="28"/>
          <w:lang w:val="en-US" w:eastAsia="zh-CN"/>
        </w:rPr>
        <w:t>年初预算1406.23万元，</w:t>
      </w:r>
      <w:r>
        <w:rPr>
          <w:rFonts w:hint="eastAsia" w:ascii="仿宋_GB2312" w:eastAsia="仿宋_GB2312"/>
          <w:sz w:val="28"/>
          <w:szCs w:val="28"/>
        </w:rPr>
        <w:t>2024年度决算</w:t>
      </w:r>
      <w:r>
        <w:rPr>
          <w:rFonts w:hint="eastAsia" w:ascii="仿宋_GB2312" w:eastAsia="仿宋_GB2312"/>
          <w:sz w:val="28"/>
          <w:szCs w:val="28"/>
          <w:lang w:val="en-US" w:eastAsia="zh-CN"/>
        </w:rPr>
        <w:t>6193.80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完成年初预算的440.45</w:t>
      </w:r>
      <w:r>
        <w:rPr>
          <w:rFonts w:hint="eastAsia" w:ascii="仿宋_GB2312" w:eastAsia="仿宋_GB2312"/>
          <w:sz w:val="28"/>
          <w:szCs w:val="28"/>
        </w:rPr>
        <w:t>%。主要原因：</w:t>
      </w:r>
      <w:r>
        <w:rPr>
          <w:rFonts w:hint="eastAsia" w:ascii="仿宋_GB2312" w:eastAsia="仿宋_GB2312"/>
          <w:sz w:val="28"/>
          <w:szCs w:val="28"/>
          <w:lang w:eastAsia="zh-CN"/>
        </w:rPr>
        <w:t>年中追加政府投资项目预算</w:t>
      </w:r>
      <w:r>
        <w:rPr>
          <w:rFonts w:hint="eastAsia" w:ascii="仿宋_GB2312" w:eastAsia="仿宋_GB2312"/>
          <w:sz w:val="28"/>
          <w:szCs w:val="28"/>
        </w:rPr>
        <w:t>。</w:t>
      </w:r>
    </w:p>
    <w:p w14:paraId="3822701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其他支出</w:t>
      </w:r>
      <w:r>
        <w:rPr>
          <w:rFonts w:hint="eastAsia" w:ascii="仿宋_GB2312" w:eastAsia="仿宋_GB2312"/>
          <w:sz w:val="28"/>
          <w:szCs w:val="28"/>
        </w:rPr>
        <w:t>”（类）2024年度</w:t>
      </w:r>
      <w:r>
        <w:rPr>
          <w:rFonts w:hint="eastAsia" w:ascii="仿宋_GB2312" w:eastAsia="仿宋_GB2312"/>
          <w:sz w:val="28"/>
          <w:szCs w:val="28"/>
          <w:lang w:val="en-US" w:eastAsia="zh-CN"/>
        </w:rPr>
        <w:t>年初预算136.40万元，</w:t>
      </w:r>
      <w:r>
        <w:rPr>
          <w:rFonts w:hint="eastAsia" w:ascii="仿宋_GB2312" w:eastAsia="仿宋_GB2312"/>
          <w:sz w:val="28"/>
          <w:szCs w:val="28"/>
        </w:rPr>
        <w:t>2024年度决算</w:t>
      </w:r>
      <w:r>
        <w:rPr>
          <w:rFonts w:hint="eastAsia" w:ascii="仿宋_GB2312" w:eastAsia="仿宋_GB2312"/>
          <w:sz w:val="28"/>
          <w:szCs w:val="28"/>
          <w:lang w:val="en-US" w:eastAsia="zh-CN"/>
        </w:rPr>
        <w:t>141.39</w:t>
      </w:r>
      <w:r>
        <w:rPr>
          <w:rFonts w:hint="eastAsia" w:ascii="仿宋_GB2312" w:eastAsia="仿宋_GB2312"/>
          <w:sz w:val="28"/>
          <w:szCs w:val="28"/>
        </w:rPr>
        <w:t>万元，</w:t>
      </w:r>
      <w:r>
        <w:rPr>
          <w:rFonts w:hint="eastAsia" w:ascii="仿宋_GB2312" w:eastAsia="仿宋_GB2312"/>
          <w:sz w:val="28"/>
          <w:szCs w:val="28"/>
          <w:lang w:val="en-US" w:eastAsia="zh-CN"/>
        </w:rPr>
        <w:t>完成年初预算的103.66</w:t>
      </w:r>
      <w:r>
        <w:rPr>
          <w:rFonts w:hint="eastAsia" w:ascii="仿宋_GB2312" w:eastAsia="仿宋_GB2312"/>
          <w:sz w:val="28"/>
          <w:szCs w:val="28"/>
        </w:rPr>
        <w:t>%。其中：</w:t>
      </w:r>
    </w:p>
    <w:p w14:paraId="64A39C9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“彩票公益金安排的支出”（款）2024年度</w:t>
      </w:r>
      <w:r>
        <w:rPr>
          <w:rFonts w:hint="eastAsia" w:ascii="仿宋_GB2312" w:eastAsia="仿宋_GB2312"/>
          <w:sz w:val="28"/>
          <w:szCs w:val="28"/>
          <w:lang w:val="en-US" w:eastAsia="zh-CN"/>
        </w:rPr>
        <w:t>年初预算136.40万元，</w:t>
      </w:r>
      <w:r>
        <w:rPr>
          <w:rFonts w:hint="eastAsia" w:ascii="仿宋_GB2312" w:eastAsia="仿宋_GB2312"/>
          <w:sz w:val="28"/>
          <w:szCs w:val="28"/>
        </w:rPr>
        <w:t>2024年度决算</w:t>
      </w:r>
      <w:r>
        <w:rPr>
          <w:rFonts w:hint="eastAsia" w:ascii="仿宋_GB2312" w:eastAsia="仿宋_GB2312"/>
          <w:sz w:val="28"/>
          <w:szCs w:val="28"/>
          <w:lang w:val="en-US" w:eastAsia="zh-CN"/>
        </w:rPr>
        <w:t>141.39</w:t>
      </w:r>
      <w:r>
        <w:rPr>
          <w:rFonts w:hint="eastAsia" w:ascii="仿宋_GB2312" w:eastAsia="仿宋_GB2312"/>
          <w:sz w:val="28"/>
          <w:szCs w:val="28"/>
        </w:rPr>
        <w:t>万元，</w:t>
      </w:r>
      <w:r>
        <w:rPr>
          <w:rFonts w:hint="eastAsia" w:ascii="仿宋_GB2312" w:eastAsia="仿宋_GB2312"/>
          <w:sz w:val="28"/>
          <w:szCs w:val="28"/>
          <w:lang w:val="en-US" w:eastAsia="zh-CN"/>
        </w:rPr>
        <w:t>完成年初预算的103.66</w:t>
      </w:r>
      <w:r>
        <w:rPr>
          <w:rFonts w:hint="eastAsia" w:ascii="仿宋_GB2312" w:eastAsia="仿宋_GB2312"/>
          <w:sz w:val="28"/>
          <w:szCs w:val="28"/>
        </w:rPr>
        <w:t>%。主要原因：</w:t>
      </w:r>
      <w:r>
        <w:rPr>
          <w:rFonts w:hint="eastAsia" w:ascii="仿宋_GB2312" w:eastAsia="仿宋_GB2312"/>
          <w:sz w:val="28"/>
          <w:szCs w:val="28"/>
          <w:lang w:eastAsia="zh-CN"/>
        </w:rPr>
        <w:t>年中追加儿福院第二批改造款</w:t>
      </w:r>
      <w:r>
        <w:rPr>
          <w:rFonts w:hint="eastAsia" w:ascii="仿宋_GB2312" w:eastAsia="仿宋_GB2312"/>
          <w:sz w:val="28"/>
          <w:szCs w:val="28"/>
        </w:rPr>
        <w:t>。</w:t>
      </w:r>
    </w:p>
    <w:p w14:paraId="6F40FB8F">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lang w:val="en-US" w:eastAsia="zh-CN"/>
        </w:rPr>
        <w:t>六</w:t>
      </w:r>
      <w:r>
        <w:rPr>
          <w:rFonts w:hint="eastAsia" w:ascii="黑体" w:eastAsia="黑体"/>
          <w:sz w:val="28"/>
          <w:szCs w:val="28"/>
        </w:rPr>
        <w:t>、国有资本经营预算财政拨款收支情况说明</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6C8CC17B">
      <w:pPr>
        <w:ind w:firstLine="537" w:firstLineChars="192"/>
        <w:rPr>
          <w:rFonts w:hint="eastAsia" w:ascii="仿宋_GB2312" w:eastAsia="仿宋_GB2312"/>
          <w:sz w:val="28"/>
          <w:szCs w:val="28"/>
        </w:rPr>
      </w:pPr>
      <w:r>
        <w:rPr>
          <w:rFonts w:hint="eastAsia" w:ascii="黑体" w:eastAsia="黑体"/>
          <w:sz w:val="28"/>
          <w:szCs w:val="28"/>
          <w:lang w:val="en-US" w:eastAsia="zh-CN"/>
        </w:rPr>
        <w:t>七</w:t>
      </w:r>
      <w:r>
        <w:rPr>
          <w:rFonts w:hint="eastAsia" w:ascii="黑体" w:eastAsia="黑体"/>
          <w:sz w:val="28"/>
          <w:szCs w:val="28"/>
        </w:rPr>
        <w:t>、财政拨款基本支出决算情况说明</w:t>
      </w:r>
    </w:p>
    <w:p w14:paraId="6ED8C402">
      <w:pPr>
        <w:ind w:firstLine="537" w:firstLineChars="192"/>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4333.39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住房公积金</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办公费、手续费、水费、电费、邮电费、取暖费、差旅费、维修（护）费、租赁费、培训费</w:t>
      </w:r>
      <w:r>
        <w:rPr>
          <w:rFonts w:hint="eastAsia" w:ascii="仿宋_GB2312" w:eastAsia="仿宋_GB2312"/>
          <w:sz w:val="28"/>
          <w:szCs w:val="28"/>
          <w:lang w:eastAsia="zh-CN"/>
        </w:rPr>
        <w:t>、</w:t>
      </w:r>
      <w:r>
        <w:rPr>
          <w:rFonts w:ascii="仿宋_GB2312" w:eastAsia="仿宋_GB2312"/>
          <w:sz w:val="28"/>
          <w:szCs w:val="28"/>
        </w:rPr>
        <w:t>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4F374A3">
      <w:pPr>
        <w:pStyle w:val="11"/>
        <w:rPr>
          <w:rFonts w:hint="eastAsia"/>
        </w:rPr>
      </w:pPr>
    </w:p>
    <w:p w14:paraId="63BF1400">
      <w:pPr>
        <w:pStyle w:val="11"/>
        <w:rPr>
          <w:rFonts w:hint="eastAsia"/>
        </w:rPr>
      </w:pPr>
    </w:p>
    <w:p w14:paraId="497FF857">
      <w:pPr>
        <w:pStyle w:val="11"/>
        <w:rPr>
          <w:rFonts w:hint="eastAsia"/>
        </w:rPr>
      </w:pPr>
    </w:p>
    <w:p w14:paraId="17573169">
      <w:pPr>
        <w:pStyle w:val="11"/>
        <w:rPr>
          <w:rFonts w:hint="eastAsia"/>
        </w:rPr>
      </w:pPr>
    </w:p>
    <w:p w14:paraId="39FD6C5E">
      <w:pPr>
        <w:pStyle w:val="11"/>
        <w:rPr>
          <w:rFonts w:hint="eastAsia"/>
        </w:rPr>
      </w:pPr>
    </w:p>
    <w:p w14:paraId="2D77F4B8">
      <w:pPr>
        <w:pStyle w:val="11"/>
        <w:rPr>
          <w:rFonts w:hint="eastAsia"/>
        </w:rPr>
      </w:pPr>
    </w:p>
    <w:p w14:paraId="43B49E7A">
      <w:pPr>
        <w:pStyle w:val="11"/>
        <w:rPr>
          <w:rFonts w:hint="eastAsia"/>
        </w:rPr>
      </w:pPr>
    </w:p>
    <w:p w14:paraId="69C376BD">
      <w:pPr>
        <w:pStyle w:val="11"/>
        <w:rPr>
          <w:rFonts w:hint="eastAsia"/>
        </w:rPr>
      </w:pPr>
    </w:p>
    <w:p w14:paraId="147701E8">
      <w:pPr>
        <w:pStyle w:val="11"/>
        <w:rPr>
          <w:rFonts w:hint="eastAsia"/>
        </w:rPr>
      </w:pPr>
    </w:p>
    <w:p w14:paraId="51C7C8A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4507B24">
      <w:pPr>
        <w:numPr>
          <w:ilvl w:val="0"/>
          <w:numId w:val="1"/>
        </w:numPr>
        <w:tabs>
          <w:tab w:val="center" w:pos="6979"/>
        </w:tabs>
        <w:ind w:firstLine="560" w:firstLineChars="200"/>
        <w:jc w:val="left"/>
        <w:rPr>
          <w:rFonts w:hint="eastAsia" w:ascii="黑体" w:eastAsia="黑体"/>
          <w:sz w:val="28"/>
          <w:szCs w:val="28"/>
        </w:rPr>
      </w:pPr>
      <w:r>
        <w:rPr>
          <w:rFonts w:hint="eastAsia" w:ascii="黑体" w:eastAsia="黑体"/>
          <w:sz w:val="28"/>
          <w:szCs w:val="28"/>
        </w:rPr>
        <w:t>“三公”经费财政拨款决算情况</w:t>
      </w:r>
    </w:p>
    <w:p w14:paraId="72587AE9">
      <w:pPr>
        <w:numPr>
          <w:ilvl w:val="0"/>
          <w:numId w:val="0"/>
        </w:numPr>
        <w:tabs>
          <w:tab w:val="center" w:pos="6979"/>
        </w:tabs>
        <w:ind w:firstLine="560" w:firstLineChars="200"/>
        <w:jc w:val="left"/>
        <w:rPr>
          <w:rFonts w:hint="eastAsia" w:ascii="宋体" w:hAnsi="宋体" w:cs="宋体"/>
          <w:b/>
          <w:color w:val="FF0000"/>
          <w:spacing w:val="40"/>
          <w:kern w:val="0"/>
          <w:sz w:val="28"/>
          <w:szCs w:val="28"/>
        </w:rPr>
      </w:pPr>
      <w:r>
        <w:rPr>
          <w:rFonts w:hint="eastAsia" w:ascii="仿宋_GB2312" w:eastAsia="仿宋_GB2312"/>
          <w:sz w:val="28"/>
          <w:szCs w:val="28"/>
        </w:rPr>
        <w:t>2024年度“三公”经费财政拨款决算数</w:t>
      </w:r>
      <w:r>
        <w:rPr>
          <w:rFonts w:hint="eastAsia" w:ascii="仿宋_GB2312" w:eastAsia="仿宋_GB2312"/>
          <w:sz w:val="28"/>
          <w:szCs w:val="28"/>
          <w:lang w:val="en-US" w:eastAsia="zh-CN"/>
        </w:rPr>
        <w:t>9.38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7.50</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1.88</w:t>
      </w:r>
      <w:r>
        <w:rPr>
          <w:rFonts w:hint="eastAsia" w:ascii="仿宋_GB2312" w:eastAsia="仿宋_GB2312"/>
          <w:sz w:val="28"/>
          <w:szCs w:val="28"/>
        </w:rPr>
        <w:t>万元。其中：</w:t>
      </w:r>
    </w:p>
    <w:p w14:paraId="0EEE46F3">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4.67</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4.67</w:t>
      </w:r>
      <w:r>
        <w:rPr>
          <w:rFonts w:hint="eastAsia" w:ascii="仿宋_GB2312" w:eastAsia="仿宋_GB2312"/>
          <w:sz w:val="28"/>
          <w:szCs w:val="28"/>
        </w:rPr>
        <w:t>万元。主要原因：</w:t>
      </w:r>
      <w:r>
        <w:rPr>
          <w:rFonts w:hint="eastAsia" w:ascii="仿宋_GB2312" w:eastAsia="仿宋_GB2312"/>
          <w:sz w:val="28"/>
          <w:szCs w:val="28"/>
          <w:lang w:eastAsia="zh-CN"/>
        </w:rPr>
        <w:t>参加赴日本的学习培训</w:t>
      </w:r>
      <w:r>
        <w:rPr>
          <w:rFonts w:hint="eastAsia" w:ascii="仿宋_GB2312" w:eastAsia="仿宋_GB2312"/>
          <w:sz w:val="28"/>
          <w:szCs w:val="28"/>
        </w:rPr>
        <w:t>；2024年度因公出国（境）费用主要用于</w:t>
      </w:r>
      <w:r>
        <w:rPr>
          <w:rFonts w:hint="eastAsia" w:ascii="仿宋_GB2312" w:eastAsia="仿宋_GB2312"/>
          <w:sz w:val="28"/>
          <w:szCs w:val="28"/>
          <w:lang w:eastAsia="zh-CN"/>
        </w:rPr>
        <w:t>赴日本进行“老老人”养老保障及照护服务学习培训</w:t>
      </w:r>
      <w:r>
        <w:rPr>
          <w:rFonts w:hint="eastAsia" w:ascii="仿宋_GB2312" w:eastAsia="仿宋_GB2312"/>
          <w:sz w:val="28"/>
          <w:szCs w:val="28"/>
        </w:rPr>
        <w:t>，2024年度组织因公出国（境）团组</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val="en-US" w:eastAsia="zh-CN"/>
        </w:rPr>
        <w:t>1</w:t>
      </w:r>
      <w:r>
        <w:rPr>
          <w:rFonts w:hint="eastAsia" w:ascii="仿宋_GB2312" w:eastAsia="仿宋_GB2312"/>
          <w:sz w:val="28"/>
          <w:szCs w:val="28"/>
        </w:rPr>
        <w:t>人次。</w:t>
      </w:r>
    </w:p>
    <w:p w14:paraId="6BD4A7EE">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0.30</w:t>
      </w:r>
      <w:r>
        <w:rPr>
          <w:rFonts w:hint="eastAsia" w:ascii="仿宋_GB2312" w:eastAsia="仿宋_GB2312"/>
          <w:sz w:val="28"/>
          <w:szCs w:val="28"/>
        </w:rPr>
        <w:t>万元减少</w:t>
      </w:r>
      <w:r>
        <w:rPr>
          <w:rFonts w:hint="eastAsia" w:ascii="仿宋_GB2312" w:eastAsia="仿宋_GB2312"/>
          <w:sz w:val="28"/>
          <w:szCs w:val="28"/>
          <w:lang w:val="en-US" w:eastAsia="zh-CN"/>
        </w:rPr>
        <w:t>0.30</w:t>
      </w:r>
      <w:r>
        <w:rPr>
          <w:rFonts w:hint="eastAsia" w:ascii="仿宋_GB2312" w:eastAsia="仿宋_GB2312"/>
          <w:sz w:val="28"/>
          <w:szCs w:val="28"/>
        </w:rPr>
        <w:t>万元。主要原因：</w:t>
      </w:r>
      <w:r>
        <w:rPr>
          <w:rFonts w:hint="eastAsia" w:ascii="仿宋_GB2312" w:eastAsia="仿宋_GB2312"/>
          <w:sz w:val="28"/>
          <w:szCs w:val="28"/>
          <w:lang w:eastAsia="zh-CN"/>
        </w:rPr>
        <w:t>视频会议增加</w:t>
      </w:r>
      <w:r>
        <w:rPr>
          <w:rFonts w:hint="eastAsia" w:ascii="仿宋_GB2312" w:eastAsia="仿宋_GB2312"/>
          <w:sz w:val="28"/>
          <w:szCs w:val="28"/>
        </w:rPr>
        <w:t>。2024年度</w:t>
      </w:r>
      <w:r>
        <w:rPr>
          <w:rFonts w:hint="eastAsia" w:ascii="仿宋_GB2312" w:eastAsia="仿宋_GB2312"/>
          <w:sz w:val="28"/>
          <w:szCs w:val="28"/>
          <w:lang w:eastAsia="zh-CN"/>
        </w:rPr>
        <w:t>无</w:t>
      </w:r>
      <w:r>
        <w:rPr>
          <w:rFonts w:hint="eastAsia" w:ascii="仿宋_GB2312" w:eastAsia="仿宋_GB2312"/>
          <w:sz w:val="28"/>
          <w:szCs w:val="28"/>
        </w:rPr>
        <w:t>公务接待费。公务接待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14:paraId="7BFFD51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4.71</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7.20</w:t>
      </w:r>
      <w:r>
        <w:rPr>
          <w:rFonts w:hint="eastAsia" w:ascii="仿宋_GB2312" w:eastAsia="仿宋_GB2312"/>
          <w:sz w:val="28"/>
          <w:szCs w:val="28"/>
        </w:rPr>
        <w:t>万元减少</w:t>
      </w:r>
      <w:r>
        <w:rPr>
          <w:rFonts w:hint="eastAsia" w:ascii="仿宋_GB2312" w:eastAsia="仿宋_GB2312"/>
          <w:sz w:val="28"/>
          <w:szCs w:val="28"/>
          <w:lang w:val="en-US" w:eastAsia="zh-CN"/>
        </w:rPr>
        <w:t>2.49</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单位无购车需求</w:t>
      </w:r>
      <w:r>
        <w:rPr>
          <w:rFonts w:hint="eastAsia" w:ascii="仿宋_GB2312" w:eastAsia="仿宋_GB2312"/>
          <w:sz w:val="28"/>
          <w:szCs w:val="28"/>
        </w:rPr>
        <w:t>，2024年度购置（更新）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辆。公务用车运行维护费2024年度决算数</w:t>
      </w:r>
      <w:r>
        <w:rPr>
          <w:rFonts w:hint="eastAsia" w:ascii="仿宋_GB2312" w:eastAsia="仿宋_GB2312"/>
          <w:sz w:val="28"/>
          <w:szCs w:val="28"/>
          <w:lang w:val="en-US" w:eastAsia="zh-CN"/>
        </w:rPr>
        <w:t>4.71</w:t>
      </w:r>
      <w:r>
        <w:rPr>
          <w:rFonts w:hint="eastAsia" w:ascii="仿宋_GB2312" w:eastAsia="仿宋_GB2312"/>
          <w:sz w:val="28"/>
          <w:szCs w:val="28"/>
        </w:rPr>
        <w:t>万元，主要原因：</w:t>
      </w:r>
      <w:r>
        <w:rPr>
          <w:rFonts w:hint="eastAsia" w:ascii="仿宋_GB2312" w:eastAsia="仿宋_GB2312"/>
          <w:sz w:val="28"/>
          <w:szCs w:val="28"/>
          <w:lang w:eastAsia="zh-CN"/>
        </w:rPr>
        <w:t>机构改革，划转期公车停用；新购电车发生费用较少</w:t>
      </w:r>
      <w:r>
        <w:rPr>
          <w:rFonts w:hint="eastAsia" w:ascii="仿宋_GB2312" w:eastAsia="仿宋_GB2312"/>
          <w:sz w:val="28"/>
          <w:szCs w:val="28"/>
        </w:rPr>
        <w:t>。2024年度公务用车保有量</w:t>
      </w:r>
      <w:r>
        <w:rPr>
          <w:rFonts w:hint="eastAsia" w:ascii="仿宋_GB2312" w:eastAsia="仿宋_GB2312"/>
          <w:sz w:val="28"/>
          <w:szCs w:val="28"/>
          <w:lang w:val="en-US" w:eastAsia="zh-CN"/>
        </w:rPr>
        <w:t>4</w:t>
      </w:r>
      <w:r>
        <w:rPr>
          <w:rFonts w:hint="eastAsia" w:ascii="仿宋_GB2312" w:eastAsia="仿宋_GB2312"/>
          <w:sz w:val="28"/>
          <w:szCs w:val="28"/>
        </w:rPr>
        <w:t>辆。</w:t>
      </w:r>
    </w:p>
    <w:p w14:paraId="0A595B80">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14:paraId="467746EB">
      <w:pPr>
        <w:ind w:firstLine="537" w:firstLineChars="192"/>
        <w:rPr>
          <w:rFonts w:hint="eastAsia" w:ascii="仿宋_GB2312" w:eastAsia="仿宋_GB2312"/>
          <w:sz w:val="28"/>
          <w:szCs w:val="28"/>
        </w:rPr>
      </w:pPr>
      <w:r>
        <w:rPr>
          <w:rFonts w:hint="eastAsia" w:ascii="仿宋_GB2312" w:eastAsia="仿宋_GB2312"/>
          <w:sz w:val="28"/>
          <w:szCs w:val="28"/>
        </w:rPr>
        <w:t>2024年度</w:t>
      </w:r>
      <w:r>
        <w:rPr>
          <w:rFonts w:hint="eastAsia" w:ascii="仿宋_GB2312" w:eastAsia="仿宋_GB2312"/>
          <w:sz w:val="28"/>
          <w:szCs w:val="28"/>
          <w:lang w:val="en-US" w:eastAsia="zh-CN"/>
        </w:rPr>
        <w:t>机关运行经费支出</w:t>
      </w:r>
      <w:r>
        <w:rPr>
          <w:rFonts w:hint="eastAsia" w:ascii="仿宋_GB2312" w:eastAsia="仿宋_GB2312"/>
          <w:sz w:val="28"/>
          <w:szCs w:val="28"/>
        </w:rPr>
        <w:t>合计</w:t>
      </w:r>
      <w:r>
        <w:rPr>
          <w:rFonts w:hint="eastAsia" w:ascii="仿宋_GB2312" w:eastAsia="仿宋_GB2312"/>
          <w:sz w:val="28"/>
          <w:szCs w:val="28"/>
          <w:lang w:val="en-US" w:eastAsia="zh-CN"/>
        </w:rPr>
        <w:t>296.70</w:t>
      </w:r>
      <w:r>
        <w:rPr>
          <w:rFonts w:hint="eastAsia" w:ascii="仿宋_GB2312" w:eastAsia="仿宋_GB2312"/>
          <w:sz w:val="28"/>
          <w:szCs w:val="28"/>
        </w:rPr>
        <w:t>万元，比上年减少</w:t>
      </w:r>
      <w:r>
        <w:rPr>
          <w:rFonts w:hint="eastAsia" w:ascii="仿宋_GB2312" w:eastAsia="仿宋_GB2312"/>
          <w:sz w:val="28"/>
          <w:szCs w:val="28"/>
          <w:lang w:val="en-US" w:eastAsia="zh-CN"/>
        </w:rPr>
        <w:t>1.21</w:t>
      </w:r>
      <w:r>
        <w:rPr>
          <w:rFonts w:hint="eastAsia" w:ascii="仿宋_GB2312" w:eastAsia="仿宋_GB2312"/>
          <w:sz w:val="28"/>
          <w:szCs w:val="28"/>
        </w:rPr>
        <w:t>万元，减少</w:t>
      </w:r>
      <w:r>
        <w:rPr>
          <w:rFonts w:hint="eastAsia" w:ascii="仿宋_GB2312" w:eastAsia="仿宋_GB2312"/>
          <w:sz w:val="28"/>
          <w:szCs w:val="28"/>
          <w:lang w:val="en-US" w:eastAsia="zh-CN"/>
        </w:rPr>
        <w:t>0.41%，</w:t>
      </w:r>
      <w:r>
        <w:rPr>
          <w:rFonts w:hint="eastAsia" w:ascii="仿宋_GB2312" w:eastAsia="仿宋_GB2312"/>
          <w:sz w:val="28"/>
          <w:szCs w:val="28"/>
        </w:rPr>
        <w:t>原因：</w:t>
      </w:r>
      <w:r>
        <w:rPr>
          <w:rFonts w:hint="eastAsia" w:ascii="仿宋_GB2312" w:eastAsia="仿宋_GB2312"/>
          <w:sz w:val="28"/>
          <w:szCs w:val="28"/>
          <w:lang w:eastAsia="zh-CN"/>
        </w:rPr>
        <w:t>机构改革，人员调整</w:t>
      </w:r>
      <w:r>
        <w:rPr>
          <w:rFonts w:hint="eastAsia" w:ascii="仿宋_GB2312" w:eastAsia="仿宋_GB2312"/>
          <w:sz w:val="28"/>
          <w:szCs w:val="28"/>
        </w:rPr>
        <w:t>。</w:t>
      </w:r>
    </w:p>
    <w:p w14:paraId="032CDA58">
      <w:pPr>
        <w:ind w:left="540"/>
        <w:rPr>
          <w:rFonts w:hint="eastAsia" w:ascii="黑体" w:eastAsia="黑体"/>
          <w:sz w:val="28"/>
          <w:szCs w:val="28"/>
        </w:rPr>
      </w:pPr>
      <w:r>
        <w:rPr>
          <w:rFonts w:hint="eastAsia" w:ascii="黑体" w:eastAsia="黑体"/>
          <w:sz w:val="28"/>
          <w:szCs w:val="28"/>
        </w:rPr>
        <w:t>三、政府采购支出情况</w:t>
      </w:r>
    </w:p>
    <w:p w14:paraId="4C899B14">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1208.50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12.12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1196.38</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942.84</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78.02</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888.26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73.50</w:t>
      </w:r>
      <w:r>
        <w:rPr>
          <w:rFonts w:hint="eastAsia" w:ascii="仿宋_GB2312" w:eastAsia="仿宋_GB2312"/>
          <w:sz w:val="28"/>
          <w:szCs w:val="28"/>
        </w:rPr>
        <w:t>%。</w:t>
      </w:r>
    </w:p>
    <w:p w14:paraId="293950AC">
      <w:pPr>
        <w:ind w:firstLine="560" w:firstLineChars="200"/>
        <w:rPr>
          <w:rFonts w:hint="eastAsia" w:ascii="黑体" w:eastAsia="黑体"/>
          <w:sz w:val="28"/>
          <w:szCs w:val="28"/>
        </w:rPr>
      </w:pPr>
      <w:r>
        <w:rPr>
          <w:rFonts w:hint="eastAsia" w:ascii="黑体" w:eastAsia="黑体"/>
          <w:sz w:val="28"/>
          <w:szCs w:val="28"/>
        </w:rPr>
        <w:t>四、国有资产占用情况</w:t>
      </w:r>
    </w:p>
    <w:p w14:paraId="6AE29AA2">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截止12月31日，北京市大兴区民政局（本级）共有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w:t>
      </w:r>
      <w:r>
        <w:rPr>
          <w:rFonts w:hint="eastAsia" w:ascii="仿宋_GB2312" w:eastAsia="仿宋_GB2312"/>
          <w:sz w:val="28"/>
          <w:szCs w:val="28"/>
          <w:lang w:val="en-US" w:eastAsia="zh-CN"/>
        </w:rPr>
        <w:t>含</w:t>
      </w:r>
      <w:r>
        <w:rPr>
          <w:rFonts w:hint="eastAsia" w:ascii="仿宋_GB2312" w:eastAsia="仿宋_GB2312"/>
          <w:sz w:val="28"/>
          <w:szCs w:val="28"/>
          <w:lang w:eastAsia="zh-CN"/>
        </w:rPr>
        <w:t>）</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0.00</w:t>
      </w:r>
      <w:r>
        <w:rPr>
          <w:rFonts w:hint="eastAsia" w:ascii="仿宋_GB2312" w:eastAsia="仿宋_GB2312"/>
          <w:sz w:val="28"/>
          <w:szCs w:val="28"/>
        </w:rPr>
        <w:t>万元。</w:t>
      </w:r>
    </w:p>
    <w:p w14:paraId="7C0A2454">
      <w:pPr>
        <w:spacing w:line="560" w:lineRule="exact"/>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6F24B01">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lang w:val="en-US" w:eastAsia="zh-CN"/>
        </w:rPr>
        <w:t>1166.94</w:t>
      </w:r>
      <w:r>
        <w:rPr>
          <w:rFonts w:hint="eastAsia" w:ascii="仿宋_GB2312" w:eastAsia="仿宋_GB2312"/>
          <w:sz w:val="28"/>
          <w:szCs w:val="28"/>
        </w:rPr>
        <w:t>万元。</w:t>
      </w:r>
    </w:p>
    <w:p w14:paraId="17BD48A3">
      <w:pPr>
        <w:ind w:firstLine="560" w:firstLineChars="200"/>
        <w:rPr>
          <w:rFonts w:hint="eastAsia" w:ascii="仿宋_GB2312" w:eastAsia="仿宋_GB2312"/>
          <w:sz w:val="28"/>
          <w:szCs w:val="28"/>
        </w:rPr>
      </w:pPr>
      <w:r>
        <w:rPr>
          <w:rFonts w:hint="eastAsia" w:ascii="黑体" w:eastAsia="黑体"/>
          <w:sz w:val="28"/>
          <w:szCs w:val="28"/>
          <w:lang w:val="en-US" w:eastAsia="zh-CN"/>
        </w:rPr>
        <w:t>六</w:t>
      </w:r>
      <w:r>
        <w:rPr>
          <w:rFonts w:hint="eastAsia" w:ascii="黑体" w:eastAsia="黑体"/>
          <w:sz w:val="28"/>
          <w:szCs w:val="28"/>
        </w:rPr>
        <w:t>、</w:t>
      </w:r>
      <w:r>
        <w:rPr>
          <w:rFonts w:ascii="黑体" w:eastAsia="黑体"/>
          <w:sz w:val="28"/>
          <w:szCs w:val="28"/>
        </w:rPr>
        <w:t>专业名词解释</w:t>
      </w:r>
    </w:p>
    <w:p w14:paraId="2BFC2A5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CF9231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5D469FD">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4CC86A6">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7E88EB">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370A28A2">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E03B962">
      <w:pPr>
        <w:ind w:firstLine="560" w:firstLineChars="20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w:t>
      </w:r>
    </w:p>
    <w:p w14:paraId="3EBFB90A">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一般公共服务支出（类）社会工作事务（款）一般行政管理实务（项）：反映行政单位（包括实行公务员管理的事业单位）未单独设置项级科目的其他项目支出。</w:t>
      </w:r>
    </w:p>
    <w:p w14:paraId="5A924337">
      <w:pPr>
        <w:pStyle w:val="11"/>
        <w:rPr>
          <w:rFonts w:hint="eastAsia"/>
          <w:lang w:eastAsia="zh-CN"/>
        </w:rPr>
      </w:pPr>
      <w:r>
        <w:rPr>
          <w:rFonts w:hint="eastAsia"/>
          <w:sz w:val="28"/>
          <w:szCs w:val="28"/>
          <w:lang w:eastAsia="zh-CN"/>
        </w:rPr>
        <w:t>社会保障和就业支出（类）人力资源和社会保障管理事务（款）行政运行（项）：反映行政单位</w:t>
      </w:r>
      <w:r>
        <w:rPr>
          <w:rFonts w:hint="eastAsia" w:ascii="仿宋_GB2312" w:eastAsia="仿宋_GB2312"/>
          <w:sz w:val="28"/>
          <w:szCs w:val="28"/>
          <w:lang w:eastAsia="zh-CN"/>
        </w:rPr>
        <w:t>（包括实行公务员管理的事业单位）</w:t>
      </w:r>
      <w:r>
        <w:rPr>
          <w:rFonts w:hint="eastAsia"/>
          <w:sz w:val="28"/>
          <w:szCs w:val="28"/>
          <w:lang w:eastAsia="zh-CN"/>
        </w:rPr>
        <w:t>的基本支出。</w:t>
      </w:r>
    </w:p>
    <w:p w14:paraId="663744EA">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教育支出（类）进修及培训（款）培训支出（项）：反映各部门安排的用于培训的支出。</w:t>
      </w:r>
    </w:p>
    <w:p w14:paraId="7D1A55B8">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民政管理事务（款）行政运行（项）：反映行政单位（包括试行公务员管理的事业单位）的基本支出。</w:t>
      </w:r>
    </w:p>
    <w:p w14:paraId="6E90DFE5">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民政管理事务（款）一般行政管理事务（项）：反映行政单位（包括实行公务员管理的事业单位）未单独设置项级科目的其他项目支出。</w:t>
      </w:r>
    </w:p>
    <w:p w14:paraId="6FF285EA">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民政管理事务（款）社会组织管理（项）：反映社会组织管理、支持社会组织发展等方面的支出。</w:t>
      </w:r>
    </w:p>
    <w:p w14:paraId="2E495AF8">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款）基层政权建设和社区治理（项）：反映开展城乡社区治理、城乡社区服务（乡村便民服务）、村（居）民自治、村（居）务公开、乡镇（街道）服务能力建设等基层政权建设和社区治理工作的支出。</w:t>
      </w:r>
    </w:p>
    <w:p w14:paraId="42AD44C9">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民政管理事务（款）其他民政管理事务支出（项）：反映除上述项目以外其他用于民政管理事务的支出。</w:t>
      </w:r>
    </w:p>
    <w:p w14:paraId="7E5FED71">
      <w:pPr>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14:paraId="17E34588">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14:paraId="68BE0ABE">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60C19548">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w:t>
      </w:r>
    </w:p>
    <w:p w14:paraId="193159A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其他行政事业单位养老支出（项）：反映除上述项目以外其他其他用于行政事业单位养老方面的支出。</w:t>
      </w:r>
    </w:p>
    <w:p w14:paraId="32B50CFC">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社会福利（款）儿童福利（项）：反映对儿童提供福利服务方面的支出。</w:t>
      </w:r>
    </w:p>
    <w:p w14:paraId="47A0754C">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社会福利（款）老年福利（项）：反映对老年人提供福利服务方面的支出，包括为经济困难的高龄、失能等老年人提供基本养老服务保障的资金补助等支出。</w:t>
      </w:r>
    </w:p>
    <w:p w14:paraId="580DF12B">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社会福利（款）殡葬（项）：反映殡葬管理和殡葬服务方面的支出，包括民政部门直属的殡仪馆、公墓、殡葬管理服务机构的支出。</w:t>
      </w:r>
    </w:p>
    <w:p w14:paraId="669B560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养老服务（项）：反映财政在养老服务方面的补助支出，包括支持居家养老服务、社区养老服务和机构养老服务的支出，对养老服务机构的运营、建设补助支出等，不包括对社会福利事业单位的补助支出。</w:t>
      </w:r>
    </w:p>
    <w:p w14:paraId="7E7C6421">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社会福利（款）其他社会福利支出（项）：反映除上述项目其他用于社会福利方面的支出。</w:t>
      </w:r>
    </w:p>
    <w:p w14:paraId="250D721F">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残疾人事业（款）残疾人生活和护理补贴（项）：反映困难残疾人生活补贴和重度残疾人护理补贴的支出。</w:t>
      </w:r>
    </w:p>
    <w:p w14:paraId="46CEF4F7">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最低生活保障（款）城市最低生活保障金支出（项）：反映用于城市最低生活保障对象的最低生活保障金支出。</w:t>
      </w:r>
    </w:p>
    <w:p w14:paraId="29BE8CCD">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临时救助（款）临时救助支出（项）：反映用于城乡生活困难居民的临时救助等支出。</w:t>
      </w:r>
    </w:p>
    <w:p w14:paraId="764A93C7">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临时救助（款）流浪乞讨人员救助支出（项）：反映用于生活无着的流浪乞讨人员的救助支出和救助管理机构的运转支出。</w:t>
      </w:r>
    </w:p>
    <w:p w14:paraId="23FA79A1">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特困人员救助供养（款）城市特困人员救助供养支出（项）：反映城市特困人员救助供养支出。</w:t>
      </w:r>
    </w:p>
    <w:p w14:paraId="432362E7">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其他生活救助（款）其他城市生活救助（项）：反映除最低生活保障、临时救助、特困人员救助供养外，用于城市生活困难居民生活救助的其他支出，包括用于除优抚对象、失业人员之外城市生活困难居民的价格临时补贴支出。</w:t>
      </w:r>
    </w:p>
    <w:p w14:paraId="7210117D">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其他社会保障和就业支出（款）其他社会保障和就业支出（项）：反映除上述项目以外其他用于社会保障和就业方面的支出。</w:t>
      </w:r>
    </w:p>
    <w:p w14:paraId="734E0699">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1DC50B56">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554E4859">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卫生健康支出（类）行政事业单位医疗（款）公务员医疗补助（项）：反映财政部门安排的公务员医疗补助经费。</w:t>
      </w:r>
    </w:p>
    <w:p w14:paraId="57EEC742">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城乡社区支出（类）国有土地使用权出让收入安排的支出（款）城市建设支出（项）：反映土地出让收入用于完善国有土地使用功能的配套设施建设和城市基础设施支出。</w:t>
      </w:r>
    </w:p>
    <w:p w14:paraId="2C199021">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其他支出（类）彩票公益金安排的支出（款）用于社会福利的彩票公益金支出（项）：反映用于社会福利和社会救助的彩票公益金支出。</w:t>
      </w:r>
    </w:p>
    <w:p w14:paraId="3CAE6E8E">
      <w:pPr>
        <w:pStyle w:val="11"/>
        <w:rPr>
          <w:rFonts w:hint="eastAsia"/>
          <w:lang w:eastAsia="zh-CN"/>
        </w:rPr>
      </w:pPr>
      <w:r>
        <w:rPr>
          <w:rFonts w:hint="eastAsia"/>
          <w:sz w:val="28"/>
          <w:szCs w:val="28"/>
          <w:lang w:eastAsia="zh-CN"/>
        </w:rPr>
        <w:t>住房保障支出（类）住房改革支出（款）购房补贴（项）：反映按房改政策规定，行政事业单位向符合条件职工（含离退休人员）军队（含武警）向转役复员离退休人员发放的用于购买住房的补贴。</w:t>
      </w:r>
    </w:p>
    <w:p w14:paraId="6A900248">
      <w:pPr>
        <w:tabs>
          <w:tab w:val="center" w:pos="6979"/>
        </w:tabs>
        <w:spacing w:before="156" w:beforeLines="50" w:after="156" w:afterLines="50"/>
        <w:jc w:val="center"/>
        <w:rPr>
          <w:rFonts w:hint="eastAsia" w:ascii="宋体" w:hAnsi="宋体" w:cs="宋体"/>
          <w:b/>
          <w:bCs/>
          <w:spacing w:val="40"/>
          <w:kern w:val="0"/>
          <w:sz w:val="32"/>
          <w:szCs w:val="32"/>
        </w:rPr>
      </w:pPr>
    </w:p>
    <w:p w14:paraId="7BA39D98">
      <w:pPr>
        <w:pStyle w:val="5"/>
        <w:rPr>
          <w:rFonts w:hint="eastAsia" w:ascii="宋体" w:hAnsi="宋体" w:cs="宋体"/>
          <w:b/>
          <w:bCs/>
          <w:spacing w:val="40"/>
          <w:kern w:val="0"/>
          <w:sz w:val="32"/>
          <w:szCs w:val="32"/>
        </w:rPr>
      </w:pPr>
    </w:p>
    <w:p w14:paraId="03B624F6">
      <w:pPr>
        <w:pStyle w:val="5"/>
        <w:rPr>
          <w:rFonts w:hint="eastAsia" w:ascii="宋体" w:hAnsi="宋体" w:cs="宋体"/>
          <w:b/>
          <w:bCs/>
          <w:spacing w:val="40"/>
          <w:kern w:val="0"/>
          <w:sz w:val="32"/>
          <w:szCs w:val="32"/>
        </w:rPr>
      </w:pPr>
    </w:p>
    <w:p w14:paraId="64B2BF33">
      <w:pPr>
        <w:pStyle w:val="5"/>
        <w:rPr>
          <w:rFonts w:hint="eastAsia" w:ascii="宋体" w:hAnsi="宋体" w:cs="宋体"/>
          <w:b/>
          <w:bCs/>
          <w:spacing w:val="40"/>
          <w:kern w:val="0"/>
          <w:sz w:val="32"/>
          <w:szCs w:val="32"/>
        </w:rPr>
      </w:pPr>
    </w:p>
    <w:p w14:paraId="7EB7F925">
      <w:pPr>
        <w:pStyle w:val="5"/>
        <w:rPr>
          <w:rFonts w:hint="eastAsia" w:ascii="宋体" w:hAnsi="宋体" w:cs="宋体"/>
          <w:b/>
          <w:bCs/>
          <w:spacing w:val="40"/>
          <w:kern w:val="0"/>
          <w:sz w:val="32"/>
          <w:szCs w:val="32"/>
        </w:rPr>
      </w:pPr>
      <w:bookmarkStart w:id="0" w:name="_GoBack"/>
      <w:bookmarkEnd w:id="0"/>
    </w:p>
    <w:p w14:paraId="2D7BA55D">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14:paraId="15B316A6">
      <w:pPr>
        <w:spacing w:line="580" w:lineRule="exact"/>
        <w:ind w:firstLine="560" w:firstLineChars="200"/>
        <w:jc w:val="center"/>
        <w:rPr>
          <w:rFonts w:hint="eastAsia" w:ascii="黑体" w:eastAsia="黑体"/>
          <w:sz w:val="28"/>
          <w:szCs w:val="28"/>
        </w:rPr>
      </w:pPr>
    </w:p>
    <w:p w14:paraId="49223DB2">
      <w:pPr>
        <w:ind w:firstLine="560" w:firstLineChars="200"/>
        <w:rPr>
          <w:rFonts w:hint="eastAsia"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14:paraId="0411D4E1">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 w:val="0"/>
          <w:bCs w:val="0"/>
          <w:kern w:val="0"/>
          <w:sz w:val="28"/>
          <w:szCs w:val="28"/>
          <w:lang w:eastAsia="zh-CN"/>
        </w:rPr>
        <w:t>《项目支出绩效自评表》详见附件</w:t>
      </w:r>
    </w:p>
    <w:p w14:paraId="2ACF62FE">
      <w:pPr>
        <w:spacing w:line="580" w:lineRule="exact"/>
        <w:ind w:firstLine="560" w:firstLineChars="200"/>
        <w:rPr>
          <w:rFonts w:hint="eastAsia" w:ascii="仿宋_GB2312" w:hAnsi="仿宋_GB2312" w:eastAsia="仿宋_GB2312" w:cs="仿宋_GB2312"/>
          <w:sz w:val="28"/>
          <w:szCs w:val="28"/>
        </w:rPr>
      </w:pPr>
    </w:p>
    <w:p w14:paraId="2781374B">
      <w:pPr>
        <w:spacing w:line="580" w:lineRule="exact"/>
        <w:ind w:firstLine="560" w:firstLineChars="200"/>
        <w:rPr>
          <w:rFonts w:hint="eastAsia" w:ascii="仿宋_GB2312" w:hAnsi="仿宋_GB2312" w:eastAsia="仿宋_GB2312" w:cs="仿宋_GB2312"/>
          <w:sz w:val="28"/>
          <w:szCs w:val="28"/>
        </w:rPr>
      </w:pPr>
    </w:p>
    <w:p w14:paraId="1E5DB8C4">
      <w:pPr>
        <w:spacing w:line="480" w:lineRule="exact"/>
        <w:jc w:val="center"/>
        <w:rPr>
          <w:rFonts w:hint="eastAsia" w:ascii="黑体" w:eastAsia="黑体"/>
          <w:sz w:val="32"/>
          <w:szCs w:val="32"/>
        </w:rPr>
      </w:pPr>
    </w:p>
    <w:p w14:paraId="7A7FAD1D">
      <w:pPr>
        <w:spacing w:line="480" w:lineRule="exact"/>
        <w:jc w:val="center"/>
        <w:rPr>
          <w:rFonts w:hint="eastAsia" w:ascii="黑体" w:eastAsia="黑体"/>
          <w:sz w:val="32"/>
          <w:szCs w:val="32"/>
        </w:rPr>
      </w:pPr>
    </w:p>
    <w:p w14:paraId="471B4384">
      <w:pPr>
        <w:spacing w:line="480" w:lineRule="exact"/>
        <w:jc w:val="center"/>
        <w:rPr>
          <w:rFonts w:hint="eastAsia" w:ascii="黑体" w:eastAsia="黑体"/>
          <w:sz w:val="32"/>
          <w:szCs w:val="32"/>
        </w:rPr>
      </w:pPr>
    </w:p>
    <w:p w14:paraId="19ACD339">
      <w:pPr>
        <w:spacing w:line="480" w:lineRule="exact"/>
        <w:jc w:val="center"/>
        <w:rPr>
          <w:rFonts w:hint="eastAsia" w:ascii="黑体" w:eastAsia="黑体"/>
          <w:sz w:val="32"/>
          <w:szCs w:val="32"/>
        </w:rPr>
      </w:pPr>
    </w:p>
    <w:p w14:paraId="0A434BD2">
      <w:pPr>
        <w:spacing w:line="480" w:lineRule="exact"/>
        <w:jc w:val="center"/>
        <w:rPr>
          <w:rFonts w:hint="eastAsia" w:ascii="黑体" w:eastAsia="黑体"/>
          <w:sz w:val="32"/>
          <w:szCs w:val="32"/>
        </w:rPr>
      </w:pPr>
    </w:p>
    <w:p w14:paraId="07B3D599">
      <w:pPr>
        <w:spacing w:line="480" w:lineRule="exact"/>
        <w:jc w:val="center"/>
        <w:rPr>
          <w:rFonts w:hint="eastAsia" w:ascii="黑体" w:eastAsia="黑体"/>
          <w:sz w:val="32"/>
          <w:szCs w:val="32"/>
        </w:rPr>
      </w:pPr>
    </w:p>
    <w:p w14:paraId="4CEC9057">
      <w:pPr>
        <w:spacing w:line="560" w:lineRule="exact"/>
        <w:jc w:val="left"/>
        <w:rPr>
          <w:rFonts w:hint="eastAsia" w:ascii="方正黑体_GBK" w:hAnsi="方正黑体_GBK" w:eastAsia="方正黑体_GBK" w:cs="方正黑体_GBK"/>
          <w:sz w:val="32"/>
          <w:szCs w:val="32"/>
        </w:rPr>
      </w:pPr>
    </w:p>
    <w:p w14:paraId="37762B8A">
      <w:pPr>
        <w:rPr>
          <w:rFonts w:hint="eastAsia"/>
        </w:rPr>
      </w:pPr>
    </w:p>
    <w:p w14:paraId="17E3809F">
      <w:pPr>
        <w:pStyle w:val="5"/>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93014">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606F1B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FiDUKEAIAAAkEAAAOAAAAAAAAAAEAIAAA&#10;AB8BAABkcnMvZTJvRG9jLnhtbFBLBQYAAAAABgAGAFkBAAChBQAAAAA=&#10;">
              <v:fill on="f" focussize="0,0"/>
              <v:stroke on="f"/>
              <v:imagedata o:title=""/>
              <o:lock v:ext="edit" aspectratio="f"/>
              <v:textbox inset="0mm,0mm,0mm,0mm" style="mso-fit-shape-to-text:t;">
                <w:txbxContent>
                  <w:p w14:paraId="5606F1B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14:paraId="32C57DCE">
    <w:pPr>
      <w:pStyle w:val="8"/>
    </w:pPr>
  </w:p>
  <w:p w14:paraId="2F6A812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4EF59">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28FAC44F">
                          <w:pPr>
                            <w:pStyle w:val="8"/>
                            <w:rPr>
                              <w:rStyle w:val="15"/>
                            </w:rPr>
                          </w:pPr>
                          <w:r>
                            <w:fldChar w:fldCharType="begin"/>
                          </w:r>
                          <w:r>
                            <w:rPr>
                              <w:rStyle w:val="15"/>
                            </w:rPr>
                            <w:instrText xml:space="preserve">PAGE  </w:instrText>
                          </w:r>
                          <w:r>
                            <w:fldChar w:fldCharType="separate"/>
                          </w:r>
                          <w:r>
                            <w:rPr>
                              <w:rStyle w:val="15"/>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GLmmxEAIAAAgEAAAOAAAAAAAAAAEAIAAA&#10;AB8BAABkcnMvZTJvRG9jLnhtbFBLBQYAAAAABgAGAFkBAAChBQAAAAA=&#10;">
              <v:fill on="f" focussize="0,0"/>
              <v:stroke on="f"/>
              <v:imagedata o:title=""/>
              <o:lock v:ext="edit" aspectratio="f"/>
              <v:textbox inset="0mm,0mm,0mm,0mm" style="mso-fit-shape-to-text:t;">
                <w:txbxContent>
                  <w:p w14:paraId="28FAC44F">
                    <w:pPr>
                      <w:pStyle w:val="8"/>
                      <w:rPr>
                        <w:rStyle w:val="15"/>
                      </w:rPr>
                    </w:pPr>
                    <w:r>
                      <w:fldChar w:fldCharType="begin"/>
                    </w:r>
                    <w:r>
                      <w:rPr>
                        <w:rStyle w:val="15"/>
                      </w:rPr>
                      <w:instrText xml:space="preserve">PAGE  </w:instrText>
                    </w:r>
                    <w:r>
                      <w:fldChar w:fldCharType="separate"/>
                    </w:r>
                    <w:r>
                      <w:rPr>
                        <w:rStyle w:val="15"/>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7D3FC">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14:paraId="0AC3CAF8">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8F403">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68049FA5">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4FDD4C"/>
    <w:multiLevelType w:val="singleLevel"/>
    <w:tmpl w:val="684FDD4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1DD4AFF"/>
    <w:rsid w:val="02006D52"/>
    <w:rsid w:val="026A34E2"/>
    <w:rsid w:val="027667AB"/>
    <w:rsid w:val="02F43258"/>
    <w:rsid w:val="03684867"/>
    <w:rsid w:val="038E6E7A"/>
    <w:rsid w:val="04592C5D"/>
    <w:rsid w:val="05AF3035"/>
    <w:rsid w:val="079004AC"/>
    <w:rsid w:val="089470F2"/>
    <w:rsid w:val="0AFD09DD"/>
    <w:rsid w:val="0B452A70"/>
    <w:rsid w:val="0C7B7F86"/>
    <w:rsid w:val="0F8E2C57"/>
    <w:rsid w:val="1059665E"/>
    <w:rsid w:val="10AC13BA"/>
    <w:rsid w:val="124610E1"/>
    <w:rsid w:val="135572DF"/>
    <w:rsid w:val="139D196C"/>
    <w:rsid w:val="14604B05"/>
    <w:rsid w:val="163A2018"/>
    <w:rsid w:val="163F4A7E"/>
    <w:rsid w:val="18A22B4C"/>
    <w:rsid w:val="1A484ADA"/>
    <w:rsid w:val="1A5E096A"/>
    <w:rsid w:val="1AEC0734"/>
    <w:rsid w:val="1B323594"/>
    <w:rsid w:val="1B43291B"/>
    <w:rsid w:val="1C7254ED"/>
    <w:rsid w:val="1CF46AC6"/>
    <w:rsid w:val="1DEF20B0"/>
    <w:rsid w:val="1E6F5B93"/>
    <w:rsid w:val="1F401DDF"/>
    <w:rsid w:val="1F664E2A"/>
    <w:rsid w:val="20E83ABC"/>
    <w:rsid w:val="21422A39"/>
    <w:rsid w:val="214243FA"/>
    <w:rsid w:val="214B671C"/>
    <w:rsid w:val="232235C5"/>
    <w:rsid w:val="257A14F5"/>
    <w:rsid w:val="25822739"/>
    <w:rsid w:val="27196C26"/>
    <w:rsid w:val="29EF086F"/>
    <w:rsid w:val="2A8415D0"/>
    <w:rsid w:val="2BF13CCD"/>
    <w:rsid w:val="2EFFE297"/>
    <w:rsid w:val="2F455720"/>
    <w:rsid w:val="301437CA"/>
    <w:rsid w:val="32785148"/>
    <w:rsid w:val="341F7DBF"/>
    <w:rsid w:val="34BE2410"/>
    <w:rsid w:val="353C75FB"/>
    <w:rsid w:val="36070DD0"/>
    <w:rsid w:val="364B11A6"/>
    <w:rsid w:val="377B3F4F"/>
    <w:rsid w:val="37D2256B"/>
    <w:rsid w:val="386D6DD1"/>
    <w:rsid w:val="39E52E6C"/>
    <w:rsid w:val="3A480854"/>
    <w:rsid w:val="3B1E3A6D"/>
    <w:rsid w:val="3C606C24"/>
    <w:rsid w:val="3D3407FB"/>
    <w:rsid w:val="3D8A72AA"/>
    <w:rsid w:val="3DE04810"/>
    <w:rsid w:val="3DFD6097"/>
    <w:rsid w:val="3F0266EF"/>
    <w:rsid w:val="3F143319"/>
    <w:rsid w:val="3F3B19D7"/>
    <w:rsid w:val="4208288A"/>
    <w:rsid w:val="42F27DD4"/>
    <w:rsid w:val="433E495C"/>
    <w:rsid w:val="44617DEC"/>
    <w:rsid w:val="451B1D5F"/>
    <w:rsid w:val="45A90126"/>
    <w:rsid w:val="4616442F"/>
    <w:rsid w:val="46B753D0"/>
    <w:rsid w:val="48804E0D"/>
    <w:rsid w:val="49090450"/>
    <w:rsid w:val="4A8E63F2"/>
    <w:rsid w:val="4AC27CB3"/>
    <w:rsid w:val="4AF37C82"/>
    <w:rsid w:val="4B6D146C"/>
    <w:rsid w:val="4B76284C"/>
    <w:rsid w:val="4BF72BEF"/>
    <w:rsid w:val="4CD80866"/>
    <w:rsid w:val="4D9B0B19"/>
    <w:rsid w:val="4DEB2135"/>
    <w:rsid w:val="4E342A97"/>
    <w:rsid w:val="4F5336EF"/>
    <w:rsid w:val="4FB37E8E"/>
    <w:rsid w:val="50502C65"/>
    <w:rsid w:val="50B13880"/>
    <w:rsid w:val="51830E03"/>
    <w:rsid w:val="51DB3C59"/>
    <w:rsid w:val="54117140"/>
    <w:rsid w:val="548F4B93"/>
    <w:rsid w:val="54E91EB6"/>
    <w:rsid w:val="550A17D8"/>
    <w:rsid w:val="55762E42"/>
    <w:rsid w:val="568B6949"/>
    <w:rsid w:val="57A7B272"/>
    <w:rsid w:val="58470068"/>
    <w:rsid w:val="58886F75"/>
    <w:rsid w:val="58C146D8"/>
    <w:rsid w:val="59275DC1"/>
    <w:rsid w:val="5A1720F9"/>
    <w:rsid w:val="5B9C37C2"/>
    <w:rsid w:val="5BA7C654"/>
    <w:rsid w:val="5CF74D38"/>
    <w:rsid w:val="5CF93C9A"/>
    <w:rsid w:val="5E981D6C"/>
    <w:rsid w:val="5F2D3D9B"/>
    <w:rsid w:val="5F8A0474"/>
    <w:rsid w:val="5FCD0A1C"/>
    <w:rsid w:val="60114B5A"/>
    <w:rsid w:val="60FF240D"/>
    <w:rsid w:val="61A41674"/>
    <w:rsid w:val="634E4D0D"/>
    <w:rsid w:val="638A7560"/>
    <w:rsid w:val="641F04E5"/>
    <w:rsid w:val="644A208F"/>
    <w:rsid w:val="64C0607C"/>
    <w:rsid w:val="65AC6CC3"/>
    <w:rsid w:val="6721320F"/>
    <w:rsid w:val="672D1356"/>
    <w:rsid w:val="676F09E1"/>
    <w:rsid w:val="67CE339C"/>
    <w:rsid w:val="696173A6"/>
    <w:rsid w:val="6A9B1DCA"/>
    <w:rsid w:val="6AF13BD6"/>
    <w:rsid w:val="6BBB56E5"/>
    <w:rsid w:val="6C2C6080"/>
    <w:rsid w:val="6C884D55"/>
    <w:rsid w:val="6F375468"/>
    <w:rsid w:val="6FE55BEA"/>
    <w:rsid w:val="70046C4C"/>
    <w:rsid w:val="713269E8"/>
    <w:rsid w:val="721821DB"/>
    <w:rsid w:val="749D3FBF"/>
    <w:rsid w:val="74D87B2A"/>
    <w:rsid w:val="756172B0"/>
    <w:rsid w:val="75A44ED9"/>
    <w:rsid w:val="75E74A0A"/>
    <w:rsid w:val="75F17963"/>
    <w:rsid w:val="768F7680"/>
    <w:rsid w:val="77512F0B"/>
    <w:rsid w:val="776B6B39"/>
    <w:rsid w:val="77F80C6B"/>
    <w:rsid w:val="78605CFC"/>
    <w:rsid w:val="78D84487"/>
    <w:rsid w:val="7A7F1C49"/>
    <w:rsid w:val="7A855147"/>
    <w:rsid w:val="7B5B7AE6"/>
    <w:rsid w:val="7BA7071E"/>
    <w:rsid w:val="7BDF6DA8"/>
    <w:rsid w:val="7C7EDC1A"/>
    <w:rsid w:val="7CCED98D"/>
    <w:rsid w:val="7D08410F"/>
    <w:rsid w:val="7DB96DED"/>
    <w:rsid w:val="7DD3AD81"/>
    <w:rsid w:val="7F7FE70F"/>
    <w:rsid w:val="7F934F96"/>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Plain Text"/>
    <w:basedOn w:val="1"/>
    <w:qFormat/>
    <w:uiPriority w:val="0"/>
    <w:rPr>
      <w:rFonts w:ascii="宋体" w:hAnsi="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4"/>
    <w:qFormat/>
    <w:uiPriority w:val="0"/>
    <w:pPr>
      <w:ind w:firstLine="420" w:firstLineChars="200"/>
    </w:pPr>
  </w:style>
  <w:style w:type="character" w:styleId="14">
    <w:name w:val="Strong"/>
    <w:qFormat/>
    <w:uiPriority w:val="0"/>
    <w:rPr>
      <w:b/>
    </w:rPr>
  </w:style>
  <w:style w:type="character" w:styleId="15">
    <w:name w:val="page number"/>
    <w:qFormat/>
    <w:uiPriority w:val="0"/>
  </w:style>
  <w:style w:type="character" w:customStyle="1" w:styleId="16">
    <w:name w:val="页脚 字符"/>
    <w:link w:val="8"/>
    <w:qFormat/>
    <w:uiPriority w:val="0"/>
    <w:rPr>
      <w:rFonts w:eastAsia="宋体"/>
      <w:kern w:val="2"/>
      <w:sz w:val="18"/>
      <w:szCs w:val="18"/>
      <w:lang w:val="en-US" w:eastAsia="zh-CN" w:bidi="ar-SA"/>
    </w:rPr>
  </w:style>
  <w:style w:type="character" w:customStyle="1" w:styleId="17">
    <w:name w:val="页眉 字符"/>
    <w:link w:val="9"/>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0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[工作簿1]Sheet1!$F$2:$F$3</c:f>
              <c:strCache>
                <c:ptCount val="2"/>
                <c:pt idx="0">
                  <c:v>财政拨款收入</c:v>
                </c:pt>
                <c:pt idx="1">
                  <c:v>其他收入</c:v>
                </c:pt>
              </c:strCache>
            </c:strRef>
          </c:cat>
          <c:val>
            <c:numRef>
              <c:f>[工作簿1]Sheet1!$G$2:$G$3</c:f>
              <c:numCache>
                <c:formatCode>General</c:formatCode>
                <c:ptCount val="2"/>
                <c:pt idx="0">
                  <c:v>47050.76</c:v>
                </c:pt>
                <c:pt idx="1">
                  <c:v>16.78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f4c132a-c71e-4f03-a69e-ef903a335d6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[工作簿1]Sheet1!$F$22:$F$23</c:f>
              <c:strCache>
                <c:ptCount val="2"/>
                <c:pt idx="0">
                  <c:v>基本支出</c:v>
                </c:pt>
                <c:pt idx="1">
                  <c:v>项目支出</c:v>
                </c:pt>
              </c:strCache>
            </c:strRef>
          </c:cat>
          <c:val>
            <c:numRef>
              <c:f>[工作簿1]Sheet1!$G$22:$G$23</c:f>
              <c:numCache>
                <c:formatCode>General</c:formatCode>
                <c:ptCount val="2"/>
                <c:pt idx="0">
                  <c:v>4333.39</c:v>
                </c:pt>
                <c:pt idx="1">
                  <c:v>43123.09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1fe3593-57ce-42dc-b05c-affda9cb2a8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4683</Words>
  <Characters>5293</Characters>
  <Lines>588</Lines>
  <Paragraphs>343</Paragraphs>
  <TotalTime>0</TotalTime>
  <ScaleCrop>false</ScaleCrop>
  <LinksUpToDate>false</LinksUpToDate>
  <CharactersWithSpaces>9633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Administrator</cp:lastModifiedBy>
  <cp:lastPrinted>2020-08-07T11:39:00Z</cp:lastPrinted>
  <dcterms:modified xsi:type="dcterms:W3CDTF">2025-09-26T01:07:52Z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