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hint="eastAsia" w:ascii="黑体" w:eastAsia="黑体"/>
          <w:sz w:val="72"/>
          <w:szCs w:val="72"/>
          <w:lang w:eastAsia="zh-CN"/>
        </w:rPr>
      </w:pPr>
    </w:p>
    <w:p>
      <w:pPr>
        <w:jc w:val="center"/>
        <w:rPr>
          <w:rFonts w:hint="eastAsia" w:ascii="黑体" w:eastAsia="黑体"/>
          <w:sz w:val="72"/>
          <w:szCs w:val="72"/>
          <w:lang w:eastAsia="zh-CN"/>
        </w:rPr>
      </w:pPr>
    </w:p>
    <w:p>
      <w:pPr>
        <w:jc w:val="center"/>
        <w:rPr>
          <w:rFonts w:hint="eastAsia"/>
          <w:lang w:eastAsia="zh-CN"/>
        </w:rPr>
      </w:pPr>
      <w:r>
        <w:rPr>
          <w:rFonts w:hint="eastAsia" w:ascii="黑体" w:eastAsia="黑体"/>
          <w:sz w:val="72"/>
          <w:szCs w:val="72"/>
          <w:lang w:eastAsia="zh-CN"/>
        </w:rPr>
        <w:t>北京市大兴区南红门水务所</w:t>
      </w:r>
    </w:p>
    <w:p>
      <w:pPr>
        <w:jc w:val="center"/>
        <w:rPr>
          <w:rFonts w:ascii="黑体" w:eastAsia="黑体"/>
          <w:sz w:val="72"/>
          <w:szCs w:val="72"/>
        </w:rPr>
      </w:pPr>
      <w:r>
        <w:rPr>
          <w:rFonts w:hint="eastAsia" w:ascii="黑体" w:eastAsia="黑体"/>
          <w:sz w:val="72"/>
          <w:szCs w:val="72"/>
          <w:lang w:val="en-US" w:eastAsia="zh-CN"/>
        </w:rPr>
        <w:t xml:space="preserve"> </w:t>
      </w: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一</w:t>
      </w:r>
      <w:r>
        <w:rPr>
          <w:rFonts w:hint="eastAsia" w:ascii="仿宋_GB2312" w:hAnsi="Times New Roman" w:eastAsia="仿宋_GB2312" w:cs="Times New Roman"/>
          <w:sz w:val="28"/>
          <w:szCs w:val="28"/>
          <w:lang w:val="en-US" w:eastAsia="zh-CN"/>
        </w:rPr>
        <w:t>）</w:t>
      </w:r>
      <w:r>
        <w:rPr>
          <w:rFonts w:hint="eastAsia" w:ascii="仿宋_GB2312" w:eastAsia="仿宋_GB2312" w:cs="Times New Roman"/>
          <w:sz w:val="28"/>
          <w:szCs w:val="28"/>
          <w:lang w:val="en-US" w:eastAsia="zh-CN"/>
        </w:rPr>
        <w:t>单位</w:t>
      </w:r>
      <w:r>
        <w:rPr>
          <w:rFonts w:hint="eastAsia" w:ascii="仿宋_GB2312" w:eastAsia="仿宋_GB2312"/>
          <w:sz w:val="28"/>
          <w:szCs w:val="28"/>
        </w:rPr>
        <w:t>职责</w:t>
      </w:r>
    </w:p>
    <w:p>
      <w:p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负责本流域内区管河道管理和保护范围内有关涉水事务的管理工作。负责本流域内区管河道运行方案的编制工作,并组织实施;负责本流域内区管河道管理和保护范围内水务工程设施的运行管理、维护工作;负责区级河长联络办公室工作;负责本流域内区管河道的防汛相关工作;负责执行调水计划;参与制定本流域内区管河道治理工程、水生态空间划定管控等规划;参与本流域内区管河道管理和保护范围内依法修建的非河道工程建筑物及其他设施建设、运行的日常监督检查相关事务性工作;参与本流域内区管河道的水文监测和资料整编工作;参与本流域内区管河道管理和保护范围内涉水突发事件的应急处置工作;落实上级部门交办的凉水河大兴段涉水事务性工作</w:t>
      </w:r>
      <w:r>
        <w:rPr>
          <w:rFonts w:hint="eastAsia" w:ascii="仿宋_GB2312" w:hAnsi="Times New Roman" w:eastAsia="仿宋_GB2312" w:cs="Times New Roman"/>
          <w:sz w:val="28"/>
          <w:szCs w:val="28"/>
          <w:lang w:val="en-US" w:eastAsia="zh-CN"/>
        </w:rPr>
        <w:t>。</w:t>
      </w:r>
    </w:p>
    <w:p>
      <w:p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w:t>
      </w:r>
      <w:r>
        <w:rPr>
          <w:rFonts w:hint="eastAsia" w:ascii="仿宋_GB2312" w:eastAsia="仿宋_GB2312" w:cs="Times New Roman"/>
          <w:sz w:val="28"/>
          <w:szCs w:val="28"/>
          <w:lang w:eastAsia="zh-CN"/>
        </w:rPr>
        <w:t>二</w:t>
      </w:r>
      <w:r>
        <w:rPr>
          <w:rFonts w:hint="eastAsia" w:ascii="仿宋_GB2312" w:hAnsi="Times New Roman" w:eastAsia="仿宋_GB2312" w:cs="Times New Roman"/>
          <w:sz w:val="28"/>
          <w:szCs w:val="28"/>
          <w:lang w:eastAsia="zh-CN"/>
        </w:rPr>
        <w:t>）</w:t>
      </w:r>
      <w:r>
        <w:rPr>
          <w:rFonts w:hint="eastAsia" w:ascii="仿宋_GB2312" w:eastAsia="仿宋_GB2312"/>
          <w:sz w:val="28"/>
          <w:szCs w:val="28"/>
        </w:rPr>
        <w:t>机构</w:t>
      </w:r>
      <w:r>
        <w:rPr>
          <w:rFonts w:ascii="仿宋_GB2312" w:eastAsia="仿宋_GB2312"/>
          <w:sz w:val="28"/>
          <w:szCs w:val="28"/>
        </w:rPr>
        <w:t>设置</w:t>
      </w:r>
    </w:p>
    <w:p>
      <w:pPr>
        <w:tabs>
          <w:tab w:val="center" w:pos="6979"/>
        </w:tabs>
        <w:spacing w:line="580" w:lineRule="exact"/>
        <w:ind w:firstLine="570"/>
        <w:rPr>
          <w:rFonts w:hint="eastAsia"/>
        </w:rPr>
      </w:pPr>
      <w:r>
        <w:rPr>
          <w:rFonts w:hint="eastAsia" w:ascii="仿宋_GB2312" w:hAnsi="Times New Roman" w:eastAsia="仿宋_GB2312" w:cs="Times New Roman"/>
          <w:sz w:val="28"/>
          <w:szCs w:val="28"/>
          <w:lang w:eastAsia="zh-CN"/>
        </w:rPr>
        <w:t>北京市</w:t>
      </w:r>
      <w:r>
        <w:rPr>
          <w:rFonts w:hint="eastAsia" w:ascii="仿宋_GB2312" w:hAnsi="Times New Roman" w:eastAsia="仿宋_GB2312" w:cs="Times New Roman"/>
          <w:sz w:val="28"/>
          <w:szCs w:val="28"/>
        </w:rPr>
        <w:t>大兴区</w:t>
      </w:r>
      <w:r>
        <w:rPr>
          <w:rFonts w:hint="eastAsia" w:ascii="仿宋_GB2312" w:hAnsi="Times New Roman" w:eastAsia="仿宋_GB2312" w:cs="Times New Roman"/>
          <w:sz w:val="28"/>
          <w:szCs w:val="28"/>
          <w:lang w:eastAsia="zh-CN"/>
        </w:rPr>
        <w:t>南红门水务所共有</w:t>
      </w:r>
      <w:r>
        <w:rPr>
          <w:rFonts w:hint="eastAsia" w:ascii="仿宋_GB2312" w:hAnsi="Times New Roman" w:eastAsia="仿宋_GB2312" w:cs="Times New Roman"/>
          <w:sz w:val="28"/>
          <w:szCs w:val="28"/>
          <w:lang w:val="en-US" w:eastAsia="zh-CN"/>
        </w:rPr>
        <w:t>13</w:t>
      </w:r>
      <w:r>
        <w:rPr>
          <w:rFonts w:hint="eastAsia" w:ascii="仿宋_GB2312" w:hAnsi="Times New Roman" w:eastAsia="仿宋_GB2312" w:cs="Times New Roman"/>
          <w:sz w:val="28"/>
          <w:szCs w:val="28"/>
        </w:rPr>
        <w:t>个内设机构，分别为</w:t>
      </w:r>
      <w:r>
        <w:rPr>
          <w:rFonts w:hint="eastAsia" w:ascii="仿宋_GB2312" w:hAnsi="Times New Roman" w:eastAsia="仿宋_GB2312" w:cs="Times New Roman"/>
          <w:sz w:val="28"/>
          <w:szCs w:val="28"/>
          <w:lang w:eastAsia="zh-CN"/>
        </w:rPr>
        <w:t>综合</w:t>
      </w:r>
      <w:r>
        <w:rPr>
          <w:rFonts w:hint="eastAsia" w:ascii="仿宋_GB2312" w:hAnsi="Times New Roman" w:eastAsia="仿宋_GB2312" w:cs="Times New Roman"/>
          <w:sz w:val="28"/>
          <w:szCs w:val="28"/>
        </w:rPr>
        <w:t>办公室、</w:t>
      </w:r>
      <w:r>
        <w:rPr>
          <w:rFonts w:hint="eastAsia" w:ascii="仿宋_GB2312" w:hAnsi="Times New Roman" w:eastAsia="仿宋_GB2312" w:cs="Times New Roman"/>
          <w:sz w:val="28"/>
          <w:szCs w:val="28"/>
          <w:lang w:eastAsia="zh-CN"/>
        </w:rPr>
        <w:t>财务室</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区级河长办联络办公室、北野场中心管理站、采育中心管理站、新凤河中心管理站、东辛屯中心管理站、李营闸管理站、烧饼庄闸管理站、凤河营闸管理站、靳七营闸管理站、新凤河再生水泵站、新凤河气动闸管理站。</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2691.42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573.40</w:t>
      </w:r>
      <w:r>
        <w:rPr>
          <w:rFonts w:hint="eastAsia" w:ascii="仿宋_GB2312" w:eastAsia="仿宋_GB2312"/>
          <w:sz w:val="28"/>
          <w:szCs w:val="28"/>
        </w:rPr>
        <w:t>万元，增长</w:t>
      </w:r>
      <w:r>
        <w:rPr>
          <w:rFonts w:hint="eastAsia" w:ascii="仿宋_GB2312" w:eastAsia="仿宋_GB2312"/>
          <w:sz w:val="28"/>
          <w:szCs w:val="28"/>
          <w:lang w:val="en-US" w:eastAsia="zh-CN"/>
        </w:rPr>
        <w:t>27.07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2615.94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497.92</w:t>
      </w:r>
      <w:r>
        <w:rPr>
          <w:rFonts w:hint="eastAsia" w:ascii="仿宋_GB2312" w:eastAsia="仿宋_GB2312"/>
          <w:sz w:val="28"/>
          <w:szCs w:val="28"/>
        </w:rPr>
        <w:t>万元，增长</w:t>
      </w:r>
      <w:r>
        <w:rPr>
          <w:rFonts w:hint="eastAsia" w:ascii="仿宋_GB2312" w:eastAsia="仿宋_GB2312"/>
          <w:sz w:val="28"/>
          <w:szCs w:val="28"/>
          <w:lang w:val="en-US" w:eastAsia="zh-CN"/>
        </w:rPr>
        <w:t>23.51</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2615.94</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2615.94</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640" w:firstLineChars="20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2681.95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563.93</w:t>
      </w:r>
      <w:r>
        <w:rPr>
          <w:rFonts w:hint="eastAsia" w:ascii="仿宋_GB2312" w:eastAsia="仿宋_GB2312"/>
          <w:sz w:val="28"/>
          <w:szCs w:val="28"/>
        </w:rPr>
        <w:t>万元，增长</w:t>
      </w:r>
      <w:r>
        <w:rPr>
          <w:rFonts w:hint="eastAsia" w:ascii="仿宋_GB2312" w:eastAsia="仿宋_GB2312"/>
          <w:sz w:val="28"/>
          <w:szCs w:val="28"/>
          <w:lang w:val="en-US" w:eastAsia="zh-CN"/>
        </w:rPr>
        <w:t>26.63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944.19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35.21</w:t>
      </w:r>
      <w:r>
        <w:rPr>
          <w:rFonts w:hint="eastAsia" w:ascii="仿宋_GB2312" w:eastAsia="仿宋_GB2312"/>
          <w:sz w:val="28"/>
          <w:szCs w:val="28"/>
          <w:highlight w:val="none"/>
        </w:rPr>
        <w:t>%；项目支出</w:t>
      </w:r>
      <w:r>
        <w:rPr>
          <w:rFonts w:ascii="仿宋_GB2312" w:eastAsia="仿宋_GB2312"/>
          <w:sz w:val="28"/>
          <w:szCs w:val="28"/>
          <w:highlight w:val="none"/>
        </w:rPr>
        <w:t>1737.76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64.79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2681.95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563.93</w:t>
      </w:r>
      <w:r>
        <w:rPr>
          <w:rFonts w:hint="eastAsia" w:ascii="仿宋_GB2312" w:eastAsia="仿宋_GB2312"/>
          <w:sz w:val="28"/>
          <w:szCs w:val="28"/>
        </w:rPr>
        <w:t>万元，增长</w:t>
      </w:r>
      <w:r>
        <w:rPr>
          <w:rFonts w:hint="eastAsia" w:ascii="仿宋_GB2312" w:eastAsia="仿宋_GB2312"/>
          <w:sz w:val="28"/>
          <w:szCs w:val="28"/>
          <w:lang w:val="en-US" w:eastAsia="zh-CN"/>
        </w:rPr>
        <w:t>26.63</w:t>
      </w:r>
      <w:r>
        <w:rPr>
          <w:rFonts w:hint="eastAsia" w:ascii="仿宋_GB2312" w:eastAsia="仿宋_GB2312"/>
          <w:sz w:val="28"/>
          <w:szCs w:val="28"/>
        </w:rPr>
        <w:t>%。主要原因：</w:t>
      </w:r>
      <w:r>
        <w:rPr>
          <w:rFonts w:hint="eastAsia" w:ascii="仿宋_GB2312" w:eastAsia="仿宋_GB2312"/>
          <w:sz w:val="28"/>
          <w:szCs w:val="28"/>
          <w:lang w:eastAsia="zh-CN"/>
        </w:rPr>
        <w:t>本年公招调入</w:t>
      </w:r>
      <w:r>
        <w:rPr>
          <w:rFonts w:hint="eastAsia" w:ascii="仿宋_GB2312" w:eastAsia="仿宋_GB2312"/>
          <w:sz w:val="28"/>
          <w:szCs w:val="28"/>
          <w:lang w:val="en-US" w:eastAsia="zh-CN"/>
        </w:rPr>
        <w:t>2人及调整社会保险缴费基数；</w:t>
      </w:r>
      <w:r>
        <w:rPr>
          <w:rFonts w:hint="eastAsia" w:ascii="仿宋_GB2312" w:eastAsia="仿宋_GB2312"/>
          <w:sz w:val="28"/>
          <w:szCs w:val="28"/>
        </w:rPr>
        <w:t>本年</w:t>
      </w:r>
      <w:r>
        <w:rPr>
          <w:rFonts w:hint="eastAsia" w:ascii="仿宋_GB2312" w:eastAsia="仿宋_GB2312"/>
          <w:sz w:val="28"/>
          <w:szCs w:val="28"/>
          <w:lang w:eastAsia="zh-CN"/>
        </w:rPr>
        <w:t>启动水闸安全隐患改造项目；</w:t>
      </w:r>
      <w:r>
        <w:rPr>
          <w:rFonts w:hint="eastAsia" w:ascii="仿宋_GB2312" w:eastAsia="仿宋_GB2312"/>
          <w:sz w:val="28"/>
          <w:szCs w:val="28"/>
          <w:lang w:val="en-US" w:eastAsia="zh-CN"/>
        </w:rPr>
        <w:t>补发第三批住房补贴等</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2681.95</w:t>
      </w:r>
      <w:r>
        <w:rPr>
          <w:rFonts w:hint="eastAsia" w:ascii="仿宋_GB2312" w:eastAsia="仿宋_GB2312"/>
          <w:sz w:val="28"/>
          <w:szCs w:val="28"/>
        </w:rPr>
        <w:t>万元，主要用于以下方面（按大类）：</w:t>
      </w:r>
      <w:r>
        <w:rPr>
          <w:rFonts w:hint="eastAsia" w:ascii="仿宋_GB2312" w:eastAsia="仿宋_GB2312"/>
          <w:sz w:val="28"/>
          <w:szCs w:val="28"/>
          <w:lang w:eastAsia="zh-CN"/>
        </w:rPr>
        <w:t>社会保障和就业</w:t>
      </w:r>
      <w:r>
        <w:rPr>
          <w:rFonts w:hint="eastAsia" w:ascii="仿宋_GB2312" w:eastAsia="仿宋_GB2312"/>
          <w:sz w:val="28"/>
          <w:szCs w:val="28"/>
        </w:rPr>
        <w:t>支出</w:t>
      </w:r>
      <w:r>
        <w:rPr>
          <w:rFonts w:hint="eastAsia" w:ascii="仿宋_GB2312" w:eastAsia="仿宋_GB2312"/>
          <w:sz w:val="28"/>
          <w:szCs w:val="28"/>
          <w:lang w:val="en-US" w:eastAsia="zh-CN"/>
        </w:rPr>
        <w:t>114.72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4.28</w:t>
      </w:r>
      <w:r>
        <w:rPr>
          <w:rFonts w:hint="eastAsia" w:ascii="仿宋_GB2312" w:eastAsia="仿宋_GB2312"/>
          <w:sz w:val="28"/>
          <w:szCs w:val="28"/>
        </w:rPr>
        <w:t>%；</w:t>
      </w:r>
      <w:r>
        <w:rPr>
          <w:rFonts w:hint="eastAsia" w:ascii="仿宋_GB2312" w:eastAsia="仿宋_GB2312"/>
          <w:sz w:val="28"/>
          <w:szCs w:val="28"/>
          <w:lang w:eastAsia="zh-CN"/>
        </w:rPr>
        <w:t>卫生健康</w:t>
      </w:r>
      <w:r>
        <w:rPr>
          <w:rFonts w:hint="eastAsia" w:ascii="仿宋_GB2312" w:eastAsia="仿宋_GB2312"/>
          <w:sz w:val="28"/>
          <w:szCs w:val="28"/>
        </w:rPr>
        <w:t>支出</w:t>
      </w:r>
      <w:r>
        <w:rPr>
          <w:rFonts w:hint="eastAsia" w:ascii="仿宋_GB2312" w:eastAsia="仿宋_GB2312"/>
          <w:sz w:val="28"/>
          <w:szCs w:val="28"/>
          <w:lang w:val="en-US" w:eastAsia="zh-CN"/>
        </w:rPr>
        <w:t>73.53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2.74</w:t>
      </w:r>
      <w:r>
        <w:rPr>
          <w:rFonts w:hint="eastAsia" w:ascii="仿宋_GB2312" w:eastAsia="仿宋_GB2312"/>
          <w:sz w:val="28"/>
          <w:szCs w:val="28"/>
        </w:rPr>
        <w:t>%；</w:t>
      </w:r>
      <w:r>
        <w:rPr>
          <w:rFonts w:hint="eastAsia" w:ascii="仿宋_GB2312" w:eastAsia="仿宋_GB2312"/>
          <w:sz w:val="28"/>
          <w:szCs w:val="28"/>
          <w:lang w:eastAsia="zh-CN"/>
        </w:rPr>
        <w:t>农林水</w:t>
      </w:r>
      <w:r>
        <w:rPr>
          <w:rFonts w:hint="eastAsia" w:ascii="仿宋_GB2312" w:eastAsia="仿宋_GB2312"/>
          <w:sz w:val="28"/>
          <w:szCs w:val="28"/>
        </w:rPr>
        <w:t>支出</w:t>
      </w:r>
      <w:r>
        <w:rPr>
          <w:rFonts w:hint="eastAsia" w:ascii="仿宋_GB2312" w:eastAsia="仿宋_GB2312"/>
          <w:sz w:val="28"/>
          <w:szCs w:val="28"/>
          <w:lang w:val="en-US" w:eastAsia="zh-CN"/>
        </w:rPr>
        <w:t>2427.69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90.52</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66.01万元，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2.46</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color w:val="auto"/>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208</w:t>
      </w:r>
      <w:r>
        <w:rPr>
          <w:rFonts w:hint="eastAsia" w:ascii="仿宋_GB2312" w:eastAsia="仿宋_GB2312"/>
          <w:sz w:val="28"/>
          <w:szCs w:val="28"/>
          <w:lang w:eastAsia="zh-CN"/>
        </w:rPr>
        <w:t>社会保障和就业</w:t>
      </w:r>
      <w:r>
        <w:rPr>
          <w:rFonts w:hint="eastAsia" w:ascii="仿宋_GB2312" w:eastAsia="仿宋_GB2312"/>
          <w:sz w:val="28"/>
          <w:szCs w:val="28"/>
        </w:rPr>
        <w:t>支出”（类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97.49</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114.72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117.67</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color w:val="auto"/>
          <w:sz w:val="28"/>
          <w:szCs w:val="28"/>
          <w:lang w:val="en-US"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20805</w:t>
      </w:r>
      <w:r>
        <w:rPr>
          <w:rFonts w:hint="eastAsia" w:ascii="仿宋_GB2312" w:eastAsia="仿宋_GB2312"/>
          <w:color w:val="auto"/>
          <w:sz w:val="28"/>
          <w:szCs w:val="28"/>
          <w:lang w:eastAsia="zh-CN"/>
        </w:rPr>
        <w:t>行政事业单位养老支出</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97.49</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114.72</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117.67</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本年公招调入</w:t>
      </w:r>
      <w:r>
        <w:rPr>
          <w:rFonts w:hint="eastAsia" w:ascii="仿宋_GB2312" w:eastAsia="仿宋_GB2312"/>
          <w:color w:val="auto"/>
          <w:sz w:val="28"/>
          <w:szCs w:val="28"/>
          <w:lang w:val="en-US" w:eastAsia="zh-CN"/>
        </w:rPr>
        <w:t>2人及调整社会保险缴费基数，增加人员经费。</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2、“</w:t>
      </w:r>
      <w:r>
        <w:rPr>
          <w:rFonts w:hint="eastAsia" w:ascii="仿宋_GB2312" w:eastAsia="仿宋_GB2312"/>
          <w:sz w:val="28"/>
          <w:szCs w:val="28"/>
          <w:lang w:val="en-US" w:eastAsia="zh-CN"/>
        </w:rPr>
        <w:t>2</w:t>
      </w:r>
      <w:r>
        <w:rPr>
          <w:rFonts w:hint="eastAsia" w:ascii="仿宋_GB2312" w:eastAsia="仿宋_GB2312"/>
          <w:color w:val="auto"/>
          <w:sz w:val="28"/>
          <w:szCs w:val="28"/>
          <w:lang w:val="en-US" w:eastAsia="zh-CN"/>
        </w:rPr>
        <w:t>10</w:t>
      </w:r>
      <w:r>
        <w:rPr>
          <w:rFonts w:hint="eastAsia" w:ascii="仿宋_GB2312" w:eastAsia="仿宋_GB2312"/>
          <w:color w:val="auto"/>
          <w:sz w:val="28"/>
          <w:szCs w:val="28"/>
          <w:lang w:eastAsia="zh-CN"/>
        </w:rPr>
        <w:t>卫生健康</w:t>
      </w:r>
      <w:r>
        <w:rPr>
          <w:rFonts w:hint="eastAsia" w:ascii="仿宋_GB2312" w:eastAsia="仿宋_GB2312"/>
          <w:color w:val="auto"/>
          <w:sz w:val="28"/>
          <w:szCs w:val="28"/>
        </w:rPr>
        <w:t>支出”(类)202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61.24</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73.53</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120.07</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21011</w:t>
      </w:r>
      <w:r>
        <w:rPr>
          <w:rFonts w:hint="eastAsia" w:ascii="仿宋_GB2312" w:eastAsia="仿宋_GB2312"/>
          <w:color w:val="auto"/>
          <w:sz w:val="28"/>
          <w:szCs w:val="28"/>
          <w:lang w:eastAsia="zh-CN"/>
        </w:rPr>
        <w:t>行政事业单位医疗</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61.24</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73.53</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120.07</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：本年公招调入</w:t>
      </w:r>
      <w:r>
        <w:rPr>
          <w:rFonts w:hint="eastAsia" w:ascii="仿宋_GB2312" w:eastAsia="仿宋_GB2312"/>
          <w:sz w:val="28"/>
          <w:szCs w:val="28"/>
          <w:lang w:val="en-US" w:eastAsia="zh-CN"/>
        </w:rPr>
        <w:t>2人及调整社会保险缴费基数，</w:t>
      </w:r>
      <w:r>
        <w:rPr>
          <w:rFonts w:hint="eastAsia" w:ascii="仿宋_GB2312" w:eastAsia="仿宋_GB2312"/>
          <w:color w:val="auto"/>
          <w:sz w:val="28"/>
          <w:szCs w:val="28"/>
          <w:lang w:val="en-US" w:eastAsia="zh-CN"/>
        </w:rPr>
        <w:t>增加人员经费。</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213</w:t>
      </w:r>
      <w:r>
        <w:rPr>
          <w:rFonts w:hint="eastAsia" w:ascii="仿宋_GB2312" w:eastAsia="仿宋_GB2312"/>
          <w:sz w:val="28"/>
          <w:szCs w:val="28"/>
          <w:lang w:eastAsia="zh-CN"/>
        </w:rPr>
        <w:t>农林水</w:t>
      </w:r>
      <w:r>
        <w:rPr>
          <w:rFonts w:hint="eastAsia" w:ascii="仿宋_GB2312" w:eastAsia="仿宋_GB2312"/>
          <w:sz w:val="28"/>
          <w:szCs w:val="28"/>
        </w:rPr>
        <w:t>支出”(类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2465.50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2427.69</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98.47</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21303</w:t>
      </w:r>
      <w:r>
        <w:rPr>
          <w:rFonts w:hint="eastAsia" w:ascii="仿宋_GB2312" w:eastAsia="仿宋_GB2312"/>
          <w:color w:val="auto"/>
          <w:sz w:val="28"/>
          <w:szCs w:val="28"/>
          <w:lang w:eastAsia="zh-CN"/>
        </w:rPr>
        <w:t>水利</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2465.50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2427.69</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98.47</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主</w:t>
      </w:r>
      <w:r>
        <w:rPr>
          <w:rFonts w:hint="eastAsia" w:ascii="仿宋_GB2312" w:eastAsia="仿宋_GB2312"/>
          <w:sz w:val="28"/>
          <w:szCs w:val="28"/>
        </w:rPr>
        <w:t>要原因：</w:t>
      </w:r>
      <w:r>
        <w:rPr>
          <w:rFonts w:hint="eastAsia" w:ascii="仿宋_GB2312" w:eastAsia="仿宋_GB2312"/>
          <w:sz w:val="28"/>
          <w:szCs w:val="28"/>
          <w:lang w:eastAsia="zh-CN"/>
        </w:rPr>
        <w:t>本年公招调入</w:t>
      </w:r>
      <w:r>
        <w:rPr>
          <w:rFonts w:hint="eastAsia" w:ascii="仿宋_GB2312" w:eastAsia="仿宋_GB2312"/>
          <w:sz w:val="28"/>
          <w:szCs w:val="28"/>
          <w:lang w:val="en-US" w:eastAsia="zh-CN"/>
        </w:rPr>
        <w:t>2人</w:t>
      </w:r>
      <w:r>
        <w:rPr>
          <w:rFonts w:hint="eastAsia" w:ascii="仿宋_GB2312" w:eastAsia="仿宋_GB2312"/>
          <w:color w:val="auto"/>
          <w:sz w:val="28"/>
          <w:szCs w:val="28"/>
          <w:lang w:val="en-US" w:eastAsia="zh-CN"/>
        </w:rPr>
        <w:t>，增加人员经费。依照</w:t>
      </w:r>
      <w:r>
        <w:rPr>
          <w:rFonts w:hint="eastAsia" w:ascii="仿宋_GB2312" w:eastAsia="仿宋_GB2312"/>
          <w:sz w:val="28"/>
          <w:szCs w:val="28"/>
          <w:lang w:eastAsia="zh-CN"/>
        </w:rPr>
        <w:t>水利水务工程运行维护费、食堂及天然气改造等项目的结算审计报告</w:t>
      </w:r>
      <w:r>
        <w:rPr>
          <w:rFonts w:hint="eastAsia" w:ascii="仿宋_GB2312" w:eastAsia="仿宋_GB2312"/>
          <w:sz w:val="28"/>
          <w:szCs w:val="28"/>
          <w:lang w:val="en-US" w:eastAsia="zh-CN"/>
        </w:rPr>
        <w:t>，</w:t>
      </w:r>
      <w:r>
        <w:rPr>
          <w:rFonts w:hint="eastAsia" w:ascii="仿宋_GB2312" w:eastAsia="仿宋_GB2312"/>
          <w:color w:val="auto"/>
          <w:sz w:val="28"/>
          <w:szCs w:val="28"/>
          <w:lang w:val="en-US" w:eastAsia="zh-CN"/>
        </w:rPr>
        <w:t>追减项目预算指标。</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color w:val="auto"/>
          <w:sz w:val="28"/>
          <w:szCs w:val="28"/>
        </w:rPr>
      </w:pPr>
      <w:r>
        <w:rPr>
          <w:rFonts w:hint="eastAsia" w:ascii="仿宋_GB2312" w:eastAsia="仿宋_GB2312"/>
          <w:color w:val="auto"/>
          <w:sz w:val="28"/>
          <w:szCs w:val="28"/>
          <w:lang w:val="en-US" w:eastAsia="zh-CN"/>
        </w:rPr>
        <w:t>4、221住房保障支出（类）</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66.01</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color w:val="auto"/>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22102</w:t>
      </w:r>
      <w:r>
        <w:rPr>
          <w:rFonts w:hint="eastAsia" w:ascii="仿宋_GB2312" w:eastAsia="仿宋_GB2312"/>
          <w:color w:val="auto"/>
          <w:sz w:val="28"/>
          <w:szCs w:val="28"/>
          <w:lang w:eastAsia="zh-CN"/>
        </w:rPr>
        <w:t>住房改革支出</w:t>
      </w:r>
      <w:r>
        <w:rPr>
          <w:rFonts w:hint="eastAsia" w:ascii="仿宋_GB2312" w:eastAsia="仿宋_GB2312"/>
          <w:color w:val="auto"/>
          <w:sz w:val="28"/>
          <w:szCs w:val="28"/>
        </w:rPr>
        <w:t>”（款）202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66.01</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补发第三批住房补贴。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w:t>
      </w:r>
    </w:p>
    <w:p>
      <w:pPr>
        <w:numPr>
          <w:ilvl w:val="0"/>
          <w:numId w:val="1"/>
        </w:numPr>
        <w:autoSpaceDE w:val="0"/>
        <w:autoSpaceDN w:val="0"/>
        <w:adjustRightInd w:val="0"/>
        <w:spacing w:line="580" w:lineRule="exact"/>
        <w:ind w:firstLine="560" w:firstLineChars="200"/>
        <w:jc w:val="left"/>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rPr>
        <w:t>政府性基金预算财政拨款支出决算具体情况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本单位2024年度无政府性基金预算财政拨款支出。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2024年度国有资本经营预算财</w:t>
      </w:r>
      <w:r>
        <w:rPr>
          <w:rFonts w:ascii="仿宋_GB2312" w:eastAsia="仿宋_GB2312"/>
          <w:sz w:val="28"/>
          <w:szCs w:val="28"/>
        </w:rPr>
        <w:t>政拨款</w:t>
      </w:r>
      <w:r>
        <w:rPr>
          <w:rFonts w:hint="eastAsia" w:ascii="仿宋_GB2312" w:eastAsia="仿宋_GB2312"/>
          <w:sz w:val="28"/>
          <w:szCs w:val="28"/>
          <w:lang w:eastAsia="zh-CN"/>
        </w:rPr>
        <w:t>收入总计</w:t>
      </w:r>
      <w:r>
        <w:rPr>
          <w:rFonts w:hint="eastAsia" w:ascii="仿宋_GB2312" w:eastAsia="仿宋_GB2312"/>
          <w:sz w:val="28"/>
          <w:szCs w:val="28"/>
          <w:lang w:val="en-US" w:eastAsia="zh-CN"/>
        </w:rPr>
        <w:t>0万元，</w:t>
      </w:r>
      <w:r>
        <w:rPr>
          <w:rFonts w:hint="eastAsia" w:ascii="仿宋_GB2312" w:eastAsia="仿宋_GB2312"/>
          <w:sz w:val="28"/>
          <w:szCs w:val="28"/>
        </w:rPr>
        <w:t>国有资本经营预算财</w:t>
      </w:r>
      <w:r>
        <w:rPr>
          <w:rFonts w:ascii="仿宋_GB2312" w:eastAsia="仿宋_GB2312"/>
          <w:sz w:val="28"/>
          <w:szCs w:val="28"/>
        </w:rPr>
        <w:t>政拨款</w:t>
      </w:r>
      <w:r>
        <w:rPr>
          <w:rFonts w:hint="eastAsia" w:ascii="仿宋_GB2312" w:eastAsia="仿宋_GB2312"/>
          <w:sz w:val="28"/>
          <w:szCs w:val="28"/>
          <w:lang w:eastAsia="zh-CN"/>
        </w:rPr>
        <w:t>支出总计</w:t>
      </w:r>
      <w:r>
        <w:rPr>
          <w:rFonts w:hint="eastAsia" w:ascii="仿宋_GB2312" w:eastAsia="仿宋_GB2312"/>
          <w:sz w:val="28"/>
          <w:szCs w:val="28"/>
          <w:lang w:val="en-US" w:eastAsia="zh-CN"/>
        </w:rPr>
        <w:t>0万元</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keepNext w:val="0"/>
        <w:keepLines w:val="0"/>
        <w:pageBreakBefore w:val="0"/>
        <w:widowControl w:val="0"/>
        <w:kinsoku/>
        <w:wordWrap/>
        <w:overflowPunct/>
        <w:topLinePunct w:val="0"/>
        <w:autoSpaceDE/>
        <w:autoSpaceDN/>
        <w:bidi w:val="0"/>
        <w:adjustRightInd/>
        <w:snapToGrid/>
        <w:ind w:firstLine="537" w:firstLineChars="192"/>
        <w:textAlignment w:val="auto"/>
        <w:rPr>
          <w:rFonts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944.19</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lang w:eastAsia="zh-CN"/>
        </w:rPr>
        <w:t>机关事业单位基本养老保险缴费</w:t>
      </w:r>
      <w:r>
        <w:rPr>
          <w:rFonts w:hint="eastAsia" w:ascii="仿宋_GB2312" w:eastAsia="仿宋_GB2312"/>
          <w:sz w:val="28"/>
          <w:szCs w:val="28"/>
          <w:lang w:val="en-US"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lang w:val="en-US" w:eastAsia="zh-CN"/>
        </w:rPr>
        <w:t>支出</w:t>
      </w:r>
      <w:r>
        <w:rPr>
          <w:rFonts w:hint="eastAsia" w:ascii="仿宋_GB2312" w:eastAsia="仿宋_GB2312"/>
          <w:sz w:val="28"/>
          <w:szCs w:val="28"/>
        </w:rPr>
        <w:t>；（2）商品和服务支出包括</w:t>
      </w:r>
      <w:r>
        <w:rPr>
          <w:rFonts w:ascii="仿宋_GB2312" w:eastAsia="仿宋_GB2312"/>
          <w:sz w:val="28"/>
          <w:szCs w:val="28"/>
        </w:rPr>
        <w:t>办公费、手续费、水费、电费、邮电费、取暖费、维修（护）费、工会经费、福利费、公务用车运行维护费、其他商品和服务支出</w:t>
      </w:r>
      <w:r>
        <w:rPr>
          <w:rFonts w:hint="eastAsia" w:ascii="仿宋_GB2312" w:eastAsia="仿宋_GB2312"/>
          <w:sz w:val="28"/>
          <w:szCs w:val="28"/>
        </w:rPr>
        <w:t>；（3）对个人和家庭补助支出包括</w:t>
      </w:r>
      <w:r>
        <w:rPr>
          <w:rFonts w:ascii="仿宋_GB2312" w:eastAsia="仿宋_GB2312"/>
          <w:sz w:val="28"/>
          <w:szCs w:val="28"/>
        </w:rPr>
        <w:t>退休费、奖励金支出</w:t>
      </w:r>
      <w:r>
        <w:rPr>
          <w:rFonts w:hint="eastAsia" w:ascii="仿宋_GB2312" w:eastAsia="仿宋_GB2312"/>
          <w:sz w:val="28"/>
          <w:szCs w:val="28"/>
        </w:rPr>
        <w:t>。（4）资本性支出包括</w:t>
      </w:r>
      <w:r>
        <w:rPr>
          <w:rFonts w:ascii="仿宋_GB2312" w:eastAsia="仿宋_GB2312"/>
          <w:sz w:val="28"/>
          <w:szCs w:val="28"/>
        </w:rPr>
        <w:t>办公设备购置。</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hint="eastAsia"/>
        </w:rPr>
      </w:pPr>
      <w:bookmarkStart w:id="0" w:name="_GoBack"/>
      <w:bookmarkEnd w:id="0"/>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tabs>
          <w:tab w:val="center" w:pos="6979"/>
        </w:tabs>
        <w:ind w:firstLine="990"/>
        <w:jc w:val="left"/>
        <w:rPr>
          <w:rFonts w:ascii="仿宋_GB2312" w:eastAsia="仿宋_GB2312"/>
          <w:sz w:val="28"/>
          <w:szCs w:val="28"/>
        </w:rPr>
      </w:pPr>
      <w:r>
        <w:rPr>
          <w:rFonts w:hint="eastAsia" w:ascii="仿宋_GB2312" w:eastAsia="仿宋_GB2312"/>
          <w:sz w:val="28"/>
          <w:szCs w:val="28"/>
        </w:rPr>
        <w:t>2024年度“三公”经费财政拨款决算数</w:t>
      </w:r>
      <w:r>
        <w:rPr>
          <w:rFonts w:hint="eastAsia" w:ascii="仿宋_GB2312" w:eastAsia="仿宋_GB2312"/>
          <w:sz w:val="28"/>
          <w:szCs w:val="28"/>
          <w:lang w:val="en-US" w:eastAsia="zh-CN"/>
        </w:rPr>
        <w:t>3.58</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3.60</w:t>
      </w:r>
      <w:r>
        <w:rPr>
          <w:rFonts w:hint="eastAsia" w:ascii="仿宋_GB2312" w:eastAsia="仿宋_GB2312"/>
          <w:sz w:val="28"/>
          <w:szCs w:val="28"/>
        </w:rPr>
        <w:t>万元减少</w:t>
      </w:r>
      <w:r>
        <w:rPr>
          <w:rFonts w:hint="eastAsia" w:ascii="仿宋_GB2312" w:eastAsia="仿宋_GB2312"/>
          <w:sz w:val="28"/>
          <w:szCs w:val="28"/>
          <w:lang w:val="en-US" w:eastAsia="zh-CN"/>
        </w:rPr>
        <w:t>0.02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w:t>
      </w:r>
      <w:r>
        <w:rPr>
          <w:rFonts w:hint="eastAsia" w:ascii="仿宋_GB2312" w:eastAsia="仿宋_GB2312"/>
          <w:sz w:val="28"/>
          <w:szCs w:val="28"/>
        </w:rPr>
        <w:t>厉行节约，</w:t>
      </w:r>
      <w:r>
        <w:rPr>
          <w:rFonts w:hint="eastAsia" w:ascii="仿宋_GB2312" w:eastAsia="仿宋_GB2312"/>
          <w:sz w:val="28"/>
          <w:szCs w:val="28"/>
          <w:lang w:eastAsia="zh-CN"/>
        </w:rPr>
        <w:t>无</w:t>
      </w:r>
      <w:r>
        <w:rPr>
          <w:rFonts w:hint="eastAsia" w:ascii="仿宋_GB2312" w:eastAsia="仿宋_GB2312"/>
          <w:sz w:val="28"/>
          <w:szCs w:val="28"/>
        </w:rPr>
        <w:t>因公出国（境）费</w:t>
      </w:r>
      <w:r>
        <w:rPr>
          <w:rFonts w:hint="eastAsia" w:ascii="仿宋_GB2312" w:eastAsia="仿宋_GB2312"/>
          <w:sz w:val="28"/>
          <w:szCs w:val="28"/>
          <w:lang w:eastAsia="zh-CN"/>
        </w:rPr>
        <w:t>用支出</w:t>
      </w:r>
      <w:r>
        <w:rPr>
          <w:rFonts w:hint="eastAsia" w:ascii="仿宋_GB2312" w:eastAsia="仿宋_GB2312"/>
          <w:sz w:val="28"/>
          <w:szCs w:val="28"/>
        </w:rPr>
        <w:t>；2024年度组织因公出国（境）团组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w:t>
      </w:r>
      <w:r>
        <w:rPr>
          <w:rFonts w:hint="eastAsia" w:ascii="仿宋_GB2312" w:eastAsia="仿宋_GB2312"/>
          <w:sz w:val="28"/>
          <w:szCs w:val="28"/>
          <w:lang w:eastAsia="zh-CN"/>
        </w:rPr>
        <w:t>。</w:t>
      </w:r>
    </w:p>
    <w:p>
      <w:pPr>
        <w:spacing w:line="560" w:lineRule="exact"/>
        <w:ind w:firstLine="600"/>
        <w:rPr>
          <w:rFonts w:hint="eastAsia"/>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w:t>
      </w:r>
      <w:r>
        <w:rPr>
          <w:rFonts w:hint="eastAsia" w:ascii="仿宋_GB2312" w:eastAsia="仿宋_GB2312"/>
          <w:sz w:val="28"/>
          <w:szCs w:val="28"/>
        </w:rPr>
        <w:t>厉行节约，</w:t>
      </w:r>
      <w:r>
        <w:rPr>
          <w:rFonts w:hint="eastAsia" w:ascii="仿宋_GB2312" w:eastAsia="仿宋_GB2312"/>
          <w:sz w:val="28"/>
          <w:szCs w:val="28"/>
          <w:lang w:eastAsia="zh-CN"/>
        </w:rPr>
        <w:t>未发生公务接待费用支出</w:t>
      </w:r>
      <w:r>
        <w:rPr>
          <w:rFonts w:hint="eastAsia" w:ascii="仿宋_GB2312" w:eastAsia="仿宋_GB2312"/>
          <w:sz w:val="28"/>
          <w:szCs w:val="28"/>
        </w:rPr>
        <w:t>。2024年度公务接待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3.58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3.60</w:t>
      </w:r>
      <w:r>
        <w:rPr>
          <w:rFonts w:hint="eastAsia" w:ascii="仿宋_GB2312" w:eastAsia="仿宋_GB2312"/>
          <w:sz w:val="28"/>
          <w:szCs w:val="28"/>
        </w:rPr>
        <w:t>万元减少</w:t>
      </w:r>
      <w:r>
        <w:rPr>
          <w:rFonts w:hint="eastAsia" w:ascii="仿宋_GB2312" w:eastAsia="仿宋_GB2312"/>
          <w:sz w:val="28"/>
          <w:szCs w:val="28"/>
          <w:lang w:val="en-US" w:eastAsia="zh-CN"/>
        </w:rPr>
        <w:t>0.02</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本单位无公务用车购置，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w:t>
      </w:r>
      <w:r>
        <w:rPr>
          <w:rFonts w:hint="eastAsia" w:ascii="仿宋_GB2312" w:eastAsia="仿宋_GB2312"/>
          <w:sz w:val="28"/>
          <w:szCs w:val="28"/>
          <w:lang w:eastAsia="zh-CN"/>
        </w:rPr>
        <w:t>。</w:t>
      </w:r>
      <w:r>
        <w:rPr>
          <w:rFonts w:hint="eastAsia" w:ascii="仿宋_GB2312" w:eastAsia="仿宋_GB2312"/>
          <w:sz w:val="28"/>
          <w:szCs w:val="28"/>
        </w:rPr>
        <w:t>公务用车运行维护费2024年度决算数</w:t>
      </w:r>
      <w:r>
        <w:rPr>
          <w:rFonts w:hint="eastAsia" w:ascii="仿宋_GB2312" w:eastAsia="仿宋_GB2312"/>
          <w:sz w:val="28"/>
          <w:szCs w:val="28"/>
          <w:lang w:val="en-US" w:eastAsia="zh-CN"/>
        </w:rPr>
        <w:t>3.58</w:t>
      </w:r>
      <w:r>
        <w:rPr>
          <w:rFonts w:hint="eastAsia" w:ascii="仿宋_GB2312" w:eastAsia="仿宋_GB2312"/>
          <w:sz w:val="28"/>
          <w:szCs w:val="28"/>
        </w:rPr>
        <w:t>万元，主要原因：</w:t>
      </w:r>
      <w:r>
        <w:rPr>
          <w:rFonts w:hint="eastAsia" w:ascii="仿宋_GB2312" w:eastAsia="仿宋_GB2312"/>
          <w:sz w:val="28"/>
          <w:szCs w:val="28"/>
          <w:lang w:eastAsia="zh-CN"/>
        </w:rPr>
        <w:t>本年严格控制公务用车支出，缩减公务用车运行维护费支出</w:t>
      </w:r>
      <w:r>
        <w:rPr>
          <w:rFonts w:hint="eastAsia" w:ascii="仿宋_GB2312" w:eastAsia="仿宋_GB2312"/>
          <w:sz w:val="28"/>
          <w:szCs w:val="28"/>
        </w:rPr>
        <w:t>。2024年度公务用车保有量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r>
        <w:rPr>
          <w:rFonts w:hint="eastAsia" w:ascii="仿宋_GB2312" w:eastAsia="仿宋_GB2312"/>
          <w:sz w:val="28"/>
          <w:szCs w:val="28"/>
          <w:lang w:eastAsia="zh-CN"/>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2024年度机关运行经费支出合计0万元，本</w:t>
      </w:r>
      <w:r>
        <w:rPr>
          <w:rFonts w:hint="eastAsia" w:ascii="仿宋_GB2312" w:eastAsia="仿宋_GB2312"/>
          <w:sz w:val="28"/>
          <w:szCs w:val="28"/>
        </w:rPr>
        <w:t>单位不在机关运行经费统计范围之内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932.76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488.76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444.00</w:t>
      </w:r>
      <w:r>
        <w:rPr>
          <w:rFonts w:hint="eastAsia" w:ascii="仿宋_GB2312" w:eastAsia="仿宋_GB2312"/>
          <w:sz w:val="28"/>
          <w:szCs w:val="28"/>
        </w:rPr>
        <w:t>万元。授予中小企业合同金额</w:t>
      </w:r>
      <w:r>
        <w:rPr>
          <w:rFonts w:ascii="仿宋_GB2312" w:eastAsia="仿宋_GB2312"/>
          <w:sz w:val="28"/>
          <w:szCs w:val="28"/>
        </w:rPr>
        <w:t>930.63</w:t>
      </w:r>
      <w:r>
        <w:rPr>
          <w:rFonts w:hint="eastAsia" w:ascii="仿宋_GB2312" w:eastAsia="仿宋_GB2312"/>
          <w:sz w:val="28"/>
          <w:szCs w:val="28"/>
        </w:rPr>
        <w:t>万元，占政府采购支出总额的</w:t>
      </w:r>
      <w:r>
        <w:rPr>
          <w:rFonts w:hint="eastAsia" w:ascii="仿宋_GB2312" w:eastAsia="仿宋_GB2312"/>
          <w:sz w:val="28"/>
          <w:szCs w:val="28"/>
          <w:lang w:eastAsia="zh-CN"/>
        </w:rPr>
        <w:t>99.77</w:t>
      </w:r>
      <w:r>
        <w:rPr>
          <w:rFonts w:hint="eastAsia" w:ascii="仿宋_GB2312" w:eastAsia="仿宋_GB2312"/>
          <w:sz w:val="28"/>
          <w:szCs w:val="28"/>
        </w:rPr>
        <w:t>%，其中：授予小微企业合同金额</w:t>
      </w:r>
      <w:r>
        <w:rPr>
          <w:rFonts w:ascii="仿宋_GB2312" w:eastAsia="仿宋_GB2312"/>
          <w:sz w:val="28"/>
          <w:szCs w:val="28"/>
        </w:rPr>
        <w:t>1.01</w:t>
      </w:r>
      <w:r>
        <w:rPr>
          <w:rFonts w:hint="eastAsia" w:ascii="仿宋_GB2312" w:eastAsia="仿宋_GB2312"/>
          <w:sz w:val="28"/>
          <w:szCs w:val="28"/>
        </w:rPr>
        <w:t>万元，占政府采购支出总额的</w:t>
      </w:r>
      <w:r>
        <w:rPr>
          <w:rFonts w:ascii="仿宋_GB2312" w:eastAsia="仿宋_GB2312"/>
          <w:sz w:val="28"/>
          <w:szCs w:val="28"/>
        </w:rPr>
        <w:t>0.11</w:t>
      </w:r>
      <w:r>
        <w:rPr>
          <w:rFonts w:hint="eastAsia" w:ascii="仿宋_GB2312" w:eastAsia="仿宋_GB2312"/>
          <w:sz w:val="28"/>
          <w:szCs w:val="28"/>
        </w:rPr>
        <w:t>%。</w:t>
      </w:r>
    </w:p>
    <w:p>
      <w:pPr>
        <w:rPr>
          <w:rFonts w:hint="eastAsia"/>
        </w:rPr>
      </w:pP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12月31日，北京市大兴区南红门水务所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事业单位离退休（项）：反映事业单位开支的离退休经费。</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机关事业单位基本养老保险缴费支出（项）：反映机关事业单位实施养老保险制度由单位实际缴纳的基本养老保险费支出、</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机关事业单位职业年金缴费支出（项）：反映机关事业单位实施养老保险制度由单位实际缴纳的职业年金支出（含职业年金补记支出）。</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其他行政事业单位养老支出（项）：反映除上述项目以外其他用于行政事业单位养老方面的支出。</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11.卫生健康支出</w:t>
      </w:r>
      <w:r>
        <w:rPr>
          <w:rFonts w:hint="eastAsia" w:ascii="仿宋_GB2312" w:eastAsia="仿宋_GB2312"/>
          <w:sz w:val="28"/>
          <w:szCs w:val="28"/>
        </w:rPr>
        <w:t>（类）行政事业单位医疗（款）事业单位医疗</w:t>
      </w:r>
      <w:r>
        <w:rPr>
          <w:rFonts w:hint="eastAsia" w:ascii="仿宋_GB2312" w:eastAsia="仿宋_GB2312"/>
          <w:sz w:val="28"/>
          <w:szCs w:val="28"/>
          <w:lang w:eastAsia="zh-CN"/>
        </w:rPr>
        <w:t>（项）：反映财政部门安排的事业单位基本医疗保险缴费经费，未参加医疗保险的事业单位的公费医疗经费，按国家规定享受离休人员的医疗经费。</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12.卫生健康支出</w:t>
      </w:r>
      <w:r>
        <w:rPr>
          <w:rFonts w:hint="eastAsia" w:ascii="仿宋_GB2312" w:eastAsia="仿宋_GB2312"/>
          <w:sz w:val="28"/>
          <w:szCs w:val="28"/>
        </w:rPr>
        <w:t>（类）行政事业单位医疗（款）公务员医疗补助</w:t>
      </w:r>
      <w:r>
        <w:rPr>
          <w:rFonts w:hint="eastAsia" w:ascii="仿宋_GB2312" w:eastAsia="仿宋_GB2312"/>
          <w:sz w:val="28"/>
          <w:szCs w:val="28"/>
          <w:lang w:eastAsia="zh-CN"/>
        </w:rPr>
        <w:t>（项）：反映财政部门安排的公务员医疗补助经费。</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13.农林水支出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水利行业业务管理（项）：反映用于水行业业务管理方面的支出。有关业务包括制定政策、法规及行业标准、规程规范、进行水利宣传、审计监督检查、精神文明建设以及农田水利管理、水利重大活动、水利工程质量监督、水利资金监督管理、水利国有资产监管、行政许可及监督管理等。</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14.农林水支出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水利工程运行与维护（项）：反映水利系统用于江、河、湖、滩等治理工程运行与维护方面的支出，以及纳入预算管理的水利工程管理单位的支出。</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15.农林水支出</w:t>
      </w:r>
      <w:r>
        <w:rPr>
          <w:rFonts w:hint="eastAsia" w:ascii="仿宋_GB2312" w:eastAsia="仿宋_GB2312"/>
          <w:sz w:val="28"/>
          <w:szCs w:val="28"/>
        </w:rPr>
        <w:t>（类）</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eastAsia="仿宋_GB2312"/>
          <w:sz w:val="28"/>
          <w:szCs w:val="28"/>
          <w:lang w:eastAsia="zh-CN"/>
        </w:rPr>
        <w:t>其他水利支出（项）：反映除上述项目以外其他用于水利方面的支出。</w:t>
      </w: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16.住房保障支出(类）住房改革支出（款）购房补贴（项）：反映按房改政策规定，行政事业单位向符合条件职工(含离退休人员)、军队(含武警)向转役复员离退休人员发放的用于购买住房的补贴。</w:t>
      </w:r>
    </w:p>
    <w:p>
      <w:pPr>
        <w:pStyle w:val="2"/>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val="en-US" w:eastAsia="zh-CN"/>
        </w:rPr>
      </w:pPr>
    </w:p>
    <w:p>
      <w:pPr>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rPr>
          <w:rFonts w:hint="eastAsia"/>
          <w:lang w:val="en-US" w:eastAsia="zh-CN"/>
        </w:rPr>
      </w:pPr>
    </w:p>
    <w:p/>
    <w:p>
      <w:pPr>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2F1B310F"/>
    <w:multiLevelType w:val="singleLevel"/>
    <w:tmpl w:val="2F1B310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F95F11"/>
    <w:rsid w:val="02F120AB"/>
    <w:rsid w:val="030C78DB"/>
    <w:rsid w:val="032B5196"/>
    <w:rsid w:val="04C3537C"/>
    <w:rsid w:val="04F71C42"/>
    <w:rsid w:val="07454C52"/>
    <w:rsid w:val="07735707"/>
    <w:rsid w:val="079004AC"/>
    <w:rsid w:val="0A817FCF"/>
    <w:rsid w:val="0BA148CA"/>
    <w:rsid w:val="0BCF6875"/>
    <w:rsid w:val="0C1165C4"/>
    <w:rsid w:val="0D6D544B"/>
    <w:rsid w:val="0DD136FE"/>
    <w:rsid w:val="0F542F2C"/>
    <w:rsid w:val="0F8E2C57"/>
    <w:rsid w:val="1059665E"/>
    <w:rsid w:val="10AC13BA"/>
    <w:rsid w:val="145A6C1B"/>
    <w:rsid w:val="14690DE6"/>
    <w:rsid w:val="14A10441"/>
    <w:rsid w:val="14B73493"/>
    <w:rsid w:val="167A2FF9"/>
    <w:rsid w:val="1764587C"/>
    <w:rsid w:val="17AB780A"/>
    <w:rsid w:val="17B00F1F"/>
    <w:rsid w:val="18581C69"/>
    <w:rsid w:val="1AEC0734"/>
    <w:rsid w:val="1CB64A81"/>
    <w:rsid w:val="1DEF20B0"/>
    <w:rsid w:val="1FF622A1"/>
    <w:rsid w:val="1FF7AB17"/>
    <w:rsid w:val="214243FA"/>
    <w:rsid w:val="21AD613C"/>
    <w:rsid w:val="22467189"/>
    <w:rsid w:val="243C0D71"/>
    <w:rsid w:val="257A14F5"/>
    <w:rsid w:val="25F27417"/>
    <w:rsid w:val="27196C26"/>
    <w:rsid w:val="2883530A"/>
    <w:rsid w:val="299261DF"/>
    <w:rsid w:val="29EF086F"/>
    <w:rsid w:val="2BC34C59"/>
    <w:rsid w:val="2EFFE297"/>
    <w:rsid w:val="301437CA"/>
    <w:rsid w:val="31DA2475"/>
    <w:rsid w:val="349D1F0A"/>
    <w:rsid w:val="34DD0473"/>
    <w:rsid w:val="36A801B7"/>
    <w:rsid w:val="36FF0AFB"/>
    <w:rsid w:val="3A1B6970"/>
    <w:rsid w:val="3A6B10EF"/>
    <w:rsid w:val="3A8E35DC"/>
    <w:rsid w:val="3C684897"/>
    <w:rsid w:val="3D2D203D"/>
    <w:rsid w:val="40A83E9F"/>
    <w:rsid w:val="433E495C"/>
    <w:rsid w:val="44BF237C"/>
    <w:rsid w:val="48066711"/>
    <w:rsid w:val="489F2FD7"/>
    <w:rsid w:val="4AC27CB3"/>
    <w:rsid w:val="4B1F7B76"/>
    <w:rsid w:val="4BF72BEF"/>
    <w:rsid w:val="4FA90297"/>
    <w:rsid w:val="4FC41A43"/>
    <w:rsid w:val="51DB3C59"/>
    <w:rsid w:val="550C0952"/>
    <w:rsid w:val="55762E42"/>
    <w:rsid w:val="57A7B272"/>
    <w:rsid w:val="58470068"/>
    <w:rsid w:val="58747CAC"/>
    <w:rsid w:val="58A95420"/>
    <w:rsid w:val="5A1720F9"/>
    <w:rsid w:val="5B9C37C2"/>
    <w:rsid w:val="5BA7C654"/>
    <w:rsid w:val="5CDC2A8F"/>
    <w:rsid w:val="5DF716AE"/>
    <w:rsid w:val="5F9F507E"/>
    <w:rsid w:val="60A54109"/>
    <w:rsid w:val="60A646BF"/>
    <w:rsid w:val="61D01CDF"/>
    <w:rsid w:val="621F1F7D"/>
    <w:rsid w:val="64C0607C"/>
    <w:rsid w:val="65756C86"/>
    <w:rsid w:val="674D385B"/>
    <w:rsid w:val="676F09E1"/>
    <w:rsid w:val="677F120C"/>
    <w:rsid w:val="690E00F4"/>
    <w:rsid w:val="69192872"/>
    <w:rsid w:val="6D112BD9"/>
    <w:rsid w:val="711F79F0"/>
    <w:rsid w:val="71691990"/>
    <w:rsid w:val="71793A80"/>
    <w:rsid w:val="72B13879"/>
    <w:rsid w:val="732D6C39"/>
    <w:rsid w:val="7357290B"/>
    <w:rsid w:val="756E3DEA"/>
    <w:rsid w:val="760B03DA"/>
    <w:rsid w:val="76FB1693"/>
    <w:rsid w:val="798524E4"/>
    <w:rsid w:val="7A570166"/>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2615.94</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944.19</c:v>
                </c:pt>
                <c:pt idx="1">
                  <c:v>1737.76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4557</Words>
  <Characters>5133</Characters>
  <Lines>44</Lines>
  <Paragraphs>12</Paragraphs>
  <TotalTime>45</TotalTime>
  <ScaleCrop>false</ScaleCrop>
  <LinksUpToDate>false</LinksUpToDate>
  <CharactersWithSpaces>5154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2025-09-19T07:56:15Z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eyJoZGlkIjoiM2QyZWJiZDQ4NzhiZTAyMDEyYTI5YWM5ZjhlNjRlMWMiLCJ1c2VySWQiOiI3MDIyMjI5OTAifQ==</vt:lpwstr>
  </property>
</Properties>
</file>