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北京市大兴区水环境监测中心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（一）本单位职责</w:t>
      </w:r>
    </w:p>
    <w:p>
      <w:pPr>
        <w:pStyle w:val="20"/>
        <w:shd w:val="clear" w:color="auto" w:fill="auto"/>
        <w:spacing w:before="0" w:after="0" w:line="554" w:lineRule="exact"/>
        <w:ind w:firstLine="700" w:firstLineChars="250"/>
        <w:jc w:val="both"/>
        <w:rPr>
          <w:rFonts w:hint="eastAsia" w:ascii="仿宋_GB2312" w:eastAsia="仿宋_GB2312"/>
          <w:sz w:val="28"/>
          <w:szCs w:val="28"/>
        </w:rPr>
      </w:pPr>
      <w:r>
        <w:rPr>
          <w:rFonts w:hint="eastAsia" w:ascii="仿宋_GB2312" w:eastAsia="仿宋_GB2312"/>
          <w:sz w:val="28"/>
          <w:szCs w:val="28"/>
        </w:rPr>
        <w:t>北京市大兴区水环境监测中心主要职责是：负责组织开展全区河道和地下水包括降水、蒸发、水位、流量、水质等各种水文要素的监测、收集、汇总、分析、保存和资料整编工作。负责为区水行政主管部门开展水灾害防治、水资源管理、水环境治理、水生态修复、水文水资源信息发布工作提供水文、水资源技术支持；负责为区水行政主管部门提供发布洪水预警的技术支撑，参与洪水调度；负责水务行业水文现代化建设，引进、推广水文新技术、新方法，组织在水务行业推广、应用现代化的监测设备；负责组织水务行业水文站网建设、管理和维护工作，并对水务行业各类水文站的设立、撤销、迁移等提出建议；参与制定本区水资源综合规划；参与水资源调查评价相关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（二）机构设置情况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sz w:val="28"/>
          <w:szCs w:val="28"/>
        </w:rPr>
        <w:t>北京市大兴区水环境监测中心</w:t>
      </w:r>
      <w:r>
        <w:rPr>
          <w:rFonts w:hint="eastAsia" w:ascii="仿宋_GB2312" w:eastAsia="仿宋_GB2312"/>
          <w:kern w:val="0"/>
          <w:sz w:val="28"/>
          <w:szCs w:val="28"/>
        </w:rPr>
        <w:t>共有6个内设机构，分别为办公室、财务室、水文监测室、地下水监测室、水质化验室、质控室。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1380.56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0.80</w:t>
      </w:r>
      <w:r>
        <w:rPr>
          <w:rFonts w:hint="eastAsia" w:ascii="仿宋_GB2312" w:eastAsia="仿宋_GB2312"/>
          <w:sz w:val="28"/>
          <w:szCs w:val="28"/>
        </w:rPr>
        <w:t>万元，下降</w:t>
      </w:r>
      <w:r>
        <w:rPr>
          <w:rFonts w:hint="eastAsia" w:ascii="仿宋_GB2312" w:eastAsia="仿宋_GB2312"/>
          <w:sz w:val="28"/>
          <w:szCs w:val="28"/>
          <w:lang w:val="en-US" w:eastAsia="zh-CN"/>
        </w:rPr>
        <w:t>0.06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1256.</w:t>
      </w:r>
      <w:r>
        <w:rPr>
          <w:rFonts w:hint="eastAsia" w:ascii="仿宋_GB2312" w:eastAsia="仿宋_GB2312"/>
          <w:sz w:val="28"/>
          <w:szCs w:val="28"/>
          <w:lang w:val="en-US" w:eastAsia="zh-CN"/>
        </w:rPr>
        <w:t>35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108.21</w:t>
      </w:r>
      <w:r>
        <w:rPr>
          <w:rFonts w:hint="eastAsia" w:ascii="仿宋_GB2312" w:eastAsia="仿宋_GB2312"/>
          <w:sz w:val="28"/>
          <w:szCs w:val="28"/>
        </w:rPr>
        <w:t>万元，下降</w:t>
      </w:r>
      <w:r>
        <w:rPr>
          <w:rFonts w:hint="eastAsia" w:ascii="仿宋_GB2312" w:eastAsia="仿宋_GB2312"/>
          <w:sz w:val="28"/>
          <w:szCs w:val="28"/>
          <w:lang w:val="en-US" w:eastAsia="zh-CN"/>
        </w:rPr>
        <w:t>7.93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1209.3</w:t>
      </w:r>
      <w:r>
        <w:rPr>
          <w:rFonts w:hint="eastAsia" w:ascii="仿宋_GB2312" w:eastAsia="仿宋_GB2312"/>
          <w:sz w:val="28"/>
          <w:szCs w:val="28"/>
          <w:lang w:val="en-US" w:eastAsia="zh-CN"/>
        </w:rPr>
        <w:t>3</w:t>
      </w:r>
      <w:r>
        <w:rPr>
          <w:rFonts w:hint="eastAsia" w:ascii="仿宋_GB2312" w:eastAsia="仿宋_GB2312"/>
          <w:sz w:val="28"/>
          <w:szCs w:val="28"/>
        </w:rPr>
        <w:t>万元，占收入合计的</w:t>
      </w:r>
      <w:r>
        <w:rPr>
          <w:rFonts w:hint="eastAsia" w:ascii="仿宋_GB2312" w:eastAsia="仿宋_GB2312"/>
          <w:sz w:val="28"/>
          <w:szCs w:val="28"/>
          <w:lang w:eastAsia="zh-CN"/>
        </w:rPr>
        <w:t>96.</w:t>
      </w:r>
      <w:r>
        <w:rPr>
          <w:rFonts w:hint="eastAsia" w:ascii="仿宋_GB2312" w:eastAsia="仿宋_GB2312"/>
          <w:sz w:val="28"/>
          <w:szCs w:val="28"/>
          <w:lang w:val="en-US" w:eastAsia="zh-CN"/>
        </w:rPr>
        <w:t>26</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1209.33</w:t>
      </w:r>
      <w:r>
        <w:rPr>
          <w:rFonts w:hint="eastAsia" w:ascii="仿宋_GB2312" w:eastAsia="仿宋_GB2312"/>
          <w:sz w:val="28"/>
          <w:szCs w:val="28"/>
        </w:rPr>
        <w:t>万元，占收入合计的</w:t>
      </w:r>
      <w:r>
        <w:rPr>
          <w:rFonts w:hint="eastAsia" w:ascii="仿宋_GB2312" w:eastAsia="仿宋_GB2312"/>
          <w:sz w:val="28"/>
          <w:szCs w:val="28"/>
          <w:lang w:eastAsia="zh-CN"/>
        </w:rPr>
        <w:t>96.</w:t>
      </w:r>
      <w:r>
        <w:rPr>
          <w:rFonts w:hint="eastAsia" w:ascii="仿宋_GB2312" w:eastAsia="仿宋_GB2312"/>
          <w:sz w:val="28"/>
          <w:szCs w:val="28"/>
          <w:lang w:val="en-US" w:eastAsia="zh-CN"/>
        </w:rPr>
        <w:t>26</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47.0</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3.74</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4445" t="4445" r="16510" b="1016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1361.5</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0.79</w:t>
      </w:r>
      <w:r>
        <w:rPr>
          <w:rFonts w:hint="eastAsia" w:ascii="仿宋_GB2312" w:eastAsia="仿宋_GB2312"/>
          <w:sz w:val="28"/>
          <w:szCs w:val="28"/>
        </w:rPr>
        <w:t>万元，下降</w:t>
      </w:r>
      <w:r>
        <w:rPr>
          <w:rFonts w:hint="eastAsia" w:ascii="仿宋_GB2312" w:eastAsia="仿宋_GB2312"/>
          <w:sz w:val="28"/>
          <w:szCs w:val="28"/>
          <w:lang w:val="en-US" w:eastAsia="zh-CN"/>
        </w:rPr>
        <w:t>0.06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1312.04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96.</w:t>
      </w:r>
      <w:r>
        <w:rPr>
          <w:rFonts w:hint="eastAsia" w:ascii="仿宋_GB2312" w:eastAsia="仿宋_GB2312"/>
          <w:sz w:val="28"/>
          <w:szCs w:val="28"/>
          <w:highlight w:val="none"/>
          <w:lang w:val="en-US" w:eastAsia="zh-CN"/>
        </w:rPr>
        <w:t>37</w:t>
      </w:r>
      <w:r>
        <w:rPr>
          <w:rFonts w:hint="eastAsia" w:ascii="仿宋_GB2312" w:eastAsia="仿宋_GB2312"/>
          <w:sz w:val="28"/>
          <w:szCs w:val="28"/>
          <w:highlight w:val="none"/>
        </w:rPr>
        <w:t>%；项目支出</w:t>
      </w:r>
      <w:r>
        <w:rPr>
          <w:rFonts w:ascii="仿宋_GB2312" w:eastAsia="仿宋_GB2312"/>
          <w:sz w:val="28"/>
          <w:szCs w:val="28"/>
          <w:highlight w:val="none"/>
        </w:rPr>
        <w:t>49.46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3.63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1314.48</w:t>
      </w:r>
      <w:r>
        <w:rPr>
          <w:rFonts w:hint="eastAsia" w:ascii="仿宋_GB2312" w:eastAsia="仿宋_GB2312"/>
          <w:sz w:val="28"/>
          <w:szCs w:val="28"/>
        </w:rPr>
        <w:t>万元，比上年减少</w:t>
      </w:r>
      <w:r>
        <w:rPr>
          <w:rFonts w:hint="eastAsia" w:ascii="仿宋_GB2312" w:eastAsia="仿宋_GB2312"/>
          <w:sz w:val="28"/>
          <w:szCs w:val="28"/>
          <w:lang w:val="en-US" w:eastAsia="zh-CN"/>
        </w:rPr>
        <w:t>1.09</w:t>
      </w:r>
      <w:r>
        <w:rPr>
          <w:rFonts w:hint="eastAsia" w:ascii="仿宋_GB2312" w:eastAsia="仿宋_GB2312"/>
          <w:sz w:val="28"/>
          <w:szCs w:val="28"/>
        </w:rPr>
        <w:t>万元，下降</w:t>
      </w:r>
      <w:r>
        <w:rPr>
          <w:rFonts w:hint="eastAsia" w:ascii="仿宋_GB2312" w:eastAsia="仿宋_GB2312"/>
          <w:sz w:val="28"/>
          <w:szCs w:val="28"/>
          <w:lang w:val="en-US" w:eastAsia="zh-CN"/>
        </w:rPr>
        <w:t>0.08</w:t>
      </w:r>
      <w:r>
        <w:rPr>
          <w:rFonts w:hint="eastAsia" w:ascii="仿宋_GB2312" w:eastAsia="仿宋_GB2312"/>
          <w:sz w:val="28"/>
          <w:szCs w:val="28"/>
        </w:rPr>
        <w:t>%。主要原因：本单位人员经费减少。</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1314.48</w:t>
      </w:r>
      <w:r>
        <w:rPr>
          <w:rFonts w:hint="eastAsia" w:ascii="仿宋_GB2312" w:eastAsia="仿宋_GB2312"/>
          <w:sz w:val="28"/>
          <w:szCs w:val="28"/>
        </w:rPr>
        <w:t>万元，主要用于以下方面（按大类）：</w:t>
      </w:r>
      <w:r>
        <w:rPr>
          <w:rFonts w:hint="eastAsia" w:ascii="仿宋_GB2312" w:eastAsia="仿宋_GB2312"/>
          <w:sz w:val="28"/>
          <w:szCs w:val="28"/>
          <w:highlight w:val="none"/>
        </w:rPr>
        <w:t>社会保障和就业支出</w:t>
      </w:r>
      <w:r>
        <w:rPr>
          <w:rFonts w:hint="eastAsia" w:ascii="仿宋_GB2312" w:eastAsia="仿宋_GB2312"/>
          <w:sz w:val="28"/>
          <w:szCs w:val="28"/>
        </w:rPr>
        <w:t>251.8</w:t>
      </w:r>
      <w:r>
        <w:rPr>
          <w:rFonts w:hint="eastAsia" w:ascii="仿宋_GB2312" w:eastAsia="仿宋_GB2312"/>
          <w:sz w:val="28"/>
          <w:szCs w:val="28"/>
          <w:lang w:val="en-US" w:eastAsia="zh-CN"/>
        </w:rPr>
        <w:t>7</w:t>
      </w:r>
      <w:r>
        <w:rPr>
          <w:rFonts w:hint="eastAsia" w:ascii="仿宋_GB2312" w:eastAsia="仿宋_GB2312"/>
          <w:sz w:val="28"/>
          <w:szCs w:val="28"/>
          <w:highlight w:val="none"/>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19.16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highlight w:val="none"/>
        </w:rPr>
        <w:t>卫生健康支出93.39万元，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7.1%；</w:t>
      </w:r>
      <w:r>
        <w:rPr>
          <w:rFonts w:hint="eastAsia" w:ascii="仿宋_GB2312" w:eastAsia="仿宋_GB2312"/>
          <w:sz w:val="28"/>
          <w:szCs w:val="28"/>
          <w:highlight w:val="none"/>
        </w:rPr>
        <w:t>农林水支出864.0</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65.74%；</w:t>
      </w:r>
      <w:r>
        <w:rPr>
          <w:rFonts w:hint="eastAsia" w:ascii="仿宋_GB2312" w:eastAsia="仿宋_GB2312"/>
          <w:sz w:val="28"/>
          <w:szCs w:val="28"/>
          <w:highlight w:val="none"/>
        </w:rPr>
        <w:t>住房保障支出105.15万元</w:t>
      </w:r>
      <w:r>
        <w:rPr>
          <w:rFonts w:hint="eastAsia" w:ascii="仿宋_GB2312" w:eastAsia="仿宋_GB2312"/>
          <w:sz w:val="28"/>
          <w:szCs w:val="28"/>
          <w:highlight w:val="none"/>
          <w:lang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8%。</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eastAsia="仿宋_GB2312"/>
          <w:sz w:val="28"/>
          <w:szCs w:val="28"/>
          <w:highlight w:val="none"/>
        </w:rPr>
        <w:t>“208社会保障和就业支出”(类)202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205.52</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rPr>
        <w:t>251.87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122.55</w:t>
      </w:r>
      <w:r>
        <w:rPr>
          <w:rFonts w:hint="eastAsia" w:ascii="仿宋_GB2312" w:eastAsia="仿宋_GB2312"/>
          <w:sz w:val="28"/>
          <w:szCs w:val="28"/>
          <w:highlight w:val="none"/>
        </w:rPr>
        <w:t>%。其中：</w:t>
      </w:r>
    </w:p>
    <w:p>
      <w:pPr>
        <w:tabs>
          <w:tab w:val="center" w:pos="6979"/>
        </w:tabs>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“20805行政事业单位养老支出”（款）202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年度年初预算205.52万元，202</w:t>
      </w:r>
      <w:r>
        <w:rPr>
          <w:rFonts w:hint="eastAsia" w:ascii="仿宋_GB2312" w:eastAsia="仿宋_GB2312"/>
          <w:sz w:val="28"/>
          <w:szCs w:val="28"/>
          <w:lang w:val="en-US" w:eastAsia="zh-CN"/>
        </w:rPr>
        <w:t>4</w:t>
      </w:r>
      <w:r>
        <w:rPr>
          <w:rFonts w:hint="eastAsia" w:ascii="仿宋_GB2312" w:eastAsia="仿宋_GB2312"/>
          <w:sz w:val="28"/>
          <w:szCs w:val="28"/>
        </w:rPr>
        <w:t>年度决算251.87万元，</w:t>
      </w:r>
      <w:r>
        <w:rPr>
          <w:rFonts w:hint="eastAsia" w:ascii="仿宋_GB2312" w:eastAsia="仿宋_GB2312"/>
          <w:sz w:val="28"/>
          <w:szCs w:val="28"/>
          <w:lang w:eastAsia="zh-CN"/>
        </w:rPr>
        <w:t>完成年初预算的</w:t>
      </w:r>
      <w:r>
        <w:rPr>
          <w:rFonts w:hint="eastAsia" w:ascii="仿宋_GB2312" w:eastAsia="仿宋_GB2312"/>
          <w:sz w:val="28"/>
          <w:szCs w:val="28"/>
          <w:highlight w:val="none"/>
          <w:lang w:val="en-US" w:eastAsia="zh-CN"/>
        </w:rPr>
        <w:t>122.55</w:t>
      </w:r>
      <w:r>
        <w:rPr>
          <w:rFonts w:hint="eastAsia" w:ascii="仿宋_GB2312" w:eastAsia="仿宋_GB2312"/>
          <w:sz w:val="28"/>
          <w:szCs w:val="28"/>
        </w:rPr>
        <w:t>%。主要原因：养老保险基数变动及退休人员死亡抚恤金增加引起的支出。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“210卫生健康支出”(类)202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年度年初预算93.81万元，202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年度决算93.39万元，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99.55</w:t>
      </w:r>
      <w:r>
        <w:rPr>
          <w:rFonts w:hint="eastAsia" w:ascii="仿宋_GB2312" w:eastAsia="仿宋_GB2312"/>
          <w:sz w:val="28"/>
          <w:szCs w:val="28"/>
          <w:highlight w:val="none"/>
        </w:rPr>
        <w:t>%。其中：</w:t>
      </w:r>
    </w:p>
    <w:p>
      <w:pPr>
        <w:tabs>
          <w:tab w:val="center" w:pos="6979"/>
        </w:tabs>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“21011行政事业单位医疗”（款）202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年度年初预算93.81万元，202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年度决算93.39万元，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99.55</w:t>
      </w:r>
      <w:r>
        <w:rPr>
          <w:rFonts w:hint="eastAsia" w:ascii="仿宋_GB2312" w:eastAsia="仿宋_GB2312"/>
          <w:sz w:val="28"/>
          <w:szCs w:val="28"/>
          <w:highlight w:val="none"/>
        </w:rPr>
        <w:t>%。主要原因：本年保险支出减少。</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“213农林水支出”(类)202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年度年初预算871.77万元，202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年度决算864.0</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99.12</w:t>
      </w:r>
      <w:r>
        <w:rPr>
          <w:rFonts w:hint="eastAsia" w:ascii="仿宋_GB2312" w:eastAsia="仿宋_GB2312"/>
          <w:sz w:val="28"/>
          <w:szCs w:val="28"/>
          <w:highlight w:val="none"/>
        </w:rPr>
        <w:t>%。其中：</w:t>
      </w:r>
    </w:p>
    <w:p>
      <w:pPr>
        <w:tabs>
          <w:tab w:val="center" w:pos="6979"/>
        </w:tabs>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“21303水利</w:t>
      </w:r>
      <w:r>
        <w:rPr>
          <w:rFonts w:hint="default" w:ascii="仿宋_GB2312" w:eastAsia="仿宋_GB2312"/>
          <w:sz w:val="28"/>
          <w:szCs w:val="28"/>
          <w:highlight w:val="none"/>
          <w:lang w:val="en-US" w:eastAsia="zh-CN"/>
        </w:rPr>
        <w:t>”</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年度年初预算871.77万元，202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年度决算864.08万元，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99.12</w:t>
      </w:r>
      <w:r>
        <w:rPr>
          <w:rFonts w:hint="eastAsia" w:ascii="仿宋_GB2312" w:eastAsia="仿宋_GB2312"/>
          <w:sz w:val="28"/>
          <w:szCs w:val="28"/>
          <w:highlight w:val="none"/>
        </w:rPr>
        <w:t>%。主要原因：本年人员支出减少。</w:t>
      </w:r>
    </w:p>
    <w:p>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“221住房保障支出”(类)202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年度决算105.15万元，其中：</w:t>
      </w:r>
    </w:p>
    <w:p>
      <w:pPr>
        <w:tabs>
          <w:tab w:val="center" w:pos="6979"/>
        </w:tabs>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“22102住房改革支出</w:t>
      </w:r>
      <w:r>
        <w:rPr>
          <w:rFonts w:hint="default" w:ascii="仿宋_GB2312" w:eastAsia="仿宋_GB2312"/>
          <w:sz w:val="28"/>
          <w:szCs w:val="28"/>
          <w:highlight w:val="none"/>
          <w:lang w:val="en-US" w:eastAsia="zh-CN"/>
        </w:rPr>
        <w:t>”</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年度决算105.15万元。主要原因：2024年</w:t>
      </w:r>
      <w:r>
        <w:rPr>
          <w:rFonts w:hint="eastAsia" w:ascii="仿宋_GB2312" w:eastAsia="仿宋_GB2312"/>
          <w:sz w:val="28"/>
          <w:szCs w:val="28"/>
          <w:highlight w:val="none"/>
          <w:lang w:eastAsia="zh-CN"/>
        </w:rPr>
        <w:t>追加</w:t>
      </w:r>
      <w:r>
        <w:rPr>
          <w:rFonts w:hint="eastAsia" w:ascii="仿宋_GB2312" w:eastAsia="仿宋_GB2312"/>
          <w:sz w:val="28"/>
          <w:szCs w:val="28"/>
          <w:highlight w:val="none"/>
        </w:rPr>
        <w:t>第三批购房补贴。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numPr>
          <w:ilvl w:val="0"/>
          <w:numId w:val="2"/>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政府性基金预算财政拨款支出决算具体情况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1312.04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highlight w:val="none"/>
        </w:rPr>
        <w:t>（1）工资福利支出包括基本工资</w:t>
      </w:r>
      <w:r>
        <w:rPr>
          <w:rFonts w:ascii="仿宋_GB2312" w:eastAsia="仿宋_GB2312"/>
          <w:sz w:val="28"/>
          <w:szCs w:val="28"/>
          <w:highlight w:val="none"/>
        </w:rPr>
        <w:t>、津贴补贴、奖金、绩效工资、</w:t>
      </w:r>
      <w:r>
        <w:rPr>
          <w:rFonts w:hint="eastAsia" w:ascii="仿宋_GB2312" w:eastAsia="仿宋_GB2312"/>
          <w:sz w:val="28"/>
          <w:szCs w:val="28"/>
          <w:highlight w:val="none"/>
          <w:lang w:eastAsia="zh-CN"/>
        </w:rPr>
        <w:t>机关事业单位基本养老保险缴费、职业年金缴费、职工基本医疗保险缴费、公务员医疗补助缴费、</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lang w:eastAsia="zh-CN"/>
        </w:rPr>
        <w:t>、住房公积金</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办公费、电费、邮电费、取暖费、维修（护）费、工会经费、福利费、公务用车运</w:t>
      </w:r>
      <w:bookmarkStart w:id="0" w:name="_GoBack"/>
      <w:bookmarkEnd w:id="0"/>
      <w:r>
        <w:rPr>
          <w:rFonts w:ascii="仿宋_GB2312" w:eastAsia="仿宋_GB2312"/>
          <w:sz w:val="28"/>
          <w:szCs w:val="28"/>
          <w:highlight w:val="none"/>
        </w:rPr>
        <w:t>行维护费、其他商品和服务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抚恤金、生活补助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w:t>
      </w:r>
    </w:p>
    <w:p>
      <w:pPr>
        <w:autoSpaceDE w:val="0"/>
        <w:autoSpaceDN w:val="0"/>
        <w:adjustRightInd w:val="0"/>
        <w:spacing w:line="580" w:lineRule="exact"/>
        <w:jc w:val="both"/>
        <w:rPr>
          <w:rFonts w:hint="eastAsia" w:ascii="宋体" w:hAnsi="宋体"/>
          <w:b/>
          <w:spacing w:val="40"/>
          <w:sz w:val="32"/>
          <w:szCs w:val="32"/>
          <w:highlight w:val="none"/>
        </w:rPr>
      </w:pPr>
      <w:r>
        <w:rPr>
          <w:rFonts w:ascii="仿宋_GB2312" w:eastAsia="仿宋_GB2312"/>
          <w:b/>
          <w:sz w:val="32"/>
          <w:szCs w:val="32"/>
          <w:highlight w:val="none"/>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4.28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5.4</w:t>
      </w:r>
      <w:r>
        <w:rPr>
          <w:rFonts w:hint="eastAsia" w:ascii="仿宋_GB2312" w:eastAsia="仿宋_GB2312"/>
          <w:sz w:val="28"/>
          <w:szCs w:val="28"/>
        </w:rPr>
        <w:t>万元减少</w:t>
      </w:r>
      <w:r>
        <w:rPr>
          <w:rFonts w:hint="eastAsia" w:ascii="仿宋_GB2312" w:eastAsia="仿宋_GB2312"/>
          <w:sz w:val="28"/>
          <w:szCs w:val="28"/>
          <w:lang w:val="en-US" w:eastAsia="zh-CN"/>
        </w:rPr>
        <w:t>1.12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万元增加（减少）</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万元。主要原因：2024年本部门厉行节约，无因公出国（境）费用支出。202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年度组织因公出国（境）团组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个、</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人次。</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万元增加（减少）</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万元。主要原因：2024年本部门厉行节约，未发生公务接待费用支出。公务接待0批次，公务接待0人次。</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年度决算数4.28万元，比202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年度年初预算数5.4万元减少1.12万元。其中，公务用车购置费202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万元，主要原因：2024年本单位无公务用车购置，202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年度决算数4.28万元，主要原因：本单位厉行节约，严格管理车辆使用支出标准。202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ascii="仿宋_GB2312" w:eastAsia="仿宋_GB2312"/>
          <w:sz w:val="28"/>
          <w:szCs w:val="28"/>
          <w:highlight w:val="none"/>
        </w:rPr>
        <w:t>3</w:t>
      </w:r>
      <w:r>
        <w:rPr>
          <w:rFonts w:hint="eastAsia" w:ascii="仿宋_GB2312" w:eastAsia="仿宋_GB2312"/>
          <w:sz w:val="28"/>
          <w:szCs w:val="28"/>
          <w:highlight w:val="none"/>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3.93</w:t>
      </w:r>
      <w:r>
        <w:rPr>
          <w:rFonts w:hint="eastAsia" w:ascii="仿宋_GB2312" w:eastAsia="仿宋_GB2312"/>
          <w:sz w:val="28"/>
          <w:szCs w:val="28"/>
        </w:rPr>
        <w:t>万元，其中：政府采购货物支出1.24万元，政府采购工程支出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万元，政府采购服务支出2.69万元。授予中小企业合同金额</w:t>
      </w:r>
      <w:r>
        <w:rPr>
          <w:rFonts w:ascii="仿宋_GB2312" w:eastAsia="仿宋_GB2312"/>
          <w:sz w:val="28"/>
          <w:szCs w:val="28"/>
        </w:rPr>
        <w:t>2.24</w:t>
      </w:r>
      <w:r>
        <w:rPr>
          <w:rFonts w:hint="eastAsia" w:ascii="仿宋_GB2312" w:eastAsia="仿宋_GB2312"/>
          <w:sz w:val="28"/>
          <w:szCs w:val="28"/>
        </w:rPr>
        <w:t>万元，占政府采购支出总额的</w:t>
      </w:r>
      <w:r>
        <w:rPr>
          <w:rFonts w:hint="eastAsia" w:ascii="仿宋_GB2312" w:eastAsia="仿宋_GB2312"/>
          <w:sz w:val="28"/>
          <w:szCs w:val="28"/>
          <w:lang w:eastAsia="zh-CN"/>
        </w:rPr>
        <w:t>57.15</w:t>
      </w:r>
      <w:r>
        <w:rPr>
          <w:rFonts w:hint="eastAsia" w:ascii="仿宋_GB2312" w:eastAsia="仿宋_GB2312"/>
          <w:sz w:val="28"/>
          <w:szCs w:val="28"/>
        </w:rPr>
        <w:t>%，其中：授予小微企业合同金额</w:t>
      </w:r>
      <w:r>
        <w:rPr>
          <w:rFonts w:ascii="仿宋_GB2312" w:eastAsia="仿宋_GB2312"/>
          <w:sz w:val="28"/>
          <w:szCs w:val="28"/>
        </w:rPr>
        <w:t>2.24</w:t>
      </w:r>
      <w:r>
        <w:rPr>
          <w:rFonts w:hint="eastAsia" w:ascii="仿宋_GB2312" w:eastAsia="仿宋_GB2312"/>
          <w:sz w:val="28"/>
          <w:szCs w:val="28"/>
        </w:rPr>
        <w:t>万元，占政府采购支出总额的</w:t>
      </w:r>
      <w:r>
        <w:rPr>
          <w:rFonts w:ascii="仿宋_GB2312" w:eastAsia="仿宋_GB2312"/>
          <w:sz w:val="28"/>
          <w:szCs w:val="28"/>
        </w:rPr>
        <w:t>57.15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12月31日，北京市大兴区水环境监测中心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 社会保障和就业支出（类）行政事业单位养老支出（款）机关事业单位基本养老保险缴费支出（项）：反映机关事业单位实施养老保险制度由单位实际缴纳的基本养老保险费支出。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其他行政事业单位养老支出（项）：反映除上述项目以外其他用于行政事业单位养老方面的支出。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卫生健康支出（类）行政事业单位医疗（款）事业单位医疗（项）：反映财政部门安排的事业单位基本医疗保险缴费经费，未参加医疗保险的事业单位的公费医疗经费，按国家规定享受离休人员的医疗经费。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卫生健康支出（类）行政事业单位医疗（款）公务员医疗补助（项）：反映财政部门安排的公务员医疗补助经费。</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农林水支出（类）水利（款）水利行业业务管理（项）：反映用于水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农林水支出（类）水利（款）水质监测（项）：反映水利系统纳入预算管理的水质监测事业单位的支出。有关事项包括水质监测仪器设备运行维护，水环境监测技术的研究、开发与推广，进行水样品采集、保存、运输、测试、化验、分析、资料整编、发布水质公报等。</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.农林水支出（类）水利（款）</w:t>
      </w:r>
      <w:r>
        <w:rPr>
          <w:rFonts w:hint="eastAsia" w:ascii="仿宋_GB2312" w:eastAsia="仿宋_GB2312"/>
          <w:sz w:val="28"/>
          <w:szCs w:val="28"/>
          <w:lang w:eastAsia="zh-CN"/>
        </w:rPr>
        <w:t>其他水利支出（项）：反映除上述项目以外其他用于水利方面的支出。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6</w:t>
      </w:r>
      <w:r>
        <w:rPr>
          <w:rFonts w:hint="eastAsia" w:ascii="仿宋_GB2312" w:eastAsia="仿宋_GB2312"/>
          <w:sz w:val="28"/>
          <w:szCs w:val="28"/>
        </w:rPr>
        <w:t>.住房保障支出（类）住房改革支出（款）购房补贴（项）：反映按房改政策规定，行政事业单位向符合条件职工（含离退休人员）、军队（含武警）向转役复员离退休人员发放的用于购买住房的补贴。</w:t>
      </w:r>
    </w:p>
    <w:p>
      <w:pPr>
        <w:keepNext w:val="0"/>
        <w:keepLines w:val="0"/>
        <w:pageBreakBefore w:val="0"/>
        <w:widowControl w:val="0"/>
        <w:kinsoku/>
        <w:wordWrap/>
        <w:overflowPunct/>
        <w:topLinePunct w:val="0"/>
        <w:autoSpaceDE/>
        <w:autoSpaceDN/>
        <w:bidi w:val="0"/>
        <w:adjustRightInd/>
        <w:snapToGrid/>
        <w:ind w:left="420" w:leftChars="200" w:firstLine="420" w:firstLineChars="150"/>
        <w:textAlignment w:val="auto"/>
        <w:rPr>
          <w:rFonts w:hint="eastAsia" w:ascii="仿宋_GB2312" w:eastAsia="仿宋_GB2312"/>
          <w:sz w:val="28"/>
          <w:szCs w:val="28"/>
        </w:rPr>
      </w:pP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B2221BE"/>
    <w:multiLevelType w:val="singleLevel"/>
    <w:tmpl w:val="0B2221BE"/>
    <w:lvl w:ilvl="0" w:tentative="0">
      <w:start w:val="2"/>
      <w:numFmt w:val="chineseCounting"/>
      <w:suff w:val="nothing"/>
      <w:lvlText w:val="（%1）"/>
      <w:lvlJc w:val="left"/>
      <w:rPr>
        <w:rFonts w:hint="eastAsia"/>
      </w:rPr>
    </w:lvl>
  </w:abstractNum>
  <w:abstractNum w:abstractNumId="2">
    <w:nsid w:val="5EFCECD2"/>
    <w:multiLevelType w:val="singleLevel"/>
    <w:tmpl w:val="5EFCECD2"/>
    <w:lvl w:ilvl="0" w:tentative="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E2475C"/>
    <w:rsid w:val="04C3537C"/>
    <w:rsid w:val="06EC7549"/>
    <w:rsid w:val="079004AC"/>
    <w:rsid w:val="088E3305"/>
    <w:rsid w:val="090E46E2"/>
    <w:rsid w:val="0BA148CA"/>
    <w:rsid w:val="0C1165C4"/>
    <w:rsid w:val="0C3443D2"/>
    <w:rsid w:val="0C8C6780"/>
    <w:rsid w:val="0D6D544B"/>
    <w:rsid w:val="0DD136FE"/>
    <w:rsid w:val="0EC52772"/>
    <w:rsid w:val="0F542F2C"/>
    <w:rsid w:val="0F8E2C57"/>
    <w:rsid w:val="1059665E"/>
    <w:rsid w:val="10AC13BA"/>
    <w:rsid w:val="114A03FF"/>
    <w:rsid w:val="145A6C1B"/>
    <w:rsid w:val="14B73493"/>
    <w:rsid w:val="167A2FF9"/>
    <w:rsid w:val="1764587C"/>
    <w:rsid w:val="18581C69"/>
    <w:rsid w:val="196436A0"/>
    <w:rsid w:val="1AEC0734"/>
    <w:rsid w:val="1AFD5D6C"/>
    <w:rsid w:val="1DEF20B0"/>
    <w:rsid w:val="1FF7AB17"/>
    <w:rsid w:val="214243FA"/>
    <w:rsid w:val="21AD613C"/>
    <w:rsid w:val="22467189"/>
    <w:rsid w:val="257A14F5"/>
    <w:rsid w:val="27196C26"/>
    <w:rsid w:val="29EF086F"/>
    <w:rsid w:val="2A4160C7"/>
    <w:rsid w:val="2B746B21"/>
    <w:rsid w:val="2BC34C59"/>
    <w:rsid w:val="2D6942AF"/>
    <w:rsid w:val="2EFFE297"/>
    <w:rsid w:val="301437CA"/>
    <w:rsid w:val="305D03C5"/>
    <w:rsid w:val="33ED5E5A"/>
    <w:rsid w:val="349D1F0A"/>
    <w:rsid w:val="34DD0473"/>
    <w:rsid w:val="38CA5601"/>
    <w:rsid w:val="39947487"/>
    <w:rsid w:val="3A8E35DC"/>
    <w:rsid w:val="3C684897"/>
    <w:rsid w:val="3D956479"/>
    <w:rsid w:val="3F7607FD"/>
    <w:rsid w:val="433E495C"/>
    <w:rsid w:val="43B84199"/>
    <w:rsid w:val="44A00117"/>
    <w:rsid w:val="44BA73CE"/>
    <w:rsid w:val="489F2FD7"/>
    <w:rsid w:val="4AC27CB3"/>
    <w:rsid w:val="4BF72BEF"/>
    <w:rsid w:val="4D12016B"/>
    <w:rsid w:val="4F81616E"/>
    <w:rsid w:val="4FA90297"/>
    <w:rsid w:val="4FC41A43"/>
    <w:rsid w:val="50574197"/>
    <w:rsid w:val="51767B02"/>
    <w:rsid w:val="51A24F9C"/>
    <w:rsid w:val="51DB3C59"/>
    <w:rsid w:val="52006227"/>
    <w:rsid w:val="54C24EA4"/>
    <w:rsid w:val="550C0952"/>
    <w:rsid w:val="55762E42"/>
    <w:rsid w:val="57A7B272"/>
    <w:rsid w:val="57E914A6"/>
    <w:rsid w:val="58470068"/>
    <w:rsid w:val="58747CAC"/>
    <w:rsid w:val="59A91244"/>
    <w:rsid w:val="59E8398F"/>
    <w:rsid w:val="5A1720F9"/>
    <w:rsid w:val="5B9C37C2"/>
    <w:rsid w:val="5BA7C654"/>
    <w:rsid w:val="5CEC51D4"/>
    <w:rsid w:val="5DF716AE"/>
    <w:rsid w:val="5F9F507E"/>
    <w:rsid w:val="60A54109"/>
    <w:rsid w:val="61D01CDF"/>
    <w:rsid w:val="63786AD0"/>
    <w:rsid w:val="64C0607C"/>
    <w:rsid w:val="65756C86"/>
    <w:rsid w:val="67213098"/>
    <w:rsid w:val="674D385B"/>
    <w:rsid w:val="67506C46"/>
    <w:rsid w:val="676F09E1"/>
    <w:rsid w:val="69E5416A"/>
    <w:rsid w:val="6AB147AD"/>
    <w:rsid w:val="6B072520"/>
    <w:rsid w:val="6DA32372"/>
    <w:rsid w:val="6E147909"/>
    <w:rsid w:val="70F56078"/>
    <w:rsid w:val="71691990"/>
    <w:rsid w:val="71793A80"/>
    <w:rsid w:val="7357290B"/>
    <w:rsid w:val="755E50FE"/>
    <w:rsid w:val="756E3DEA"/>
    <w:rsid w:val="76201D99"/>
    <w:rsid w:val="76FB1693"/>
    <w:rsid w:val="7833283E"/>
    <w:rsid w:val="798524E4"/>
    <w:rsid w:val="7A7F1C49"/>
    <w:rsid w:val="7B5B7AE6"/>
    <w:rsid w:val="7B7B6628"/>
    <w:rsid w:val="7BA7071E"/>
    <w:rsid w:val="7BDF6DA8"/>
    <w:rsid w:val="7C7EDC1A"/>
    <w:rsid w:val="7CCED98D"/>
    <w:rsid w:val="7D08410F"/>
    <w:rsid w:val="7DB96DED"/>
    <w:rsid w:val="7DD3AD81"/>
    <w:rsid w:val="7DFFF77E"/>
    <w:rsid w:val="7E8E0CE8"/>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MSG_EN_FONT_STYLE_NAME_TEMPLATE_ROLE_NUMBER MSG_EN_FONT_STYLE_NAME_BY_ROLE_TEXT 2"/>
    <w:basedOn w:val="1"/>
    <w:qFormat/>
    <w:uiPriority w:val="0"/>
    <w:pPr>
      <w:shd w:val="clear" w:color="auto" w:fill="FFFFFF"/>
      <w:spacing w:before="220" w:after="1440" w:line="300" w:lineRule="exact"/>
      <w:jc w:val="center"/>
    </w:pPr>
    <w:rPr>
      <w:rFonts w:ascii="宋体" w:hAnsi="宋体" w:cs="宋体"/>
      <w:kern w:val="0"/>
      <w:sz w:val="30"/>
      <w:szCs w:val="3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96.2</a:t>
                    </a:r>
                    <a:r>
                      <a:rPr lang="en-US" altLang="zh-CN"/>
                      <a:t>6</a:t>
                    </a:r>
                    <a:r>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0.0351974226861921"/>
                  <c:y val="-0.124655269080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79502884983289"/>
                  <c:y val="-0.0878404340653418"/>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01777568035237"/>
                      <c:h val="0.059449140987183"/>
                    </c:manualLayout>
                  </c15:layout>
                </c:ext>
              </c:extLst>
            </c:dLbl>
            <c:dLbl>
              <c:idx val="3"/>
              <c:layout>
                <c:manualLayout>
                  <c:x val="-0.104019188923058"/>
                  <c:y val="0.010332459307987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34694035548824"/>
                  <c:y val="0.096233741009651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10263437757823"/>
                  <c:y val="-0.00187232495021513"/>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3.74%</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1209.33</c:v>
                </c:pt>
                <c:pt idx="1">
                  <c:v>0</c:v>
                </c:pt>
                <c:pt idx="2">
                  <c:v>0</c:v>
                </c:pt>
                <c:pt idx="3">
                  <c:v>0</c:v>
                </c:pt>
                <c:pt idx="4">
                  <c:v>0</c:v>
                </c:pt>
                <c:pt idx="5">
                  <c:v>47.01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499686771382288"/>
                  <c:y val="-0.213684446614147"/>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solidFill>
                        <a:latin typeface="+mn-lt"/>
                        <a:ea typeface="+mn-ea"/>
                        <a:cs typeface="+mn-cs"/>
                      </a:defRPr>
                    </a:pPr>
                    <a:r>
                      <a:t>96.3</a:t>
                    </a:r>
                    <a:r>
                      <a:rPr lang="en-US" altLang="zh-CN"/>
                      <a:t>7</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612770957398832"/>
                  <c:y val="-0.0124305460477628"/>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solidFill>
                        <a:latin typeface="+mn-lt"/>
                        <a:ea typeface="+mn-ea"/>
                        <a:cs typeface="+mn-cs"/>
                      </a:defRPr>
                    </a:pPr>
                    <a:r>
                      <a:t>3.</a:t>
                    </a:r>
                    <a:r>
                      <a:rPr lang="en-US" altLang="zh-CN"/>
                      <a:t>63</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275579603932183"/>
                  <c:y val="0.02241047694412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8125"/>
                  <c:y val="-0.034722222222222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43155436025277"/>
                  <c:y val="0.0070390072878400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1312.04</c:v>
                </c:pt>
                <c:pt idx="1">
                  <c:v>49.46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268</Words>
  <Characters>286</Characters>
  <Lines>44</Lines>
  <Paragraphs>12</Paragraphs>
  <TotalTime>7</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2025-09-19T07:33:52Z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eyJoZGlkIjoiMjIxYjEzYWE4NjBkNGZmZmQyNDU1NmI3MDVmZmVjODUifQ==</vt:lpwstr>
  </property>
</Properties>
</file>