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北京市大兴区节约用水管理事务中心</w:t>
      </w: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一）</w:t>
      </w:r>
      <w:r>
        <w:rPr>
          <w:rFonts w:hint="eastAsia" w:ascii="仿宋_GB2312" w:eastAsia="仿宋_GB2312"/>
          <w:sz w:val="32"/>
          <w:szCs w:val="32"/>
        </w:rPr>
        <w:t>主要职能</w:t>
      </w:r>
    </w:p>
    <w:p>
      <w:pPr>
        <w:spacing w:line="620" w:lineRule="exact"/>
        <w:ind w:left="359" w:leftChars="171" w:firstLine="320" w:firstLineChars="100"/>
        <w:rPr>
          <w:rFonts w:ascii="仿宋_GB2312" w:eastAsia="仿宋_GB2312"/>
          <w:sz w:val="32"/>
          <w:szCs w:val="32"/>
        </w:rPr>
      </w:pPr>
      <w:r>
        <w:rPr>
          <w:rFonts w:hint="eastAsia" w:ascii="仿宋_GB2312" w:eastAsia="仿宋_GB2312"/>
          <w:sz w:val="32"/>
          <w:szCs w:val="32"/>
        </w:rPr>
        <w:t>负责本区节约用水管理的事务性工作。贯彻落实节约用水的政策、标准和用水计划、指标、定额；承担节水宣传、技术、设备推广应用工作；承担全区用水的统计和分析评价；承担节水型社会建设的事务性工作；参与编制全区节约用水、供水规划和年度用水计划；指导农村管水人员的管理。负责本区供水管理的事务性工作。承担区级集中供水厂运营管理的事务性工作；指导镇属集中供水厂（站）的规范运行；指导本区公共供水管网的规范运行；承担自建设施供水单位取用水量核定相关工作；承担自备井置换和老旧小区内部供水管网改造的协调推进。负责本区农村改水的事务性工作。承担镇、村级供水消毒设施的运行管理；负责开展农村改水项目，培训农村改水技术。</w:t>
      </w:r>
    </w:p>
    <w:p>
      <w:pPr>
        <w:spacing w:line="620" w:lineRule="exact"/>
        <w:ind w:firstLine="640" w:firstLineChars="200"/>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）机构设置情况</w:t>
      </w:r>
    </w:p>
    <w:p>
      <w:pPr>
        <w:spacing w:line="620" w:lineRule="exact"/>
        <w:ind w:left="359" w:leftChars="171" w:firstLine="320" w:firstLineChars="100"/>
        <w:rPr>
          <w:rFonts w:ascii="仿宋_GB2312" w:eastAsia="仿宋_GB2312"/>
          <w:sz w:val="32"/>
          <w:szCs w:val="32"/>
        </w:rPr>
      </w:pPr>
      <w:r>
        <w:rPr>
          <w:rFonts w:hint="eastAsia" w:ascii="仿宋_GB2312" w:eastAsia="仿宋_GB2312"/>
          <w:sz w:val="32"/>
          <w:szCs w:val="32"/>
        </w:rPr>
        <w:t>北京市</w:t>
      </w:r>
      <w:r>
        <w:rPr>
          <w:rFonts w:ascii="仿宋_GB2312" w:eastAsia="仿宋_GB2312"/>
          <w:sz w:val="32"/>
          <w:szCs w:val="32"/>
        </w:rPr>
        <w:t>大兴区</w:t>
      </w:r>
      <w:r>
        <w:rPr>
          <w:rFonts w:hint="eastAsia" w:ascii="仿宋_GB2312" w:eastAsia="仿宋_GB2312"/>
          <w:sz w:val="32"/>
          <w:szCs w:val="32"/>
        </w:rPr>
        <w:t>节约用水管理事务中心共有6个</w:t>
      </w:r>
      <w:r>
        <w:rPr>
          <w:rFonts w:ascii="仿宋_GB2312" w:eastAsia="仿宋_GB2312"/>
          <w:sz w:val="32"/>
          <w:szCs w:val="32"/>
        </w:rPr>
        <w:t>内设机构，分别为</w:t>
      </w:r>
      <w:r>
        <w:rPr>
          <w:rFonts w:hint="eastAsia" w:ascii="仿宋_GB2312" w:eastAsia="仿宋_GB2312"/>
          <w:sz w:val="32"/>
          <w:szCs w:val="32"/>
        </w:rPr>
        <w:t>财务室，收费室，后勤管理组，节水监督管理组，节水型社会建设组，供水管理组等部门。</w:t>
      </w:r>
    </w:p>
    <w:p>
      <w:pPr>
        <w:spacing w:line="520" w:lineRule="exact"/>
        <w:ind w:firstLine="640" w:firstLineChars="200"/>
        <w:rPr>
          <w:rFonts w:ascii="仿宋_GB2312" w:hAnsi="宋体" w:eastAsia="仿宋_GB2312"/>
          <w:sz w:val="32"/>
          <w:szCs w:val="32"/>
        </w:rPr>
      </w:pPr>
    </w:p>
    <w:p>
      <w:pPr>
        <w:pStyle w:val="2"/>
      </w:pP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1919.61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20.35万元，增长1.07%。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2024年度本年收入合计</w:t>
      </w:r>
      <w:r>
        <w:rPr>
          <w:rFonts w:ascii="仿宋_GB2312" w:eastAsia="仿宋_GB2312"/>
          <w:sz w:val="28"/>
          <w:szCs w:val="28"/>
        </w:rPr>
        <w:t>1774.51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124.75</w:t>
      </w:r>
      <w:r>
        <w:rPr>
          <w:rFonts w:hint="eastAsia" w:ascii="仿宋_GB2312" w:eastAsia="仿宋_GB2312"/>
          <w:sz w:val="28"/>
          <w:szCs w:val="28"/>
        </w:rPr>
        <w:t>万元，下降</w:t>
      </w:r>
      <w:r>
        <w:rPr>
          <w:rFonts w:ascii="仿宋_GB2312" w:eastAsia="仿宋_GB2312"/>
          <w:sz w:val="28"/>
          <w:szCs w:val="28"/>
        </w:rPr>
        <w:t>6.57</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 xml:space="preserve"> 1.财政拨款收入1</w:t>
      </w:r>
      <w:r>
        <w:rPr>
          <w:rFonts w:ascii="仿宋_GB2312" w:eastAsia="仿宋_GB2312"/>
          <w:sz w:val="28"/>
          <w:szCs w:val="28"/>
        </w:rPr>
        <w:t>774.51</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%。其中：一般公共预算财政拨款收入1</w:t>
      </w:r>
      <w:r>
        <w:rPr>
          <w:rFonts w:ascii="仿宋_GB2312" w:eastAsia="仿宋_GB2312"/>
          <w:sz w:val="28"/>
          <w:szCs w:val="28"/>
        </w:rPr>
        <w:t>774.51</w:t>
      </w:r>
      <w:r>
        <w:rPr>
          <w:rFonts w:hint="eastAsia" w:ascii="仿宋_GB2312" w:eastAsia="仿宋_GB2312"/>
          <w:sz w:val="28"/>
          <w:szCs w:val="28"/>
        </w:rPr>
        <w:t>万元，占收入合计的100%；政府性基金预算财政拨款收入0万元，占收入合计的0%；国有资本经营预算财政拨款收入0万元，占收入合计的0%。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万元，占收入合计的0%。</w:t>
      </w:r>
    </w:p>
    <w:p>
      <w:pPr>
        <w:pStyle w:val="2"/>
        <w:jc w:val="center"/>
      </w:pPr>
      <w:r>
        <w:rPr>
          <w:rFonts w:hint="eastAsia" w:ascii="仿宋_GB2312" w:eastAsia="仿宋_GB2312"/>
          <w:color w:val="000000"/>
          <w:sz w:val="32"/>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1912.64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rPr>
        <w:t>13.38</w:t>
      </w:r>
      <w:r>
        <w:rPr>
          <w:rFonts w:hint="eastAsia" w:ascii="仿宋_GB2312" w:eastAsia="仿宋_GB2312"/>
          <w:sz w:val="28"/>
          <w:szCs w:val="28"/>
        </w:rPr>
        <w:t>万元，增长</w:t>
      </w:r>
      <w:r>
        <w:rPr>
          <w:rFonts w:ascii="仿宋_GB2312" w:eastAsia="仿宋_GB2312"/>
          <w:sz w:val="28"/>
          <w:szCs w:val="28"/>
        </w:rPr>
        <w:t>0.7</w:t>
      </w:r>
      <w:r>
        <w:rPr>
          <w:rFonts w:hint="eastAsia" w:ascii="仿宋_GB2312" w:eastAsia="仿宋_GB2312"/>
          <w:sz w:val="28"/>
          <w:szCs w:val="28"/>
        </w:rPr>
        <w:t>%，其中：基本支出</w:t>
      </w:r>
      <w:r>
        <w:rPr>
          <w:rFonts w:ascii="仿宋_GB2312" w:eastAsia="仿宋_GB2312"/>
          <w:sz w:val="28"/>
          <w:szCs w:val="28"/>
        </w:rPr>
        <w:t>1129.3</w:t>
      </w:r>
      <w:r>
        <w:rPr>
          <w:rFonts w:hint="eastAsia" w:ascii="仿宋_GB2312" w:eastAsia="仿宋_GB2312"/>
          <w:sz w:val="28"/>
          <w:szCs w:val="28"/>
        </w:rPr>
        <w:t>万元，占支出合计的59.04%；项目支出</w:t>
      </w:r>
      <w:r>
        <w:rPr>
          <w:rFonts w:ascii="仿宋_GB2312" w:eastAsia="仿宋_GB2312"/>
          <w:sz w:val="28"/>
          <w:szCs w:val="28"/>
        </w:rPr>
        <w:t>783.34</w:t>
      </w:r>
      <w:r>
        <w:rPr>
          <w:rFonts w:hint="eastAsia" w:ascii="仿宋_GB2312" w:eastAsia="仿宋_GB2312"/>
          <w:sz w:val="28"/>
          <w:szCs w:val="28"/>
        </w:rPr>
        <w:t>万元，占支出合计的40.96%;上缴上级支出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1912.64</w:t>
      </w:r>
      <w:r>
        <w:rPr>
          <w:rFonts w:hint="eastAsia" w:ascii="仿宋_GB2312" w:eastAsia="仿宋_GB2312"/>
          <w:sz w:val="28"/>
          <w:szCs w:val="28"/>
        </w:rPr>
        <w:t>万元，比上年1</w:t>
      </w:r>
      <w:r>
        <w:rPr>
          <w:rFonts w:ascii="仿宋_GB2312" w:eastAsia="仿宋_GB2312"/>
          <w:sz w:val="28"/>
          <w:szCs w:val="28"/>
        </w:rPr>
        <w:t>3.38</w:t>
      </w:r>
      <w:r>
        <w:rPr>
          <w:rFonts w:hint="eastAsia" w:ascii="仿宋_GB2312" w:eastAsia="仿宋_GB2312"/>
          <w:sz w:val="28"/>
          <w:szCs w:val="28"/>
        </w:rPr>
        <w:t>万元，增长</w:t>
      </w:r>
      <w:r>
        <w:rPr>
          <w:rFonts w:ascii="仿宋_GB2312" w:eastAsia="仿宋_GB2312"/>
          <w:sz w:val="28"/>
          <w:szCs w:val="28"/>
        </w:rPr>
        <w:t>0.7</w:t>
      </w:r>
      <w:r>
        <w:rPr>
          <w:rFonts w:hint="eastAsia" w:ascii="仿宋_GB2312" w:eastAsia="仿宋_GB2312"/>
          <w:sz w:val="28"/>
          <w:szCs w:val="28"/>
        </w:rPr>
        <w:t>%。主要原因：本单位人员支出增加。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一般公共预算财政拨款支出1912.64万元，主要用于以下方面（按大类）：社会保障和就业支出151.21万元，占本年财政拨款支出7.91%；卫生健康支出81.22万元，占本年财政拨款支出4.24%；农林水支出1542.08万元，占本年财政拨款支出80.63%；住房保障支出138.13万元，占财政拨款的7.22%。</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1、“208社会保障和就业支出”（</w:t>
      </w:r>
      <w:r>
        <w:rPr>
          <w:rFonts w:ascii="仿宋_GB2312" w:eastAsia="仿宋_GB2312"/>
          <w:sz w:val="28"/>
          <w:szCs w:val="28"/>
        </w:rPr>
        <w:t>类）</w:t>
      </w:r>
      <w:r>
        <w:rPr>
          <w:rFonts w:hint="eastAsia" w:ascii="仿宋_GB2312" w:eastAsia="仿宋_GB2312"/>
          <w:sz w:val="28"/>
          <w:szCs w:val="28"/>
        </w:rPr>
        <w:t>2024年年初预算</w:t>
      </w:r>
      <w:r>
        <w:rPr>
          <w:rFonts w:ascii="仿宋_GB2312" w:eastAsia="仿宋_GB2312"/>
          <w:sz w:val="28"/>
          <w:szCs w:val="28"/>
        </w:rPr>
        <w:t>120.82</w:t>
      </w:r>
      <w:r>
        <w:rPr>
          <w:rFonts w:hint="eastAsia" w:ascii="仿宋_GB2312" w:eastAsia="仿宋_GB2312"/>
          <w:sz w:val="28"/>
          <w:szCs w:val="28"/>
        </w:rPr>
        <w:t>万元，2024年度决算</w:t>
      </w:r>
      <w:r>
        <w:rPr>
          <w:rFonts w:ascii="仿宋_GB2312" w:eastAsia="仿宋_GB2312"/>
          <w:sz w:val="28"/>
          <w:szCs w:val="28"/>
        </w:rPr>
        <w:t>151.21</w:t>
      </w:r>
      <w:r>
        <w:rPr>
          <w:rFonts w:hint="eastAsia" w:ascii="仿宋_GB2312" w:eastAsia="仿宋_GB2312"/>
          <w:sz w:val="28"/>
          <w:szCs w:val="28"/>
        </w:rPr>
        <w:t>万元，完成年初预算的12</w:t>
      </w:r>
      <w:r>
        <w:rPr>
          <w:rFonts w:ascii="仿宋_GB2312" w:eastAsia="仿宋_GB2312"/>
          <w:sz w:val="28"/>
          <w:szCs w:val="28"/>
        </w:rPr>
        <w:t>5.15</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“20805行政事业单位养老支出”（</w:t>
      </w:r>
      <w:r>
        <w:rPr>
          <w:rFonts w:ascii="仿宋_GB2312" w:eastAsia="仿宋_GB2312"/>
          <w:sz w:val="28"/>
          <w:szCs w:val="28"/>
        </w:rPr>
        <w:t>款）</w:t>
      </w:r>
      <w:r>
        <w:rPr>
          <w:rFonts w:hint="eastAsia" w:ascii="仿宋_GB2312" w:eastAsia="仿宋_GB2312"/>
          <w:sz w:val="28"/>
          <w:szCs w:val="28"/>
        </w:rPr>
        <w:t>2024年年初预算</w:t>
      </w:r>
      <w:r>
        <w:rPr>
          <w:rFonts w:ascii="仿宋_GB2312" w:eastAsia="仿宋_GB2312"/>
          <w:sz w:val="28"/>
          <w:szCs w:val="28"/>
        </w:rPr>
        <w:t>120.82</w:t>
      </w:r>
      <w:r>
        <w:rPr>
          <w:rFonts w:hint="eastAsia" w:ascii="仿宋_GB2312" w:eastAsia="仿宋_GB2312"/>
          <w:sz w:val="28"/>
          <w:szCs w:val="28"/>
        </w:rPr>
        <w:t>万元，2024年度决算</w:t>
      </w:r>
      <w:r>
        <w:rPr>
          <w:rFonts w:ascii="仿宋_GB2312" w:eastAsia="仿宋_GB2312"/>
          <w:sz w:val="28"/>
          <w:szCs w:val="28"/>
        </w:rPr>
        <w:t>151.21</w:t>
      </w:r>
      <w:r>
        <w:rPr>
          <w:rFonts w:hint="eastAsia" w:ascii="仿宋_GB2312" w:eastAsia="仿宋_GB2312"/>
          <w:sz w:val="28"/>
          <w:szCs w:val="28"/>
        </w:rPr>
        <w:t>万元，完成年初预算的12</w:t>
      </w:r>
      <w:r>
        <w:rPr>
          <w:rFonts w:ascii="仿宋_GB2312" w:eastAsia="仿宋_GB2312"/>
          <w:sz w:val="28"/>
          <w:szCs w:val="28"/>
        </w:rPr>
        <w:t>5.15</w:t>
      </w:r>
      <w:r>
        <w:rPr>
          <w:rFonts w:hint="eastAsia" w:ascii="仿宋_GB2312" w:eastAsia="仿宋_GB2312"/>
          <w:sz w:val="28"/>
          <w:szCs w:val="28"/>
        </w:rPr>
        <w:t>%。主要原因：养老保险基数增加引起的支出。</w:t>
      </w:r>
    </w:p>
    <w:p>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2、“210卫生健康支出” （</w:t>
      </w:r>
      <w:r>
        <w:rPr>
          <w:rFonts w:ascii="仿宋_GB2312" w:eastAsia="仿宋_GB2312"/>
          <w:sz w:val="28"/>
          <w:szCs w:val="28"/>
        </w:rPr>
        <w:t>类）</w:t>
      </w:r>
      <w:r>
        <w:rPr>
          <w:rFonts w:hint="eastAsia" w:ascii="仿宋_GB2312" w:eastAsia="仿宋_GB2312"/>
          <w:sz w:val="28"/>
          <w:szCs w:val="28"/>
        </w:rPr>
        <w:t>2024年年初预算</w:t>
      </w:r>
      <w:r>
        <w:rPr>
          <w:rFonts w:ascii="仿宋_GB2312" w:eastAsia="仿宋_GB2312"/>
          <w:sz w:val="28"/>
          <w:szCs w:val="28"/>
        </w:rPr>
        <w:t>85.51</w:t>
      </w:r>
      <w:r>
        <w:rPr>
          <w:rFonts w:hint="eastAsia" w:ascii="仿宋_GB2312" w:eastAsia="仿宋_GB2312"/>
          <w:sz w:val="28"/>
          <w:szCs w:val="28"/>
        </w:rPr>
        <w:t>万元，2024年度决算</w:t>
      </w:r>
      <w:r>
        <w:rPr>
          <w:rFonts w:ascii="仿宋_GB2312" w:eastAsia="仿宋_GB2312"/>
          <w:sz w:val="28"/>
          <w:szCs w:val="28"/>
        </w:rPr>
        <w:t>81.22</w:t>
      </w:r>
      <w:r>
        <w:rPr>
          <w:rFonts w:hint="eastAsia" w:ascii="仿宋_GB2312" w:eastAsia="仿宋_GB2312"/>
          <w:sz w:val="28"/>
          <w:szCs w:val="28"/>
        </w:rPr>
        <w:t>万元，完成年初预算的94.98%，其中：</w:t>
      </w:r>
    </w:p>
    <w:p>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“21011行政事业单位医疗” （</w:t>
      </w:r>
      <w:r>
        <w:rPr>
          <w:rFonts w:ascii="仿宋_GB2312" w:eastAsia="仿宋_GB2312"/>
          <w:sz w:val="28"/>
          <w:szCs w:val="28"/>
        </w:rPr>
        <w:t>款）</w:t>
      </w:r>
      <w:r>
        <w:rPr>
          <w:rFonts w:hint="eastAsia" w:ascii="仿宋_GB2312" w:eastAsia="仿宋_GB2312"/>
          <w:sz w:val="28"/>
          <w:szCs w:val="28"/>
        </w:rPr>
        <w:t>2024年年初预算</w:t>
      </w:r>
      <w:r>
        <w:rPr>
          <w:rFonts w:ascii="仿宋_GB2312" w:eastAsia="仿宋_GB2312"/>
          <w:sz w:val="28"/>
          <w:szCs w:val="28"/>
        </w:rPr>
        <w:t>85.51</w:t>
      </w:r>
      <w:r>
        <w:rPr>
          <w:rFonts w:hint="eastAsia" w:ascii="仿宋_GB2312" w:eastAsia="仿宋_GB2312"/>
          <w:sz w:val="28"/>
          <w:szCs w:val="28"/>
        </w:rPr>
        <w:t>万元，2024年度决算</w:t>
      </w:r>
      <w:r>
        <w:rPr>
          <w:rFonts w:ascii="仿宋_GB2312" w:eastAsia="仿宋_GB2312"/>
          <w:sz w:val="28"/>
          <w:szCs w:val="28"/>
        </w:rPr>
        <w:t>81.22</w:t>
      </w:r>
      <w:r>
        <w:rPr>
          <w:rFonts w:hint="eastAsia" w:ascii="仿宋_GB2312" w:eastAsia="仿宋_GB2312"/>
          <w:sz w:val="28"/>
          <w:szCs w:val="28"/>
        </w:rPr>
        <w:t>万元，完成年初预算的94.98%,主要原因：本年医疗保险支出减少。</w:t>
      </w:r>
    </w:p>
    <w:p>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3、“213农林水支出” （</w:t>
      </w:r>
      <w:r>
        <w:rPr>
          <w:rFonts w:ascii="仿宋_GB2312" w:eastAsia="仿宋_GB2312"/>
          <w:sz w:val="28"/>
          <w:szCs w:val="28"/>
        </w:rPr>
        <w:t>类）</w:t>
      </w:r>
      <w:r>
        <w:rPr>
          <w:rFonts w:hint="eastAsia" w:ascii="仿宋_GB2312" w:eastAsia="仿宋_GB2312"/>
          <w:sz w:val="28"/>
          <w:szCs w:val="28"/>
        </w:rPr>
        <w:t>2024年年初预算</w:t>
      </w:r>
      <w:r>
        <w:rPr>
          <w:rFonts w:ascii="仿宋_GB2312" w:eastAsia="仿宋_GB2312"/>
          <w:sz w:val="28"/>
          <w:szCs w:val="28"/>
        </w:rPr>
        <w:t>1610.94</w:t>
      </w:r>
      <w:r>
        <w:rPr>
          <w:rFonts w:hint="eastAsia" w:ascii="仿宋_GB2312" w:eastAsia="仿宋_GB2312"/>
          <w:sz w:val="28"/>
          <w:szCs w:val="28"/>
        </w:rPr>
        <w:t>万元，2024年度决算</w:t>
      </w:r>
      <w:r>
        <w:rPr>
          <w:rFonts w:ascii="仿宋_GB2312" w:eastAsia="仿宋_GB2312"/>
          <w:sz w:val="28"/>
          <w:szCs w:val="28"/>
        </w:rPr>
        <w:t>1542.08</w:t>
      </w:r>
      <w:r>
        <w:rPr>
          <w:rFonts w:hint="eastAsia" w:ascii="仿宋_GB2312" w:eastAsia="仿宋_GB2312"/>
          <w:sz w:val="28"/>
          <w:szCs w:val="28"/>
        </w:rPr>
        <w:t>万元，完成年初预算的95.72%，其中：</w:t>
      </w:r>
    </w:p>
    <w:p>
      <w:pPr>
        <w:tabs>
          <w:tab w:val="center" w:pos="6979"/>
        </w:tabs>
        <w:spacing w:line="560" w:lineRule="exact"/>
        <w:ind w:firstLine="560" w:firstLineChars="200"/>
        <w:rPr>
          <w:rFonts w:ascii="仿宋_GB2312" w:eastAsia="仿宋_GB2312"/>
          <w:sz w:val="28"/>
          <w:szCs w:val="28"/>
        </w:rPr>
      </w:pPr>
      <w:r>
        <w:rPr>
          <w:rFonts w:hint="eastAsia" w:ascii="仿宋_GB2312" w:eastAsia="仿宋_GB2312"/>
          <w:sz w:val="28"/>
          <w:szCs w:val="28"/>
        </w:rPr>
        <w:t>“21303水利”（</w:t>
      </w:r>
      <w:r>
        <w:rPr>
          <w:rFonts w:ascii="仿宋_GB2312" w:eastAsia="仿宋_GB2312"/>
          <w:sz w:val="28"/>
          <w:szCs w:val="28"/>
        </w:rPr>
        <w:t>款）</w:t>
      </w:r>
      <w:r>
        <w:rPr>
          <w:rFonts w:hint="eastAsia" w:ascii="仿宋_GB2312" w:eastAsia="仿宋_GB2312"/>
          <w:sz w:val="28"/>
          <w:szCs w:val="28"/>
        </w:rPr>
        <w:t>2024年年初预算</w:t>
      </w:r>
      <w:r>
        <w:rPr>
          <w:rFonts w:ascii="仿宋_GB2312" w:eastAsia="仿宋_GB2312"/>
          <w:sz w:val="28"/>
          <w:szCs w:val="28"/>
        </w:rPr>
        <w:t>1610.94</w:t>
      </w:r>
      <w:r>
        <w:rPr>
          <w:rFonts w:hint="eastAsia" w:ascii="仿宋_GB2312" w:eastAsia="仿宋_GB2312"/>
          <w:sz w:val="28"/>
          <w:szCs w:val="28"/>
        </w:rPr>
        <w:t>万元，2024年度决算</w:t>
      </w:r>
      <w:r>
        <w:rPr>
          <w:rFonts w:ascii="仿宋_GB2312" w:eastAsia="仿宋_GB2312"/>
          <w:sz w:val="28"/>
          <w:szCs w:val="28"/>
        </w:rPr>
        <w:t>1542.08</w:t>
      </w:r>
      <w:r>
        <w:rPr>
          <w:rFonts w:hint="eastAsia" w:ascii="仿宋_GB2312" w:eastAsia="仿宋_GB2312"/>
          <w:sz w:val="28"/>
          <w:szCs w:val="28"/>
        </w:rPr>
        <w:t>万元，完成年初预算的95.72%，主要原因：本年项目支出减少。</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4、“221住房保障支出” （</w:t>
      </w:r>
      <w:r>
        <w:rPr>
          <w:rFonts w:ascii="仿宋_GB2312" w:eastAsia="仿宋_GB2312"/>
          <w:sz w:val="28"/>
          <w:szCs w:val="28"/>
        </w:rPr>
        <w:t>类）</w:t>
      </w:r>
      <w:r>
        <w:rPr>
          <w:rFonts w:hint="eastAsia" w:ascii="仿宋_GB2312" w:eastAsia="仿宋_GB2312"/>
          <w:sz w:val="28"/>
          <w:szCs w:val="28"/>
        </w:rPr>
        <w:t>2024年度年初预算0万元，2024年度决算</w:t>
      </w:r>
      <w:r>
        <w:rPr>
          <w:rFonts w:ascii="仿宋_GB2312" w:eastAsia="仿宋_GB2312"/>
          <w:sz w:val="28"/>
          <w:szCs w:val="28"/>
        </w:rPr>
        <w:t>138.13</w:t>
      </w:r>
      <w:r>
        <w:rPr>
          <w:rFonts w:hint="eastAsia" w:ascii="仿宋_GB2312" w:eastAsia="仿宋_GB2312"/>
          <w:sz w:val="28"/>
          <w:szCs w:val="28"/>
        </w:rPr>
        <w:t>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“22102住房改革支出” （</w:t>
      </w:r>
      <w:r>
        <w:rPr>
          <w:rFonts w:ascii="仿宋_GB2312" w:eastAsia="仿宋_GB2312"/>
          <w:sz w:val="28"/>
          <w:szCs w:val="28"/>
        </w:rPr>
        <w:t>款）</w:t>
      </w:r>
      <w:r>
        <w:rPr>
          <w:rFonts w:hint="eastAsia" w:ascii="仿宋_GB2312" w:eastAsia="仿宋_GB2312"/>
          <w:sz w:val="28"/>
          <w:szCs w:val="28"/>
        </w:rPr>
        <w:t>2024年度年初预算0万元，2024年度决算</w:t>
      </w:r>
      <w:r>
        <w:rPr>
          <w:rFonts w:ascii="仿宋_GB2312" w:eastAsia="仿宋_GB2312"/>
          <w:sz w:val="28"/>
          <w:szCs w:val="28"/>
        </w:rPr>
        <w:t>138.13</w:t>
      </w:r>
      <w:r>
        <w:rPr>
          <w:rFonts w:hint="eastAsia" w:ascii="仿宋_GB2312" w:eastAsia="仿宋_GB2312"/>
          <w:sz w:val="28"/>
          <w:szCs w:val="28"/>
        </w:rPr>
        <w:t>万元。主要原因：2024年第三批购房补贴补发放。</w:t>
      </w:r>
    </w:p>
    <w:p>
      <w:pPr>
        <w:spacing w:line="580" w:lineRule="exact"/>
        <w:rPr>
          <w:rFonts w:ascii="仿宋_GB2312" w:eastAsia="仿宋_GB2312"/>
          <w:sz w:val="28"/>
          <w:szCs w:val="28"/>
        </w:rPr>
      </w:pPr>
    </w:p>
    <w:p>
      <w:pPr>
        <w:spacing w:line="580" w:lineRule="exact"/>
        <w:ind w:firstLine="700" w:firstLineChars="25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1129.3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机关事业单位基本养老保险缴费、职业年金缴费、职工基本医疗保险缴费、公务员医疗补助缴费、其他</w:t>
      </w:r>
      <w:r>
        <w:rPr>
          <w:rFonts w:ascii="仿宋_GB2312" w:eastAsia="仿宋_GB2312"/>
          <w:sz w:val="28"/>
          <w:szCs w:val="28"/>
        </w:rPr>
        <w:t>社会保障缴费</w:t>
      </w:r>
      <w:r>
        <w:rPr>
          <w:rFonts w:hint="eastAsia" w:ascii="仿宋_GB2312" w:eastAsia="仿宋_GB2312"/>
          <w:sz w:val="28"/>
          <w:szCs w:val="28"/>
        </w:rPr>
        <w:t>、住房公积金等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办公费、印刷费、电费、邮电费、取暖费、物业管理费、维修（护）费、劳务费、委托业务费、工会经费、福利费、公务用车运行维护费、其他商品和服务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tabs>
          <w:tab w:val="center" w:pos="6979"/>
        </w:tabs>
        <w:spacing w:line="580" w:lineRule="exact"/>
        <w:ind w:firstLine="548" w:firstLineChars="196"/>
        <w:rPr>
          <w:rFonts w:ascii="仿宋_GB2312" w:eastAsia="仿宋_GB2312"/>
          <w:sz w:val="28"/>
          <w:szCs w:val="28"/>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4.76</w:t>
      </w:r>
      <w:r>
        <w:rPr>
          <w:rFonts w:hint="eastAsia" w:ascii="仿宋_GB2312" w:eastAsia="仿宋_GB2312"/>
          <w:sz w:val="28"/>
          <w:szCs w:val="28"/>
        </w:rPr>
        <w:t>万元，比2024年度“三公”经费财政拨款年初预算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ascii="仿宋_GB2312" w:eastAsia="仿宋_GB2312"/>
          <w:sz w:val="28"/>
          <w:szCs w:val="28"/>
        </w:rPr>
        <w:t>0.64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1.因公出国（境）费用。2024年度决算数0元，比2024年度年初预算数0万元增加（减少）0万元。主要原因：2024年本部门厉行节约，未发生因公出国（境）费用支出，2024年度组织因公出国（境）团组0个、0人次。</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2.公务接待费。2024年度决算数0万元，比2024年度年初预算数0万元增加（减少）0万元。主要原因：2024年本部门厉行节约，未发生公务接待费用支出。公务接待0批次，公务接待0人次。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4.76</w:t>
      </w:r>
      <w:r>
        <w:rPr>
          <w:rFonts w:hint="eastAsia" w:ascii="仿宋_GB2312" w:eastAsia="仿宋_GB2312"/>
          <w:sz w:val="28"/>
          <w:szCs w:val="28"/>
        </w:rPr>
        <w:t>万元，比2024年度年初预算数5.4万元减少</w:t>
      </w:r>
      <w:r>
        <w:rPr>
          <w:rFonts w:ascii="仿宋_GB2312" w:eastAsia="仿宋_GB2312"/>
          <w:sz w:val="28"/>
          <w:szCs w:val="28"/>
        </w:rPr>
        <w:t>0.64</w:t>
      </w:r>
      <w:r>
        <w:rPr>
          <w:rFonts w:hint="eastAsia" w:ascii="仿宋_GB2312" w:eastAsia="仿宋_GB2312"/>
          <w:sz w:val="28"/>
          <w:szCs w:val="28"/>
        </w:rPr>
        <w:t>万元。其中，公务用车购置费2024年度决算数0万元，主要原因：2024年本单位无公务用车购置，2024年度购置（更新）0辆。公务用车运行维护费2024年度决算数4.76万元，主要原因：本单位厉行节约，严格管理车辆使用支出标准。2024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2024年度机关运行经费支出合计0万元，本单位不在机关运行经费统计范围之内。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187.26</w:t>
      </w:r>
      <w:r>
        <w:rPr>
          <w:rFonts w:hint="eastAsia" w:ascii="仿宋_GB2312" w:eastAsia="仿宋_GB2312"/>
          <w:sz w:val="28"/>
          <w:szCs w:val="28"/>
        </w:rPr>
        <w:t>万元，其中：政府采购货物支出0万元，政府采购工程支出0万元，政府采购服务支出</w:t>
      </w:r>
      <w:r>
        <w:rPr>
          <w:rFonts w:ascii="仿宋_GB2312" w:eastAsia="仿宋_GB2312"/>
          <w:sz w:val="28"/>
          <w:szCs w:val="28"/>
        </w:rPr>
        <w:t>187.26</w:t>
      </w:r>
      <w:r>
        <w:rPr>
          <w:rFonts w:hint="eastAsia" w:ascii="仿宋_GB2312" w:eastAsia="仿宋_GB2312"/>
          <w:sz w:val="28"/>
          <w:szCs w:val="28"/>
        </w:rPr>
        <w:t>万元。授予中小企业合同金额</w:t>
      </w:r>
      <w:r>
        <w:rPr>
          <w:rFonts w:ascii="仿宋_GB2312" w:eastAsia="仿宋_GB2312"/>
          <w:sz w:val="28"/>
          <w:szCs w:val="28"/>
        </w:rPr>
        <w:t>183.66</w:t>
      </w:r>
      <w:r>
        <w:rPr>
          <w:rFonts w:hint="eastAsia" w:ascii="仿宋_GB2312" w:eastAsia="仿宋_GB2312"/>
          <w:sz w:val="28"/>
          <w:szCs w:val="28"/>
        </w:rPr>
        <w:t>万元，占政府采购支出总额的98.08%，其中：授予小微企业合同金额</w:t>
      </w:r>
      <w:r>
        <w:rPr>
          <w:rFonts w:ascii="仿宋_GB2312" w:eastAsia="仿宋_GB2312"/>
          <w:sz w:val="28"/>
          <w:szCs w:val="28"/>
        </w:rPr>
        <w:t>183.66</w:t>
      </w:r>
      <w:r>
        <w:rPr>
          <w:rFonts w:hint="eastAsia" w:ascii="仿宋_GB2312" w:eastAsia="仿宋_GB2312"/>
          <w:sz w:val="28"/>
          <w:szCs w:val="28"/>
        </w:rPr>
        <w:t>万元，占政府采购支出总额的</w:t>
      </w:r>
      <w:r>
        <w:rPr>
          <w:rFonts w:ascii="仿宋_GB2312" w:eastAsia="仿宋_GB2312"/>
          <w:sz w:val="28"/>
          <w:szCs w:val="28"/>
        </w:rPr>
        <w:t>98.08</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截至12月31日，北京市大兴区节约用水管理事务中心共有车辆7台；单位价值100万元（含）以上的设备0台（套）。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7. 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8. 社会保障和就业支出（类）行政事业单位养老支出（款）机关事业单位基本养老保险缴费支出（项）：反映机关事业单位实施养老保险制度由单位实际缴纳的基本养老保险费支出。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10. 卫生健康支出（类）行政事业单位医疗（款）事业单位医疗（项）：反映财政部门安排的事业单位基本医疗保险缴费经费，未参加医疗保险的事业单位的公费医疗经费，按国家规定享受离休人员的医疗经费。</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11. 卫生健康支出（类）行政事业单位医疗（款）公务员医疗补助（项）：反映财政部门安排的公务员医疗补助经费。</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12. 农林水支出（类）水利（款）水利行业业务管理（项）：反映用于水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13. 农林水支出（类）水利（款）水资源节约管理与保护（项）：反映水资源节约、监管、配置、调度、保护和基础管理工作的支出。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14. 农林水支出（类）水利（款）其他水利支出（项）：反映除上述项目以外其他用于水利方面的支出。</w:t>
      </w:r>
    </w:p>
    <w:p>
      <w:pPr>
        <w:keepNext w:val="0"/>
        <w:keepLines w:val="0"/>
        <w:pageBreakBefore w:val="0"/>
        <w:widowControl w:val="0"/>
        <w:kinsoku/>
        <w:wordWrap/>
        <w:overflowPunct/>
        <w:topLinePunct w:val="0"/>
        <w:autoSpaceDE/>
        <w:autoSpaceDN/>
        <w:bidi w:val="0"/>
        <w:adjustRightInd/>
        <w:snapToGrid/>
        <w:ind w:left="-105" w:leftChars="-50" w:firstLine="560" w:firstLineChars="200"/>
        <w:textAlignment w:val="auto"/>
        <w:rPr>
          <w:rFonts w:ascii="仿宋_GB2312" w:eastAsia="仿宋_GB2312"/>
          <w:sz w:val="28"/>
          <w:szCs w:val="28"/>
        </w:rPr>
      </w:pPr>
      <w:r>
        <w:rPr>
          <w:rFonts w:hint="eastAsia" w:ascii="仿宋_GB2312" w:eastAsia="仿宋_GB2312"/>
          <w:sz w:val="28"/>
          <w:szCs w:val="28"/>
        </w:rPr>
        <w:t>15.住房保障支出（类）住房改革支出（款）购房补贴（项）：反映按房改政策规定，行政事业单位向符合条件职工（含离退休人员）、军队（含武警）向转役复员离退休人员发放的用于购买住房的补贴。</w:t>
      </w:r>
    </w:p>
    <w:p>
      <w:pPr>
        <w:rPr>
          <w:rFonts w:ascii="黑体" w:eastAsia="黑体"/>
          <w:sz w:val="32"/>
          <w:szCs w:val="32"/>
        </w:rPr>
      </w:pPr>
      <w:bookmarkStart w:id="0" w:name="_GoBack"/>
      <w:bookmarkEnd w:id="0"/>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spacing w:line="480" w:lineRule="exact"/>
        <w:rPr>
          <w:rFonts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9</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4AA"/>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6B9F"/>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5357"/>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39A"/>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0EDA"/>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A703F"/>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1F01"/>
    <w:rsid w:val="0061219B"/>
    <w:rsid w:val="006152CC"/>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45EF1"/>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1E2"/>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9D7"/>
    <w:rsid w:val="008E5FF1"/>
    <w:rsid w:val="008E63D2"/>
    <w:rsid w:val="008E6E14"/>
    <w:rsid w:val="008F1528"/>
    <w:rsid w:val="008F1AE5"/>
    <w:rsid w:val="008F55D9"/>
    <w:rsid w:val="008F78E6"/>
    <w:rsid w:val="009057DE"/>
    <w:rsid w:val="00905F97"/>
    <w:rsid w:val="00906FA3"/>
    <w:rsid w:val="0091239D"/>
    <w:rsid w:val="00912825"/>
    <w:rsid w:val="009129B8"/>
    <w:rsid w:val="00912B99"/>
    <w:rsid w:val="00912C78"/>
    <w:rsid w:val="00927892"/>
    <w:rsid w:val="009319B9"/>
    <w:rsid w:val="009351E9"/>
    <w:rsid w:val="00937862"/>
    <w:rsid w:val="00940CB5"/>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05FD1"/>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7516B"/>
    <w:rsid w:val="00B80ABA"/>
    <w:rsid w:val="00B859FF"/>
    <w:rsid w:val="00B85C1B"/>
    <w:rsid w:val="00B85FF0"/>
    <w:rsid w:val="00B86150"/>
    <w:rsid w:val="00B878F9"/>
    <w:rsid w:val="00B9044A"/>
    <w:rsid w:val="00B960F3"/>
    <w:rsid w:val="00B96A31"/>
    <w:rsid w:val="00BA05E6"/>
    <w:rsid w:val="00BA4FB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C3417"/>
    <w:rsid w:val="00CE19F6"/>
    <w:rsid w:val="00CE6B76"/>
    <w:rsid w:val="00CF1EDB"/>
    <w:rsid w:val="00CF366B"/>
    <w:rsid w:val="00CF5D9D"/>
    <w:rsid w:val="00CF606C"/>
    <w:rsid w:val="00CF7423"/>
    <w:rsid w:val="00D001F5"/>
    <w:rsid w:val="00D03E80"/>
    <w:rsid w:val="00D1505F"/>
    <w:rsid w:val="00D15B9F"/>
    <w:rsid w:val="00D15DD6"/>
    <w:rsid w:val="00D20A4C"/>
    <w:rsid w:val="00D25548"/>
    <w:rsid w:val="00D2601F"/>
    <w:rsid w:val="00D27759"/>
    <w:rsid w:val="00D30028"/>
    <w:rsid w:val="00D31CAD"/>
    <w:rsid w:val="00D325D3"/>
    <w:rsid w:val="00D408D6"/>
    <w:rsid w:val="00D511DD"/>
    <w:rsid w:val="00D55C2A"/>
    <w:rsid w:val="00D56253"/>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B6153"/>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37C1F"/>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C4676F4"/>
    <w:rsid w:val="2EFFE297"/>
    <w:rsid w:val="301437CA"/>
    <w:rsid w:val="349D1F0A"/>
    <w:rsid w:val="34DD0473"/>
    <w:rsid w:val="397259C0"/>
    <w:rsid w:val="3A8E35DC"/>
    <w:rsid w:val="3C684897"/>
    <w:rsid w:val="433E495C"/>
    <w:rsid w:val="489F2FD7"/>
    <w:rsid w:val="4AC27CB3"/>
    <w:rsid w:val="4BF72BEF"/>
    <w:rsid w:val="4E697BFF"/>
    <w:rsid w:val="4FA90297"/>
    <w:rsid w:val="4FC41A43"/>
    <w:rsid w:val="51DB3C59"/>
    <w:rsid w:val="550C0952"/>
    <w:rsid w:val="55762E42"/>
    <w:rsid w:val="57A7B272"/>
    <w:rsid w:val="58470068"/>
    <w:rsid w:val="58747CAC"/>
    <w:rsid w:val="58D53EF7"/>
    <w:rsid w:val="5A1720F9"/>
    <w:rsid w:val="5B9C37C2"/>
    <w:rsid w:val="5BA7C654"/>
    <w:rsid w:val="5DF716AE"/>
    <w:rsid w:val="5F9F507E"/>
    <w:rsid w:val="60A54109"/>
    <w:rsid w:val="61D01CDF"/>
    <w:rsid w:val="64C0607C"/>
    <w:rsid w:val="65756C86"/>
    <w:rsid w:val="674D385B"/>
    <w:rsid w:val="676F09E1"/>
    <w:rsid w:val="70E84112"/>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c:f>
              <c:strCache>
                <c:ptCount val="1"/>
                <c:pt idx="0">
                  <c:v>财政拨款收入</c:v>
                </c:pt>
              </c:strCache>
            </c:strRef>
          </c:cat>
          <c:val>
            <c:numRef>
              <c:f>Sheet1!$B$2</c:f>
              <c:numCache>
                <c:formatCode>General</c:formatCode>
                <c:ptCount val="1"/>
                <c:pt idx="0">
                  <c:v>1774.51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1129.3</c:v>
                </c:pt>
                <c:pt idx="1">
                  <c:v>783.34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4151</Words>
  <Characters>687</Characters>
  <Lines>5</Lines>
  <Paragraphs>9</Paragraphs>
  <TotalTime>34</TotalTime>
  <ScaleCrop>false</ScaleCrop>
  <LinksUpToDate>false</LinksUpToDate>
  <CharactersWithSpaces>4829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2025-09-19T09:26:17Z</dcterms:modified>
  <dc:title>北京市财政局关于做好向市人大常委会报送2015年度市级部门决算（草案）</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eyJoZGlkIjoiNGUzMjM4NTc1NmJkYjMzYmI5YmU4ZjJlZDIwZTQxZmEifQ==</vt:lpwstr>
  </property>
</Properties>
</file>