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jc w:val="left"/>
        <w:textAlignment w:val="auto"/>
        <w:outlineLvl w:val="9"/>
        <w:rPr>
          <w:rFonts w:hint="eastAsia" w:ascii="仿宋_GB2312" w:eastAsia="仿宋_GB2312"/>
          <w:color w:val="auto"/>
          <w:sz w:val="28"/>
          <w:szCs w:val="28"/>
          <w:lang w:eastAsia="zh-CN"/>
        </w:rPr>
      </w:pPr>
      <w:r>
        <w:rPr>
          <w:rFonts w:hint="eastAsia" w:ascii="仿宋_GB2312" w:eastAsia="仿宋_GB2312"/>
          <w:color w:val="auto"/>
          <w:sz w:val="28"/>
          <w:szCs w:val="28"/>
        </w:rPr>
        <w:t>（一）</w:t>
      </w:r>
      <w:r>
        <w:rPr>
          <w:rFonts w:hint="eastAsia" w:ascii="仿宋_GB2312" w:eastAsia="仿宋_GB2312"/>
          <w:color w:val="auto"/>
          <w:sz w:val="28"/>
          <w:szCs w:val="28"/>
          <w:lang w:eastAsia="zh-CN"/>
        </w:rPr>
        <w:t>本单位职责</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jc w:val="left"/>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1.</w:t>
      </w:r>
      <w:r>
        <w:rPr>
          <w:rFonts w:hint="eastAsia" w:ascii="仿宋_GB2312" w:eastAsia="仿宋_GB2312"/>
          <w:color w:val="auto"/>
          <w:sz w:val="28"/>
          <w:szCs w:val="28"/>
        </w:rPr>
        <w:t>贯彻落实国家、市文化和旅游工作法律法规、规章和政策，依法监督检查执行情况。</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jc w:val="left"/>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2.</w:t>
      </w:r>
      <w:r>
        <w:rPr>
          <w:rFonts w:hint="eastAsia" w:ascii="仿宋_GB2312" w:eastAsia="仿宋_GB2312"/>
          <w:color w:val="auto"/>
          <w:sz w:val="28"/>
          <w:szCs w:val="28"/>
        </w:rPr>
        <w:t>统筹规划本区文化事业和旅游业发展，拟订发展规划并组织实施。协调、促进文化产业相关部门类和旅游产业及新型业态发展。推进文化和旅游融合发展，推进文化和旅游体制机制改革。</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管理本区重大文化活动，指导重点及基层文化设施建设和旅游设施建设，参与国家、市旅游整体形象的对外宣传和重大推广活动，组织本区旅游对外宣传和推广活动，促进文化和旅游业对外合作和市场推广，负责制定本区旅游市场开发战略并组织实施，推进全域旅游。</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4.</w:t>
      </w:r>
      <w:r>
        <w:rPr>
          <w:rFonts w:hint="eastAsia" w:ascii="仿宋_GB2312" w:eastAsia="仿宋_GB2312"/>
          <w:color w:val="auto"/>
          <w:sz w:val="28"/>
          <w:szCs w:val="28"/>
        </w:rPr>
        <w:t>指导、管理本区文艺事业，指导艺术创作与生产，扶持体现社会主义核心价值观、具有导向性代表性示范性的文艺作品，推动各门类艺术、各艺术品种发展。</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5.</w:t>
      </w:r>
      <w:r>
        <w:rPr>
          <w:rFonts w:hint="eastAsia" w:ascii="仿宋_GB2312" w:eastAsia="仿宋_GB2312"/>
          <w:color w:val="auto"/>
          <w:sz w:val="28"/>
          <w:szCs w:val="28"/>
        </w:rPr>
        <w:t>负责本区公共文化事业发展，推进公共文化服务体系建设和旅游公共服务体系建设，深入实施文化和旅游惠民工程，统筹推进基本公共文化和旅游服务标准化、均等化。</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6.</w:t>
      </w:r>
      <w:r>
        <w:rPr>
          <w:rFonts w:hint="eastAsia" w:ascii="仿宋_GB2312" w:eastAsia="仿宋_GB2312"/>
          <w:color w:val="auto"/>
          <w:sz w:val="28"/>
          <w:szCs w:val="28"/>
        </w:rPr>
        <w:t>指导、推进本区文化和旅游科技创新发展，推进文化和旅游业信息化、标准化建设。</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7.</w:t>
      </w:r>
      <w:r>
        <w:rPr>
          <w:rFonts w:hint="eastAsia" w:ascii="仿宋_GB2312" w:eastAsia="仿宋_GB2312"/>
          <w:color w:val="auto"/>
          <w:sz w:val="28"/>
          <w:szCs w:val="28"/>
        </w:rPr>
        <w:t>负责本区非物质文化遗产保护、保存，推动非物质文化遗产的保护、传承、传播和发展。</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8.</w:t>
      </w:r>
      <w:r>
        <w:rPr>
          <w:rFonts w:hint="eastAsia" w:ascii="仿宋_GB2312" w:eastAsia="仿宋_GB2312"/>
          <w:color w:val="auto"/>
          <w:sz w:val="28"/>
          <w:szCs w:val="28"/>
        </w:rPr>
        <w:t>负责制定文物和博物馆事业发展规划并组织实施。负责本区文物保护管理、安全监管、实施保护工程。</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9.</w:t>
      </w:r>
      <w:r>
        <w:rPr>
          <w:rFonts w:hint="eastAsia" w:ascii="仿宋_GB2312" w:eastAsia="仿宋_GB2312"/>
          <w:color w:val="auto"/>
          <w:sz w:val="28"/>
          <w:szCs w:val="28"/>
        </w:rPr>
        <w:t>统筹组织实施文化和旅游资源普查、挖掘、保护和利用工作，促进文化事业、文化产业和旅游业发展。</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10.</w:t>
      </w:r>
      <w:r>
        <w:rPr>
          <w:rFonts w:hint="eastAsia" w:ascii="仿宋_GB2312" w:eastAsia="仿宋_GB2312"/>
          <w:color w:val="auto"/>
          <w:sz w:val="28"/>
          <w:szCs w:val="28"/>
        </w:rPr>
        <w:t>指导、协调本区群众文化工作，管理社会文化事业，依据相关法规、政策管理群众文化活动的开展。</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11.</w:t>
      </w:r>
      <w:r>
        <w:rPr>
          <w:rFonts w:hint="eastAsia" w:ascii="仿宋_GB2312" w:eastAsia="仿宋_GB2312"/>
          <w:color w:val="auto"/>
          <w:sz w:val="28"/>
          <w:szCs w:val="28"/>
        </w:rPr>
        <w:t>负责本区文化和旅游行业安全工作的协调和监督。组织实施文化和旅游安全宣传教育工作。协调文化和旅游重大安全突发事件应急处置工作。</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12.</w:t>
      </w:r>
      <w:r>
        <w:rPr>
          <w:rFonts w:hint="eastAsia" w:ascii="仿宋_GB2312" w:eastAsia="仿宋_GB2312"/>
          <w:color w:val="auto"/>
          <w:sz w:val="28"/>
          <w:szCs w:val="28"/>
        </w:rPr>
        <w:t>指导促进本区文化和旅游市场发展，负责对文化和旅游市场经营进行行业监管，推进文化和旅游业信用体系建设，依法规范文化和旅游市场。</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13.</w:t>
      </w:r>
      <w:r>
        <w:rPr>
          <w:rFonts w:hint="eastAsia" w:ascii="仿宋_GB2312" w:eastAsia="仿宋_GB2312"/>
          <w:color w:val="auto"/>
          <w:sz w:val="28"/>
          <w:szCs w:val="28"/>
        </w:rPr>
        <w:t>配合区委宣传部门指导本区文化市场综合执法，组织查处文化、文物、出版、广播电视、电影、旅游等市场的违法违规行为，维护市场秩序。</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14.</w:t>
      </w:r>
      <w:r>
        <w:rPr>
          <w:rFonts w:hint="eastAsia" w:ascii="仿宋_GB2312" w:eastAsia="仿宋_GB2312"/>
          <w:color w:val="auto"/>
          <w:sz w:val="28"/>
          <w:szCs w:val="28"/>
        </w:rPr>
        <w:t>指导、管理本区文化和旅游区域合作,对外及对港澳台交流、宣传、推广工作，负责组织文化和旅游对外及对港澳台交流合作。</w:t>
      </w:r>
    </w:p>
    <w:p>
      <w:pPr>
        <w:keepNext w:val="0"/>
        <w:keepLines w:val="0"/>
        <w:pageBreakBefore w:val="0"/>
        <w:widowControl w:val="0"/>
        <w:kinsoku/>
        <w:wordWrap/>
        <w:overflowPunct/>
        <w:topLinePunct w:val="0"/>
        <w:autoSpaceDE/>
        <w:autoSpaceDN/>
        <w:bidi w:val="0"/>
        <w:adjustRightInd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eastAsia="仿宋_GB2312"/>
          <w:color w:val="auto"/>
          <w:sz w:val="28"/>
          <w:szCs w:val="28"/>
          <w:lang w:val="en-US" w:eastAsia="zh-CN"/>
        </w:rPr>
        <w:t>15.</w:t>
      </w:r>
      <w:r>
        <w:rPr>
          <w:rFonts w:hint="eastAsia" w:ascii="仿宋_GB2312" w:eastAsia="仿宋_GB2312"/>
          <w:color w:val="auto"/>
          <w:sz w:val="28"/>
          <w:szCs w:val="28"/>
        </w:rPr>
        <w:t>完成区委、区政府交办的其他任务。</w:t>
      </w:r>
    </w:p>
    <w:p>
      <w:pPr>
        <w:keepNext w:val="0"/>
        <w:keepLines w:val="0"/>
        <w:pageBreakBefore w:val="0"/>
        <w:widowControl w:val="0"/>
        <w:kinsoku/>
        <w:wordWrap/>
        <w:overflowPunct/>
        <w:topLinePunct w:val="0"/>
        <w:autoSpaceDE/>
        <w:autoSpaceDN/>
        <w:bidi w:val="0"/>
        <w:snapToGrid/>
        <w:spacing w:line="560" w:lineRule="exact"/>
        <w:ind w:left="0" w:leftChars="0" w:right="0" w:rightChars="0" w:firstLine="560" w:firstLineChars="200"/>
        <w:textAlignment w:val="auto"/>
        <w:outlineLvl w:val="9"/>
        <w:rPr>
          <w:rFonts w:hint="eastAsia" w:ascii="仿宋_GB2312" w:eastAsia="仿宋_GB2312"/>
          <w:color w:val="auto"/>
          <w:sz w:val="28"/>
          <w:szCs w:val="28"/>
        </w:rPr>
      </w:pPr>
      <w:r>
        <w:rPr>
          <w:rFonts w:hint="eastAsia" w:ascii="仿宋_GB2312" w:hAnsi="Cambria" w:eastAsia="仿宋_GB2312" w:cs="Times New Roman"/>
          <w:b w:val="0"/>
          <w:bCs w:val="0"/>
          <w:kern w:val="0"/>
          <w:sz w:val="28"/>
          <w:szCs w:val="28"/>
          <w:lang w:val="en-US" w:eastAsia="zh-CN" w:bidi="ar-SA"/>
        </w:rPr>
        <w:t>（二）机构设置情况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560" w:firstLineChars="200"/>
        <w:textAlignment w:val="auto"/>
        <w:outlineLvl w:val="9"/>
        <w:rPr>
          <w:rFonts w:hint="eastAsia" w:ascii="仿宋_GB2312" w:hAnsi="Tahoma" w:eastAsia="宋体" w:cs="Tahoma"/>
          <w:b w:val="0"/>
          <w:bCs w:val="0"/>
          <w:color w:val="auto"/>
          <w:sz w:val="28"/>
          <w:szCs w:val="28"/>
          <w:highlight w:val="none"/>
          <w:lang w:eastAsia="zh-CN"/>
        </w:rPr>
      </w:pPr>
      <w:r>
        <w:rPr>
          <w:rFonts w:hint="eastAsia" w:ascii="仿宋_GB2312" w:hAnsi="Tahoma" w:eastAsia="仿宋_GB2312" w:cs="Tahoma"/>
          <w:color w:val="auto"/>
          <w:sz w:val="28"/>
          <w:szCs w:val="28"/>
        </w:rPr>
        <w:t>大兴区文化和旅游局（以下简称文旅局）202</w:t>
      </w:r>
      <w:r>
        <w:rPr>
          <w:rFonts w:hint="eastAsia" w:ascii="仿宋_GB2312" w:hAnsi="Tahoma" w:eastAsia="仿宋_GB2312" w:cs="Tahoma"/>
          <w:color w:val="auto"/>
          <w:sz w:val="28"/>
          <w:szCs w:val="28"/>
          <w:lang w:val="en-US" w:eastAsia="zh-CN"/>
        </w:rPr>
        <w:t>4</w:t>
      </w:r>
      <w:r>
        <w:rPr>
          <w:rFonts w:hint="eastAsia" w:ascii="仿宋_GB2312" w:hAnsi="Tahoma" w:eastAsia="仿宋_GB2312" w:cs="Tahoma"/>
          <w:color w:val="auto"/>
          <w:sz w:val="28"/>
          <w:szCs w:val="28"/>
        </w:rPr>
        <w:t>年</w:t>
      </w:r>
      <w:r>
        <w:rPr>
          <w:rFonts w:hint="eastAsia" w:ascii="仿宋_GB2312" w:hAnsi="Tahoma" w:eastAsia="仿宋_GB2312" w:cs="Tahoma"/>
          <w:color w:val="auto"/>
          <w:sz w:val="28"/>
          <w:szCs w:val="28"/>
          <w:lang w:eastAsia="zh-CN"/>
        </w:rPr>
        <w:t>决算</w:t>
      </w:r>
      <w:r>
        <w:rPr>
          <w:rFonts w:hint="eastAsia" w:ascii="仿宋_GB2312" w:hAnsi="Tahoma" w:eastAsia="仿宋_GB2312" w:cs="Tahoma"/>
          <w:color w:val="auto"/>
          <w:sz w:val="28"/>
          <w:szCs w:val="28"/>
        </w:rPr>
        <w:t>包含</w:t>
      </w:r>
      <w:r>
        <w:rPr>
          <w:rFonts w:hint="eastAsia" w:ascii="仿宋_GB2312" w:hAnsi="Tahoma" w:eastAsia="仿宋_GB2312" w:cs="Tahoma"/>
          <w:color w:val="auto"/>
          <w:sz w:val="28"/>
          <w:szCs w:val="28"/>
          <w:lang w:eastAsia="zh-CN"/>
        </w:rPr>
        <w:t>文旅局</w:t>
      </w:r>
      <w:r>
        <w:rPr>
          <w:rFonts w:hint="eastAsia" w:ascii="仿宋_GB2312" w:hAnsi="Tahoma" w:eastAsia="仿宋_GB2312" w:cs="Tahoma"/>
          <w:color w:val="auto"/>
          <w:sz w:val="28"/>
          <w:szCs w:val="28"/>
        </w:rPr>
        <w:t>本级（行政单位）及下属</w:t>
      </w:r>
      <w:r>
        <w:rPr>
          <w:rFonts w:hint="eastAsia" w:ascii="仿宋_GB2312" w:hAnsi="Tahoma" w:eastAsia="仿宋_GB2312" w:cs="Tahoma"/>
          <w:color w:val="auto"/>
          <w:sz w:val="28"/>
          <w:szCs w:val="28"/>
          <w:lang w:eastAsia="zh-CN"/>
        </w:rPr>
        <w:t>非独立核算事业单位</w:t>
      </w:r>
      <w:r>
        <w:rPr>
          <w:rFonts w:hint="eastAsia" w:ascii="仿宋_GB2312" w:hAnsi="Tahoma" w:eastAsia="仿宋_GB2312" w:cs="Tahoma"/>
          <w:color w:val="auto"/>
          <w:sz w:val="28"/>
          <w:szCs w:val="28"/>
          <w:lang w:val="en-US" w:eastAsia="zh-CN"/>
        </w:rPr>
        <w:t>2家，分别为北京市大兴区文化旅游安全管理服务中心、北京市大兴区文化旅游发展服务中心。</w:t>
      </w:r>
      <w:r>
        <w:rPr>
          <w:rFonts w:hint="eastAsia" w:ascii="仿宋_GB2312" w:hAnsi="Tahoma" w:eastAsia="仿宋_GB2312" w:cs="Tahoma"/>
          <w:color w:val="auto"/>
          <w:sz w:val="28"/>
          <w:szCs w:val="28"/>
        </w:rPr>
        <w:t>文旅局本级设置为四科一室一队，即综合办公室（内部审计科）、公共文化科、规划发展科（文物管理科）、产业发展科、市场管理科（安全生产科）、文化市场综合执法大队。</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6260.8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27831.29</w:t>
      </w:r>
      <w:r>
        <w:rPr>
          <w:rFonts w:hint="eastAsia" w:ascii="仿宋_GB2312" w:eastAsia="仿宋_GB2312"/>
          <w:sz w:val="28"/>
          <w:szCs w:val="28"/>
        </w:rPr>
        <w:t>万元，下降</w:t>
      </w:r>
      <w:r>
        <w:rPr>
          <w:rFonts w:hint="eastAsia" w:ascii="仿宋_GB2312" w:eastAsia="仿宋_GB2312"/>
          <w:sz w:val="28"/>
          <w:szCs w:val="28"/>
          <w:lang w:val="en-US" w:eastAsia="zh-CN"/>
        </w:rPr>
        <w:t>81.64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6074.36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28017.73</w:t>
      </w:r>
      <w:r>
        <w:rPr>
          <w:rFonts w:hint="eastAsia" w:ascii="仿宋_GB2312" w:eastAsia="仿宋_GB2312"/>
          <w:sz w:val="28"/>
          <w:szCs w:val="28"/>
        </w:rPr>
        <w:t>万</w:t>
      </w:r>
      <w:r>
        <w:rPr>
          <w:rFonts w:hint="eastAsia" w:ascii="仿宋_GB2312" w:eastAsia="仿宋_GB2312"/>
          <w:color w:val="auto"/>
          <w:sz w:val="28"/>
          <w:szCs w:val="28"/>
        </w:rPr>
        <w:t>元，下降</w:t>
      </w:r>
      <w:r>
        <w:rPr>
          <w:rFonts w:hint="eastAsia" w:ascii="仿宋_GB2312" w:eastAsia="仿宋_GB2312"/>
          <w:color w:val="auto"/>
          <w:sz w:val="28"/>
          <w:szCs w:val="28"/>
          <w:lang w:val="en-US" w:eastAsia="zh-CN"/>
        </w:rPr>
        <w:t>82.18</w:t>
      </w:r>
      <w:r>
        <w:rPr>
          <w:rFonts w:hint="eastAsia" w:ascii="仿宋_GB2312" w:eastAsia="仿宋_GB2312"/>
          <w:color w:val="auto"/>
          <w:sz w:val="28"/>
          <w:szCs w:val="28"/>
        </w:rPr>
        <w:t>%</w:t>
      </w:r>
      <w:r>
        <w:rPr>
          <w:rFonts w:hint="eastAsia" w:ascii="仿宋_GB2312" w:eastAsia="仿宋_GB2312"/>
          <w:color w:val="auto"/>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6074.36</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5994.17</w:t>
      </w:r>
      <w:r>
        <w:rPr>
          <w:rFonts w:hint="eastAsia" w:ascii="仿宋_GB2312" w:eastAsia="仿宋_GB2312"/>
          <w:sz w:val="28"/>
          <w:szCs w:val="28"/>
        </w:rPr>
        <w:t>万元，占收入合计的</w:t>
      </w:r>
      <w:r>
        <w:rPr>
          <w:rFonts w:hint="eastAsia" w:ascii="仿宋_GB2312" w:eastAsia="仿宋_GB2312"/>
          <w:sz w:val="28"/>
          <w:szCs w:val="28"/>
          <w:lang w:val="en-US" w:eastAsia="zh-CN"/>
        </w:rPr>
        <w:t>98.73</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80.19</w:t>
      </w:r>
      <w:r>
        <w:rPr>
          <w:rFonts w:hint="eastAsia" w:ascii="仿宋_GB2312" w:eastAsia="仿宋_GB2312"/>
          <w:sz w:val="28"/>
          <w:szCs w:val="28"/>
        </w:rPr>
        <w:t>万元，占收入合计的</w:t>
      </w:r>
      <w:r>
        <w:rPr>
          <w:rFonts w:hint="eastAsia" w:ascii="仿宋_GB2312" w:eastAsia="仿宋_GB2312"/>
          <w:sz w:val="28"/>
          <w:szCs w:val="28"/>
          <w:lang w:val="en-US" w:eastAsia="zh-CN"/>
        </w:rPr>
        <w:t>1.27</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6260.8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27831.29</w:t>
      </w:r>
      <w:r>
        <w:rPr>
          <w:rFonts w:hint="eastAsia" w:ascii="仿宋_GB2312" w:eastAsia="仿宋_GB2312"/>
          <w:sz w:val="28"/>
          <w:szCs w:val="28"/>
        </w:rPr>
        <w:t>万元，</w:t>
      </w:r>
      <w:r>
        <w:rPr>
          <w:rFonts w:hint="eastAsia" w:ascii="仿宋_GB2312" w:eastAsia="仿宋_GB2312"/>
          <w:color w:val="auto"/>
          <w:sz w:val="28"/>
          <w:szCs w:val="28"/>
        </w:rPr>
        <w:t>下降</w:t>
      </w:r>
      <w:r>
        <w:rPr>
          <w:rFonts w:hint="eastAsia" w:ascii="仿宋_GB2312" w:eastAsia="仿宋_GB2312"/>
          <w:color w:val="auto"/>
          <w:sz w:val="28"/>
          <w:szCs w:val="28"/>
          <w:lang w:val="en-US" w:eastAsia="zh-CN"/>
        </w:rPr>
        <w:t>81.64</w:t>
      </w:r>
      <w:r>
        <w:rPr>
          <w:rFonts w:hint="eastAsia" w:ascii="仿宋_GB2312" w:eastAsia="仿宋_GB2312"/>
          <w:color w:val="auto"/>
          <w:sz w:val="28"/>
          <w:szCs w:val="28"/>
        </w:rPr>
        <w:t>%，</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2322.56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37.1</w:t>
      </w:r>
      <w:r>
        <w:rPr>
          <w:rFonts w:hint="eastAsia" w:ascii="仿宋_GB2312" w:eastAsia="仿宋_GB2312"/>
          <w:sz w:val="28"/>
          <w:szCs w:val="28"/>
          <w:highlight w:val="none"/>
        </w:rPr>
        <w:t>%；项目支出</w:t>
      </w:r>
      <w:r>
        <w:rPr>
          <w:rFonts w:ascii="仿宋_GB2312" w:eastAsia="仿宋_GB2312"/>
          <w:sz w:val="28"/>
          <w:szCs w:val="28"/>
          <w:highlight w:val="none"/>
        </w:rPr>
        <w:t>3938.25</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62.9</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6260.8</w:t>
      </w:r>
      <w:r>
        <w:rPr>
          <w:rFonts w:hint="eastAsia" w:ascii="仿宋_GB2312" w:eastAsia="仿宋_GB2312"/>
          <w:sz w:val="28"/>
          <w:szCs w:val="28"/>
        </w:rPr>
        <w:t>万元，比上年减少</w:t>
      </w:r>
      <w:r>
        <w:rPr>
          <w:rFonts w:hint="eastAsia" w:ascii="仿宋_GB2312" w:eastAsia="仿宋_GB2312"/>
          <w:sz w:val="28"/>
          <w:szCs w:val="28"/>
          <w:lang w:val="en-US" w:eastAsia="zh-CN"/>
        </w:rPr>
        <w:t>27831.29</w:t>
      </w:r>
      <w:r>
        <w:rPr>
          <w:rFonts w:hint="eastAsia" w:ascii="仿宋_GB2312" w:eastAsia="仿宋_GB2312"/>
          <w:sz w:val="28"/>
          <w:szCs w:val="28"/>
        </w:rPr>
        <w:t>万元，</w:t>
      </w:r>
      <w:r>
        <w:rPr>
          <w:rFonts w:hint="eastAsia" w:ascii="仿宋_GB2312" w:eastAsia="仿宋_GB2312"/>
          <w:color w:val="auto"/>
          <w:sz w:val="28"/>
          <w:szCs w:val="28"/>
        </w:rPr>
        <w:t>下降</w:t>
      </w:r>
      <w:r>
        <w:rPr>
          <w:rFonts w:hint="eastAsia" w:ascii="仿宋_GB2312" w:eastAsia="仿宋_GB2312"/>
          <w:color w:val="auto"/>
          <w:sz w:val="28"/>
          <w:szCs w:val="28"/>
          <w:lang w:val="en-US" w:eastAsia="zh-CN"/>
        </w:rPr>
        <w:t>81.64</w:t>
      </w:r>
      <w:r>
        <w:rPr>
          <w:rFonts w:hint="eastAsia" w:ascii="仿宋_GB2312" w:eastAsia="仿宋_GB2312"/>
          <w:color w:val="auto"/>
          <w:sz w:val="28"/>
          <w:szCs w:val="28"/>
        </w:rPr>
        <w:t>%。</w:t>
      </w:r>
      <w:r>
        <w:rPr>
          <w:rFonts w:hint="eastAsia" w:ascii="仿宋_GB2312" w:eastAsia="仿宋_GB2312"/>
          <w:sz w:val="28"/>
          <w:szCs w:val="28"/>
        </w:rPr>
        <w:t>主要原因：</w:t>
      </w:r>
      <w:r>
        <w:rPr>
          <w:rFonts w:hint="eastAsia" w:ascii="仿宋_GB2312" w:eastAsia="仿宋_GB2312"/>
          <w:sz w:val="28"/>
          <w:szCs w:val="28"/>
          <w:lang w:eastAsia="zh-CN"/>
        </w:rPr>
        <w:t>公共卫生资金减少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pageBreakBefore w:val="0"/>
        <w:widowControl w:val="0"/>
        <w:tabs>
          <w:tab w:val="center" w:pos="6979"/>
        </w:tabs>
        <w:kinsoku/>
        <w:wordWrap/>
        <w:overflowPunct/>
        <w:topLinePunct w:val="0"/>
        <w:bidi w:val="0"/>
        <w:snapToGrid/>
        <w:spacing w:line="580" w:lineRule="exact"/>
        <w:ind w:left="0" w:leftChars="0" w:right="0" w:rightChars="0"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6180.62</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color w:val="auto"/>
          <w:sz w:val="28"/>
          <w:szCs w:val="28"/>
        </w:rPr>
        <w:t>文化旅游体育与传媒支出</w:t>
      </w:r>
      <w:r>
        <w:rPr>
          <w:rFonts w:hint="eastAsia" w:ascii="仿宋_GB2312" w:eastAsia="仿宋_GB2312"/>
          <w:color w:val="auto"/>
          <w:sz w:val="28"/>
          <w:szCs w:val="28"/>
          <w:lang w:val="en-US" w:eastAsia="zh-CN"/>
        </w:rPr>
        <w:t>5524.39</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89.38</w:t>
      </w:r>
      <w:r>
        <w:rPr>
          <w:rFonts w:hint="eastAsia" w:ascii="仿宋_GB2312" w:eastAsia="仿宋_GB2312"/>
          <w:color w:val="auto"/>
          <w:sz w:val="28"/>
          <w:szCs w:val="28"/>
        </w:rPr>
        <w:t>%；社会保障和就业支出</w:t>
      </w:r>
      <w:r>
        <w:rPr>
          <w:rFonts w:hint="eastAsia" w:ascii="仿宋_GB2312" w:eastAsia="仿宋_GB2312"/>
          <w:color w:val="auto"/>
          <w:sz w:val="28"/>
          <w:szCs w:val="28"/>
          <w:lang w:val="en-US" w:eastAsia="zh-CN"/>
        </w:rPr>
        <w:t>285.38</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4.62</w:t>
      </w:r>
      <w:r>
        <w:rPr>
          <w:rFonts w:hint="eastAsia" w:ascii="仿宋_GB2312" w:eastAsia="仿宋_GB2312"/>
          <w:color w:val="auto"/>
          <w:sz w:val="28"/>
          <w:szCs w:val="28"/>
        </w:rPr>
        <w:t>%；卫生健康支出</w:t>
      </w:r>
      <w:r>
        <w:rPr>
          <w:rFonts w:hint="eastAsia" w:ascii="仿宋_GB2312" w:eastAsia="仿宋_GB2312"/>
          <w:color w:val="auto"/>
          <w:sz w:val="28"/>
          <w:szCs w:val="28"/>
          <w:lang w:val="en-US" w:eastAsia="zh-CN"/>
        </w:rPr>
        <w:t>184.40</w:t>
      </w:r>
      <w:r>
        <w:rPr>
          <w:rFonts w:hint="eastAsia" w:ascii="仿宋_GB2312" w:eastAsia="仿宋_GB2312"/>
          <w:color w:val="auto"/>
          <w:sz w:val="28"/>
          <w:szCs w:val="28"/>
        </w:rPr>
        <w:t>万元，占本年财政拨款支出</w:t>
      </w:r>
      <w:r>
        <w:rPr>
          <w:rFonts w:hint="eastAsia" w:ascii="仿宋_GB2312" w:eastAsia="仿宋_GB2312"/>
          <w:color w:val="auto"/>
          <w:sz w:val="28"/>
          <w:szCs w:val="28"/>
          <w:lang w:val="en-US" w:eastAsia="zh-CN"/>
        </w:rPr>
        <w:t>2.98</w:t>
      </w:r>
      <w:r>
        <w:rPr>
          <w:rFonts w:hint="eastAsia" w:ascii="仿宋_GB2312" w:eastAsia="仿宋_GB2312"/>
          <w:color w:val="auto"/>
          <w:sz w:val="28"/>
          <w:szCs w:val="28"/>
        </w:rPr>
        <w:t>%；</w:t>
      </w:r>
      <w:r>
        <w:rPr>
          <w:rFonts w:hint="eastAsia" w:ascii="仿宋_GB2312" w:eastAsia="仿宋_GB2312"/>
          <w:color w:val="auto"/>
          <w:sz w:val="28"/>
          <w:szCs w:val="28"/>
          <w:lang w:eastAsia="zh-CN"/>
        </w:rPr>
        <w:t>住房保障支出</w:t>
      </w:r>
      <w:r>
        <w:rPr>
          <w:rFonts w:hint="eastAsia" w:ascii="仿宋_GB2312" w:eastAsia="仿宋_GB2312"/>
          <w:color w:val="auto"/>
          <w:sz w:val="28"/>
          <w:szCs w:val="28"/>
          <w:lang w:val="en-US" w:eastAsia="zh-CN"/>
        </w:rPr>
        <w:t>186.45万元，</w:t>
      </w:r>
      <w:r>
        <w:rPr>
          <w:rFonts w:hint="eastAsia" w:ascii="仿宋_GB2312" w:eastAsia="仿宋_GB2312"/>
          <w:color w:val="auto"/>
          <w:sz w:val="28"/>
          <w:szCs w:val="28"/>
        </w:rPr>
        <w:t>占本年财政拨款支出</w:t>
      </w:r>
      <w:r>
        <w:rPr>
          <w:rFonts w:hint="eastAsia" w:ascii="仿宋_GB2312" w:eastAsia="仿宋_GB2312"/>
          <w:color w:val="auto"/>
          <w:sz w:val="28"/>
          <w:szCs w:val="28"/>
          <w:lang w:val="en-US" w:eastAsia="zh-CN"/>
        </w:rPr>
        <w:t>3.02</w:t>
      </w:r>
      <w:r>
        <w:rPr>
          <w:rFonts w:hint="eastAsia" w:ascii="仿宋_GB2312" w:eastAsia="仿宋_GB2312"/>
          <w:color w:val="auto"/>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一般公共预算财政拨款支出决算具体情况</w:t>
      </w:r>
    </w:p>
    <w:p>
      <w:pPr>
        <w:pageBreakBefore w:val="0"/>
        <w:widowControl w:val="0"/>
        <w:kinsoku/>
        <w:wordWrap/>
        <w:overflowPunct/>
        <w:topLinePunct w:val="0"/>
        <w:autoSpaceDE w:val="0"/>
        <w:autoSpaceDN w:val="0"/>
        <w:bidi w:val="0"/>
        <w:adjustRightInd w:val="0"/>
        <w:snapToGrid/>
        <w:spacing w:line="580" w:lineRule="exact"/>
        <w:ind w:left="0" w:leftChars="0" w:right="0" w:rightChars="0" w:firstLine="560" w:firstLineChars="200"/>
        <w:jc w:val="left"/>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1、“</w:t>
      </w:r>
      <w:r>
        <w:rPr>
          <w:rFonts w:hint="eastAsia" w:ascii="仿宋_GB2312" w:eastAsia="仿宋_GB2312"/>
          <w:color w:val="auto"/>
          <w:sz w:val="28"/>
          <w:szCs w:val="28"/>
          <w:highlight w:val="none"/>
          <w:lang w:val="en-US" w:eastAsia="zh-CN"/>
        </w:rPr>
        <w:t>207</w:t>
      </w:r>
      <w:r>
        <w:rPr>
          <w:rFonts w:hint="eastAsia" w:ascii="仿宋_GB2312" w:eastAsia="仿宋_GB2312"/>
          <w:color w:val="auto"/>
          <w:sz w:val="28"/>
          <w:szCs w:val="28"/>
          <w:highlight w:val="none"/>
        </w:rPr>
        <w:t>文化旅游体育与传媒支出”（类）202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lang w:eastAsia="zh-CN"/>
        </w:rPr>
        <w:t>度年初预算</w:t>
      </w:r>
      <w:r>
        <w:rPr>
          <w:rFonts w:hint="eastAsia" w:ascii="仿宋_GB2312" w:eastAsia="仿宋_GB2312"/>
          <w:color w:val="auto"/>
          <w:sz w:val="28"/>
          <w:szCs w:val="28"/>
          <w:highlight w:val="none"/>
          <w:lang w:val="en-US" w:eastAsia="zh-CN"/>
        </w:rPr>
        <w:t xml:space="preserve"> 5485.78</w:t>
      </w:r>
      <w:r>
        <w:rPr>
          <w:rFonts w:hint="eastAsia" w:ascii="仿宋_GB2312" w:eastAsia="仿宋_GB2312"/>
          <w:color w:val="auto"/>
          <w:sz w:val="28"/>
          <w:szCs w:val="28"/>
          <w:highlight w:val="none"/>
        </w:rPr>
        <w:t>万元，</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w:t>
      </w:r>
      <w:r>
        <w:rPr>
          <w:rFonts w:hint="eastAsia" w:ascii="仿宋_GB2312" w:eastAsia="仿宋_GB2312"/>
          <w:color w:val="auto"/>
          <w:sz w:val="28"/>
          <w:szCs w:val="28"/>
          <w:highlight w:val="none"/>
          <w:lang w:val="en-US" w:eastAsia="zh-CN"/>
        </w:rPr>
        <w:t>5524.39</w:t>
      </w:r>
      <w:r>
        <w:rPr>
          <w:rFonts w:hint="eastAsia" w:ascii="仿宋_GB2312" w:eastAsia="仿宋_GB2312"/>
          <w:color w:val="auto"/>
          <w:sz w:val="28"/>
          <w:szCs w:val="28"/>
        </w:rPr>
        <w:t>万元</w:t>
      </w:r>
      <w:r>
        <w:rPr>
          <w:rFonts w:hint="eastAsia" w:ascii="仿宋_GB2312" w:eastAsia="仿宋_GB2312"/>
          <w:color w:val="auto"/>
          <w:sz w:val="28"/>
          <w:szCs w:val="28"/>
          <w:highlight w:val="none"/>
        </w:rPr>
        <w:t>，</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100.7</w:t>
      </w:r>
      <w:r>
        <w:rPr>
          <w:rFonts w:hint="eastAsia" w:ascii="仿宋_GB2312" w:eastAsia="仿宋_GB2312"/>
          <w:color w:val="auto"/>
          <w:sz w:val="28"/>
          <w:szCs w:val="28"/>
        </w:rPr>
        <w:t>%</w:t>
      </w:r>
      <w:r>
        <w:rPr>
          <w:rFonts w:hint="eastAsia" w:ascii="仿宋_GB2312" w:eastAsia="仿宋_GB2312"/>
          <w:color w:val="auto"/>
          <w:sz w:val="28"/>
          <w:szCs w:val="28"/>
          <w:highlight w:val="none"/>
        </w:rPr>
        <w:t>。其中：</w:t>
      </w:r>
    </w:p>
    <w:p>
      <w:pPr>
        <w:pageBreakBefore w:val="0"/>
        <w:widowControl w:val="0"/>
        <w:kinsoku/>
        <w:wordWrap/>
        <w:overflowPunct/>
        <w:topLinePunct w:val="0"/>
        <w:bidi w:val="0"/>
        <w:snapToGrid/>
        <w:spacing w:line="580" w:lineRule="exact"/>
        <w:ind w:left="0" w:leftChars="0" w:right="0" w:rightChars="0" w:firstLine="560" w:firstLineChars="200"/>
        <w:textAlignment w:val="auto"/>
        <w:rPr>
          <w:rFonts w:hint="eastAsia" w:ascii="仿宋_GB2312" w:eastAsia="仿宋_GB2312"/>
          <w:color w:val="auto"/>
          <w:sz w:val="28"/>
          <w:szCs w:val="28"/>
          <w:highlight w:val="none"/>
        </w:rPr>
      </w:pPr>
      <w:r>
        <w:rPr>
          <w:rFonts w:hint="eastAsia" w:ascii="仿宋_GB2312" w:eastAsia="仿宋_GB2312"/>
          <w:color w:val="auto"/>
          <w:sz w:val="28"/>
          <w:szCs w:val="28"/>
          <w:highlight w:val="none"/>
        </w:rPr>
        <w:t>“20</w:t>
      </w:r>
      <w:r>
        <w:rPr>
          <w:rFonts w:hint="eastAsia" w:ascii="仿宋_GB2312" w:eastAsia="仿宋_GB2312"/>
          <w:color w:val="auto"/>
          <w:sz w:val="28"/>
          <w:szCs w:val="28"/>
          <w:highlight w:val="none"/>
          <w:lang w:val="en-US" w:eastAsia="zh-CN"/>
        </w:rPr>
        <w:t>7</w:t>
      </w:r>
      <w:r>
        <w:rPr>
          <w:rFonts w:hint="eastAsia" w:ascii="仿宋_GB2312" w:eastAsia="仿宋_GB2312"/>
          <w:color w:val="auto"/>
          <w:sz w:val="28"/>
          <w:szCs w:val="28"/>
          <w:highlight w:val="none"/>
        </w:rPr>
        <w:t>01文化和旅游”（款，下同）202</w:t>
      </w:r>
      <w:r>
        <w:rPr>
          <w:rFonts w:hint="eastAsia" w:ascii="仿宋_GB2312" w:eastAsia="仿宋_GB2312"/>
          <w:color w:val="auto"/>
          <w:sz w:val="28"/>
          <w:szCs w:val="28"/>
          <w:highlight w:val="none"/>
          <w:lang w:val="en-US" w:eastAsia="zh-CN"/>
        </w:rPr>
        <w:t>4</w:t>
      </w:r>
      <w:r>
        <w:rPr>
          <w:rFonts w:hint="eastAsia" w:ascii="仿宋_GB2312" w:eastAsia="仿宋_GB2312"/>
          <w:color w:val="auto"/>
          <w:sz w:val="28"/>
          <w:szCs w:val="28"/>
          <w:highlight w:val="none"/>
        </w:rPr>
        <w:t>年</w:t>
      </w:r>
      <w:r>
        <w:rPr>
          <w:rFonts w:hint="eastAsia" w:ascii="仿宋_GB2312" w:eastAsia="仿宋_GB2312"/>
          <w:color w:val="auto"/>
          <w:sz w:val="28"/>
          <w:szCs w:val="28"/>
          <w:highlight w:val="none"/>
          <w:lang w:eastAsia="zh-CN"/>
        </w:rPr>
        <w:t>度年初预算</w:t>
      </w:r>
      <w:r>
        <w:rPr>
          <w:rFonts w:hint="eastAsia" w:ascii="仿宋_GB2312" w:eastAsia="仿宋_GB2312"/>
          <w:color w:val="auto"/>
          <w:sz w:val="28"/>
          <w:szCs w:val="28"/>
          <w:highlight w:val="none"/>
          <w:lang w:val="en-US" w:eastAsia="zh-CN"/>
        </w:rPr>
        <w:t xml:space="preserve"> 5485.78</w:t>
      </w:r>
      <w:r>
        <w:rPr>
          <w:rFonts w:hint="eastAsia" w:ascii="仿宋_GB2312" w:eastAsia="仿宋_GB2312"/>
          <w:color w:val="auto"/>
          <w:sz w:val="28"/>
          <w:szCs w:val="28"/>
          <w:highlight w:val="none"/>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highlight w:val="none"/>
          <w:lang w:val="en-US" w:eastAsia="zh-CN"/>
        </w:rPr>
        <w:t>5524.39</w:t>
      </w:r>
      <w:r>
        <w:rPr>
          <w:rFonts w:hint="eastAsia" w:ascii="仿宋_GB2312" w:eastAsia="仿宋_GB2312"/>
          <w:sz w:val="28"/>
          <w:szCs w:val="28"/>
        </w:rPr>
        <w:t>万元</w:t>
      </w:r>
      <w:r>
        <w:rPr>
          <w:rFonts w:hint="eastAsia" w:ascii="仿宋_GB2312" w:eastAsia="仿宋_GB2312"/>
          <w:color w:val="auto"/>
          <w:sz w:val="28"/>
          <w:szCs w:val="28"/>
          <w:highlight w:val="none"/>
        </w:rPr>
        <w:t>，</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100.7</w:t>
      </w:r>
      <w:r>
        <w:rPr>
          <w:rFonts w:hint="eastAsia" w:ascii="仿宋_GB2312" w:eastAsia="仿宋_GB2312"/>
          <w:sz w:val="28"/>
          <w:szCs w:val="28"/>
        </w:rPr>
        <w:t>%</w:t>
      </w:r>
      <w:r>
        <w:rPr>
          <w:rFonts w:hint="eastAsia" w:ascii="仿宋_GB2312" w:eastAsia="仿宋_GB2312"/>
          <w:color w:val="auto"/>
          <w:sz w:val="28"/>
          <w:szCs w:val="28"/>
          <w:highlight w:val="none"/>
        </w:rPr>
        <w:t>。主要原因：</w:t>
      </w:r>
      <w:r>
        <w:rPr>
          <w:rFonts w:hint="eastAsia" w:ascii="仿宋_GB2312" w:eastAsia="仿宋_GB2312"/>
          <w:color w:val="auto"/>
          <w:sz w:val="28"/>
          <w:szCs w:val="28"/>
          <w:highlight w:val="none"/>
          <w:lang w:eastAsia="zh-CN"/>
        </w:rPr>
        <w:t>市级资金追加</w:t>
      </w:r>
      <w:r>
        <w:rPr>
          <w:rFonts w:hint="eastAsia" w:ascii="仿宋_GB2312" w:eastAsia="仿宋_GB2312"/>
          <w:color w:val="auto"/>
          <w:sz w:val="28"/>
          <w:szCs w:val="28"/>
          <w:highlight w:val="none"/>
        </w:rPr>
        <w:t>。</w:t>
      </w:r>
    </w:p>
    <w:p>
      <w:pPr>
        <w:pageBreakBefore w:val="0"/>
        <w:widowControl w:val="0"/>
        <w:numPr>
          <w:ilvl w:val="0"/>
          <w:numId w:val="2"/>
        </w:numPr>
        <w:kinsoku/>
        <w:wordWrap/>
        <w:overflowPunct/>
        <w:topLinePunct w:val="0"/>
        <w:bidi w:val="0"/>
        <w:snapToGrid/>
        <w:spacing w:line="580" w:lineRule="exact"/>
        <w:ind w:left="0" w:leftChars="0" w:right="0" w:rightChars="0" w:firstLine="560" w:firstLineChars="200"/>
        <w:textAlignment w:val="auto"/>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208</w:t>
      </w:r>
      <w:r>
        <w:rPr>
          <w:rFonts w:hint="eastAsia" w:ascii="仿宋_GB2312" w:eastAsia="仿宋_GB2312"/>
          <w:color w:val="auto"/>
          <w:sz w:val="28"/>
          <w:szCs w:val="28"/>
        </w:rPr>
        <w:t>社会保障和就业支出”(类)202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w:t>
      </w:r>
      <w:r>
        <w:rPr>
          <w:rFonts w:hint="eastAsia" w:ascii="仿宋_GB2312" w:eastAsia="仿宋_GB2312"/>
          <w:color w:val="auto"/>
          <w:sz w:val="28"/>
          <w:szCs w:val="28"/>
          <w:lang w:eastAsia="zh-CN"/>
        </w:rPr>
        <w:t>度年初预算</w:t>
      </w:r>
      <w:r>
        <w:rPr>
          <w:rFonts w:hint="eastAsia" w:ascii="仿宋_GB2312" w:eastAsia="仿宋_GB2312"/>
          <w:color w:val="auto"/>
          <w:sz w:val="28"/>
          <w:szCs w:val="28"/>
          <w:lang w:val="en-US" w:eastAsia="zh-CN"/>
        </w:rPr>
        <w:t>262.74</w:t>
      </w:r>
      <w:r>
        <w:rPr>
          <w:rFonts w:hint="eastAsia" w:ascii="仿宋_GB2312" w:eastAsia="仿宋_GB2312"/>
          <w:color w:val="auto"/>
          <w:sz w:val="28"/>
          <w:szCs w:val="28"/>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285.38</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108.62</w:t>
      </w:r>
      <w:r>
        <w:rPr>
          <w:rFonts w:hint="eastAsia" w:ascii="仿宋_GB2312" w:eastAsia="仿宋_GB2312"/>
          <w:sz w:val="28"/>
          <w:szCs w:val="28"/>
        </w:rPr>
        <w:t>%</w:t>
      </w:r>
      <w:r>
        <w:rPr>
          <w:rFonts w:hint="eastAsia" w:ascii="仿宋_GB2312" w:eastAsia="仿宋_GB2312"/>
          <w:color w:val="auto"/>
          <w:sz w:val="28"/>
          <w:szCs w:val="28"/>
        </w:rPr>
        <w:t>。其中：</w:t>
      </w:r>
      <w:r>
        <w:rPr>
          <w:rFonts w:hint="eastAsia" w:ascii="仿宋_GB2312" w:eastAsia="仿宋_GB2312"/>
          <w:color w:val="auto"/>
          <w:sz w:val="28"/>
          <w:szCs w:val="28"/>
          <w:lang w:eastAsia="zh-CN"/>
        </w:rPr>
        <w:t>社保基数调整。</w:t>
      </w:r>
    </w:p>
    <w:p>
      <w:pPr>
        <w:pageBreakBefore w:val="0"/>
        <w:widowControl w:val="0"/>
        <w:numPr>
          <w:ilvl w:val="0"/>
          <w:numId w:val="0"/>
        </w:numPr>
        <w:kinsoku/>
        <w:wordWrap/>
        <w:overflowPunct/>
        <w:topLinePunct w:val="0"/>
        <w:bidi w:val="0"/>
        <w:snapToGrid/>
        <w:spacing w:line="580" w:lineRule="exact"/>
        <w:ind w:left="0" w:leftChars="0" w:right="0" w:rightChars="0" w:firstLine="560" w:firstLineChars="200"/>
        <w:textAlignment w:val="auto"/>
        <w:rPr>
          <w:rFonts w:hint="eastAsia" w:ascii="仿宋_GB2312" w:eastAsia="仿宋_GB2312"/>
          <w:color w:val="auto"/>
          <w:sz w:val="28"/>
          <w:szCs w:val="28"/>
        </w:rPr>
      </w:pPr>
      <w:r>
        <w:rPr>
          <w:rFonts w:hint="eastAsia" w:ascii="仿宋_GB2312" w:eastAsia="仿宋_GB2312"/>
          <w:color w:val="auto"/>
          <w:sz w:val="28"/>
          <w:szCs w:val="28"/>
        </w:rPr>
        <w:t>“</w:t>
      </w:r>
      <w:r>
        <w:rPr>
          <w:rFonts w:hint="eastAsia" w:ascii="仿宋_GB2312" w:eastAsia="仿宋_GB2312"/>
          <w:color w:val="auto"/>
          <w:sz w:val="28"/>
          <w:szCs w:val="28"/>
          <w:lang w:val="en-US" w:eastAsia="zh-CN"/>
        </w:rPr>
        <w:t>20805</w:t>
      </w:r>
      <w:r>
        <w:rPr>
          <w:rFonts w:hint="eastAsia" w:ascii="仿宋_GB2312" w:eastAsia="仿宋_GB2312"/>
          <w:color w:val="auto"/>
          <w:sz w:val="28"/>
          <w:szCs w:val="28"/>
        </w:rPr>
        <w:t>行政事业单位养老支出”（款）202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w:t>
      </w:r>
      <w:r>
        <w:rPr>
          <w:rFonts w:hint="eastAsia" w:ascii="仿宋_GB2312" w:eastAsia="仿宋_GB2312"/>
          <w:color w:val="auto"/>
          <w:sz w:val="28"/>
          <w:szCs w:val="28"/>
          <w:lang w:eastAsia="zh-CN"/>
        </w:rPr>
        <w:t>度年初预算</w:t>
      </w:r>
      <w:r>
        <w:rPr>
          <w:rFonts w:hint="eastAsia" w:ascii="仿宋_GB2312" w:eastAsia="仿宋_GB2312"/>
          <w:color w:val="auto"/>
          <w:sz w:val="28"/>
          <w:szCs w:val="28"/>
          <w:lang w:val="en-US" w:eastAsia="zh-CN"/>
        </w:rPr>
        <w:t>262.74</w:t>
      </w:r>
      <w:r>
        <w:rPr>
          <w:rFonts w:hint="eastAsia" w:ascii="仿宋_GB2312" w:eastAsia="仿宋_GB2312"/>
          <w:color w:val="auto"/>
          <w:sz w:val="28"/>
          <w:szCs w:val="28"/>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285.38</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108.62</w:t>
      </w:r>
      <w:r>
        <w:rPr>
          <w:rFonts w:hint="eastAsia" w:ascii="仿宋_GB2312" w:eastAsia="仿宋_GB2312"/>
          <w:sz w:val="28"/>
          <w:szCs w:val="28"/>
        </w:rPr>
        <w:t>%</w:t>
      </w:r>
      <w:r>
        <w:rPr>
          <w:rFonts w:hint="eastAsia" w:ascii="仿宋_GB2312" w:eastAsia="仿宋_GB2312"/>
          <w:color w:val="auto"/>
          <w:sz w:val="28"/>
          <w:szCs w:val="28"/>
        </w:rPr>
        <w:t>。</w:t>
      </w:r>
      <w:r>
        <w:rPr>
          <w:rFonts w:hint="eastAsia" w:ascii="仿宋_GB2312" w:eastAsia="仿宋_GB2312"/>
          <w:color w:val="auto"/>
          <w:sz w:val="28"/>
          <w:szCs w:val="28"/>
          <w:lang w:eastAsia="zh-CN"/>
        </w:rPr>
        <w:t>主要原因：社保基数调整。</w:t>
      </w:r>
    </w:p>
    <w:p>
      <w:pPr>
        <w:pageBreakBefore w:val="0"/>
        <w:widowControl w:val="0"/>
        <w:kinsoku/>
        <w:wordWrap/>
        <w:overflowPunct/>
        <w:topLinePunct w:val="0"/>
        <w:autoSpaceDE w:val="0"/>
        <w:autoSpaceDN w:val="0"/>
        <w:bidi w:val="0"/>
        <w:adjustRightInd w:val="0"/>
        <w:snapToGrid/>
        <w:spacing w:line="580" w:lineRule="exact"/>
        <w:ind w:left="0" w:leftChars="0" w:right="0" w:rightChars="0" w:firstLine="560" w:firstLineChars="200"/>
        <w:jc w:val="left"/>
        <w:textAlignment w:val="auto"/>
        <w:rPr>
          <w:rFonts w:hint="eastAsia" w:ascii="仿宋_GB2312" w:eastAsia="仿宋_GB2312"/>
          <w:color w:val="auto"/>
          <w:sz w:val="28"/>
          <w:szCs w:val="28"/>
        </w:rPr>
      </w:pPr>
      <w:r>
        <w:rPr>
          <w:rFonts w:hint="eastAsia" w:ascii="仿宋_GB2312" w:eastAsia="仿宋_GB2312"/>
          <w:color w:val="auto"/>
          <w:sz w:val="28"/>
          <w:szCs w:val="28"/>
          <w:lang w:val="en-US" w:eastAsia="zh-CN"/>
        </w:rPr>
        <w:t>3</w:t>
      </w:r>
      <w:r>
        <w:rPr>
          <w:rFonts w:hint="eastAsia" w:ascii="仿宋_GB2312" w:eastAsia="仿宋_GB2312"/>
          <w:color w:val="auto"/>
          <w:sz w:val="28"/>
          <w:szCs w:val="28"/>
        </w:rPr>
        <w:t>、“</w:t>
      </w:r>
      <w:r>
        <w:rPr>
          <w:rFonts w:hint="eastAsia" w:ascii="仿宋_GB2312" w:eastAsia="仿宋_GB2312"/>
          <w:color w:val="auto"/>
          <w:sz w:val="28"/>
          <w:szCs w:val="28"/>
          <w:lang w:val="en-US" w:eastAsia="zh-CN"/>
        </w:rPr>
        <w:t>210</w:t>
      </w:r>
      <w:r>
        <w:rPr>
          <w:rFonts w:hint="eastAsia" w:ascii="仿宋_GB2312" w:eastAsia="仿宋_GB2312"/>
          <w:color w:val="auto"/>
          <w:sz w:val="28"/>
          <w:szCs w:val="28"/>
          <w:lang w:eastAsia="zh-CN"/>
        </w:rPr>
        <w:t>卫生健康</w:t>
      </w:r>
      <w:r>
        <w:rPr>
          <w:rFonts w:hint="eastAsia" w:ascii="仿宋_GB2312" w:eastAsia="仿宋_GB2312"/>
          <w:color w:val="auto"/>
          <w:sz w:val="28"/>
          <w:szCs w:val="28"/>
        </w:rPr>
        <w:t>支出”（类）202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w:t>
      </w:r>
      <w:r>
        <w:rPr>
          <w:rFonts w:hint="eastAsia" w:ascii="仿宋_GB2312" w:eastAsia="仿宋_GB2312"/>
          <w:color w:val="auto"/>
          <w:sz w:val="28"/>
          <w:szCs w:val="28"/>
          <w:lang w:eastAsia="zh-CN"/>
        </w:rPr>
        <w:t>度年初预算</w:t>
      </w:r>
      <w:r>
        <w:rPr>
          <w:rFonts w:hint="eastAsia" w:ascii="仿宋_GB2312" w:eastAsia="仿宋_GB2312"/>
          <w:color w:val="auto"/>
          <w:sz w:val="28"/>
          <w:szCs w:val="28"/>
          <w:lang w:val="en-US" w:eastAsia="zh-CN"/>
        </w:rPr>
        <w:t>177.6</w:t>
      </w:r>
      <w:r>
        <w:rPr>
          <w:rFonts w:hint="eastAsia" w:ascii="仿宋_GB2312" w:eastAsia="仿宋_GB2312"/>
          <w:color w:val="auto"/>
          <w:sz w:val="28"/>
          <w:szCs w:val="28"/>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184.40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103.83</w:t>
      </w:r>
      <w:r>
        <w:rPr>
          <w:rFonts w:hint="eastAsia" w:ascii="仿宋_GB2312" w:eastAsia="仿宋_GB2312"/>
          <w:sz w:val="28"/>
          <w:szCs w:val="28"/>
        </w:rPr>
        <w:t>%</w:t>
      </w:r>
      <w:r>
        <w:rPr>
          <w:rFonts w:hint="eastAsia" w:ascii="仿宋_GB2312" w:eastAsia="仿宋_GB2312"/>
          <w:color w:val="auto"/>
          <w:sz w:val="28"/>
          <w:szCs w:val="28"/>
        </w:rPr>
        <w:t>。其中：</w:t>
      </w:r>
    </w:p>
    <w:p>
      <w:pPr>
        <w:pageBreakBefore w:val="0"/>
        <w:widowControl w:val="0"/>
        <w:kinsoku/>
        <w:wordWrap/>
        <w:overflowPunct/>
        <w:topLinePunct w:val="0"/>
        <w:bidi w:val="0"/>
        <w:snapToGrid/>
        <w:spacing w:line="580" w:lineRule="exact"/>
        <w:ind w:left="0" w:leftChars="0" w:right="0" w:rightChars="0" w:firstLine="560" w:firstLineChars="200"/>
        <w:textAlignment w:val="auto"/>
        <w:rPr>
          <w:rFonts w:hint="eastAsia" w:ascii="仿宋_GB2312" w:eastAsia="仿宋_GB2312"/>
          <w:color w:val="auto"/>
          <w:sz w:val="28"/>
          <w:szCs w:val="28"/>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21011行政事业单位医疗</w:t>
      </w:r>
      <w:r>
        <w:rPr>
          <w:rFonts w:hint="eastAsia" w:ascii="仿宋_GB2312" w:eastAsia="仿宋_GB2312"/>
          <w:color w:val="auto"/>
          <w:sz w:val="28"/>
          <w:szCs w:val="28"/>
          <w:lang w:eastAsia="zh-CN"/>
        </w:rPr>
        <w:t>”</w:t>
      </w:r>
      <w:r>
        <w:rPr>
          <w:rFonts w:hint="eastAsia" w:ascii="仿宋_GB2312" w:eastAsia="仿宋_GB2312"/>
          <w:color w:val="auto"/>
          <w:sz w:val="28"/>
          <w:szCs w:val="28"/>
        </w:rPr>
        <w:t>（款，下同）202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w:t>
      </w:r>
      <w:r>
        <w:rPr>
          <w:rFonts w:hint="eastAsia" w:ascii="仿宋_GB2312" w:eastAsia="仿宋_GB2312"/>
          <w:color w:val="auto"/>
          <w:sz w:val="28"/>
          <w:szCs w:val="28"/>
          <w:lang w:eastAsia="zh-CN"/>
        </w:rPr>
        <w:t>度年初预算</w:t>
      </w:r>
      <w:r>
        <w:rPr>
          <w:rFonts w:hint="eastAsia" w:ascii="仿宋_GB2312" w:eastAsia="仿宋_GB2312"/>
          <w:color w:val="auto"/>
          <w:sz w:val="28"/>
          <w:szCs w:val="28"/>
          <w:lang w:val="en-US" w:eastAsia="zh-CN"/>
        </w:rPr>
        <w:t>177.6</w:t>
      </w:r>
      <w:r>
        <w:rPr>
          <w:rFonts w:hint="eastAsia" w:ascii="仿宋_GB2312" w:eastAsia="仿宋_GB2312"/>
          <w:color w:val="auto"/>
          <w:sz w:val="28"/>
          <w:szCs w:val="28"/>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184.40</w:t>
      </w:r>
      <w:r>
        <w:rPr>
          <w:rFonts w:hint="eastAsia" w:ascii="仿宋_GB2312" w:eastAsia="仿宋_GB2312"/>
          <w:color w:val="auto"/>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103.83</w:t>
      </w:r>
      <w:r>
        <w:rPr>
          <w:rFonts w:hint="eastAsia" w:ascii="仿宋_GB2312" w:eastAsia="仿宋_GB2312"/>
          <w:sz w:val="28"/>
          <w:szCs w:val="28"/>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有人员变动</w:t>
      </w:r>
      <w:r>
        <w:rPr>
          <w:rFonts w:hint="eastAsia" w:ascii="仿宋_GB2312" w:eastAsia="仿宋_GB2312"/>
          <w:color w:val="auto"/>
          <w:sz w:val="28"/>
          <w:szCs w:val="28"/>
        </w:rPr>
        <w:t>。</w:t>
      </w:r>
    </w:p>
    <w:p>
      <w:pPr>
        <w:pageBreakBefore w:val="0"/>
        <w:widowControl w:val="0"/>
        <w:kinsoku/>
        <w:wordWrap/>
        <w:overflowPunct/>
        <w:topLinePunct w:val="0"/>
        <w:autoSpaceDE w:val="0"/>
        <w:autoSpaceDN w:val="0"/>
        <w:bidi w:val="0"/>
        <w:adjustRightInd w:val="0"/>
        <w:snapToGrid/>
        <w:spacing w:line="580" w:lineRule="exact"/>
        <w:ind w:left="0" w:leftChars="0" w:right="0" w:rightChars="0" w:firstLine="560" w:firstLineChars="200"/>
        <w:jc w:val="left"/>
        <w:textAlignment w:val="auto"/>
        <w:rPr>
          <w:rFonts w:hint="eastAsia" w:ascii="仿宋_GB2312" w:eastAsia="仿宋_GB2312"/>
          <w:color w:val="auto"/>
          <w:sz w:val="28"/>
          <w:szCs w:val="28"/>
        </w:rPr>
      </w:pPr>
      <w:r>
        <w:rPr>
          <w:rFonts w:hint="eastAsia" w:ascii="仿宋_GB2312" w:eastAsia="仿宋_GB2312"/>
          <w:sz w:val="28"/>
          <w:szCs w:val="28"/>
          <w:lang w:val="en-US" w:eastAsia="zh-CN"/>
        </w:rPr>
        <w:t>4、“221住房保障支出”</w:t>
      </w:r>
      <w:r>
        <w:rPr>
          <w:rFonts w:hint="eastAsia" w:ascii="仿宋_GB2312" w:eastAsia="仿宋_GB2312"/>
          <w:color w:val="auto"/>
          <w:sz w:val="28"/>
          <w:szCs w:val="28"/>
        </w:rPr>
        <w:t>（类）</w:t>
      </w:r>
      <w:bookmarkStart w:id="0" w:name="OLE_LINK1"/>
      <w:r>
        <w:rPr>
          <w:rFonts w:hint="eastAsia" w:ascii="仿宋_GB2312" w:eastAsia="仿宋_GB2312"/>
          <w:color w:val="auto"/>
          <w:sz w:val="28"/>
          <w:szCs w:val="28"/>
        </w:rPr>
        <w:t>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w:t>
      </w:r>
      <w:r>
        <w:rPr>
          <w:rFonts w:hint="eastAsia" w:ascii="仿宋_GB2312" w:eastAsia="仿宋_GB2312"/>
          <w:color w:val="auto"/>
          <w:sz w:val="28"/>
          <w:szCs w:val="28"/>
          <w:lang w:eastAsia="zh-CN"/>
        </w:rPr>
        <w:t>度年初预算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color w:val="auto"/>
          <w:sz w:val="28"/>
          <w:szCs w:val="28"/>
          <w:lang w:val="en-US" w:eastAsia="zh-CN"/>
        </w:rPr>
        <w:t>186.45</w:t>
      </w:r>
      <w:r>
        <w:rPr>
          <w:rFonts w:hint="eastAsia" w:ascii="仿宋_GB2312" w:eastAsia="仿宋_GB2312"/>
          <w:color w:val="auto"/>
          <w:sz w:val="28"/>
          <w:szCs w:val="28"/>
        </w:rPr>
        <w:t>万元</w:t>
      </w:r>
      <w:bookmarkEnd w:id="0"/>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color w:val="auto"/>
          <w:sz w:val="28"/>
          <w:szCs w:val="28"/>
          <w:lang w:eastAsia="zh-CN"/>
        </w:rPr>
        <w:t>“</w:t>
      </w:r>
      <w:r>
        <w:rPr>
          <w:rFonts w:hint="eastAsia" w:ascii="仿宋_GB2312" w:eastAsia="仿宋_GB2312"/>
          <w:color w:val="auto"/>
          <w:sz w:val="28"/>
          <w:szCs w:val="28"/>
          <w:lang w:val="en-US" w:eastAsia="zh-CN"/>
        </w:rPr>
        <w:t>22102住房改革支出</w:t>
      </w:r>
      <w:r>
        <w:rPr>
          <w:rFonts w:hint="eastAsia" w:ascii="仿宋_GB2312" w:eastAsia="仿宋_GB2312"/>
          <w:color w:val="auto"/>
          <w:sz w:val="28"/>
          <w:szCs w:val="28"/>
          <w:lang w:eastAsia="zh-CN"/>
        </w:rPr>
        <w:t>”</w:t>
      </w:r>
      <w:r>
        <w:rPr>
          <w:rFonts w:hint="eastAsia" w:ascii="仿宋_GB2312" w:eastAsia="仿宋_GB2312"/>
          <w:color w:val="auto"/>
          <w:sz w:val="28"/>
          <w:szCs w:val="28"/>
        </w:rPr>
        <w:t>（款，下同）202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w:t>
      </w:r>
      <w:r>
        <w:rPr>
          <w:rFonts w:hint="eastAsia" w:ascii="仿宋_GB2312" w:eastAsia="仿宋_GB2312"/>
          <w:color w:val="auto"/>
          <w:sz w:val="28"/>
          <w:szCs w:val="28"/>
          <w:lang w:eastAsia="zh-CN"/>
        </w:rPr>
        <w:t>度年初预</w:t>
      </w:r>
      <w:r>
        <w:rPr>
          <w:rFonts w:hint="eastAsia" w:ascii="仿宋_GB2312" w:eastAsia="仿宋_GB2312"/>
          <w:color w:val="auto"/>
          <w:sz w:val="28"/>
          <w:szCs w:val="28"/>
        </w:rPr>
        <w:t>算</w:t>
      </w:r>
      <w:r>
        <w:rPr>
          <w:rFonts w:hint="eastAsia" w:ascii="仿宋_GB2312" w:eastAsia="仿宋_GB2312"/>
          <w:color w:val="auto"/>
          <w:sz w:val="28"/>
          <w:szCs w:val="28"/>
          <w:lang w:val="en-US" w:eastAsia="zh-CN"/>
        </w:rPr>
        <w:t>0</w:t>
      </w:r>
      <w:r>
        <w:rPr>
          <w:rFonts w:hint="eastAsia" w:ascii="仿宋_GB2312" w:eastAsia="仿宋_GB2312"/>
          <w:color w:val="auto"/>
          <w:sz w:val="28"/>
          <w:szCs w:val="28"/>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bookmarkStart w:id="1" w:name="_GoBack"/>
      <w:bookmarkEnd w:id="1"/>
      <w:r>
        <w:rPr>
          <w:rFonts w:hint="eastAsia" w:ascii="仿宋_GB2312" w:eastAsia="仿宋_GB2312"/>
          <w:sz w:val="28"/>
          <w:szCs w:val="28"/>
        </w:rPr>
        <w:t>决算</w:t>
      </w:r>
      <w:r>
        <w:rPr>
          <w:rFonts w:hint="eastAsia" w:ascii="仿宋_GB2312" w:eastAsia="仿宋_GB2312"/>
          <w:color w:val="auto"/>
          <w:sz w:val="28"/>
          <w:szCs w:val="28"/>
          <w:lang w:val="en-US" w:eastAsia="zh-CN"/>
        </w:rPr>
        <w:t>186.45</w:t>
      </w:r>
      <w:r>
        <w:rPr>
          <w:rFonts w:hint="eastAsia" w:ascii="仿宋_GB2312" w:eastAsia="仿宋_GB2312"/>
          <w:color w:val="auto"/>
          <w:sz w:val="28"/>
          <w:szCs w:val="28"/>
        </w:rPr>
        <w:t>万元</w:t>
      </w:r>
      <w:r>
        <w:rPr>
          <w:rFonts w:hint="eastAsia" w:ascii="仿宋_GB2312" w:eastAsia="仿宋_GB2312"/>
          <w:color w:val="auto"/>
          <w:sz w:val="28"/>
          <w:szCs w:val="28"/>
          <w:lang w:eastAsia="zh-CN"/>
        </w:rPr>
        <w:t>。</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住房改革资金发放</w:t>
      </w:r>
      <w:r>
        <w:rPr>
          <w:rFonts w:hint="eastAsia" w:ascii="仿宋_GB2312" w:eastAsia="仿宋_GB2312"/>
          <w:color w:val="auto"/>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w:t>
      </w:r>
      <w:r>
        <w:rPr>
          <w:rFonts w:ascii="仿宋_GB2312" w:eastAsia="仿宋_GB2312"/>
          <w:sz w:val="28"/>
          <w:szCs w:val="28"/>
        </w:rPr>
        <w:t>80.19</w:t>
      </w:r>
      <w:r>
        <w:rPr>
          <w:rFonts w:hint="eastAsia" w:ascii="仿宋_GB2312" w:eastAsia="仿宋_GB2312"/>
          <w:sz w:val="28"/>
          <w:szCs w:val="28"/>
        </w:rPr>
        <w:t>万元，主要用于以下方面（按大类）：城乡社区支出</w:t>
      </w:r>
      <w:r>
        <w:rPr>
          <w:rFonts w:hint="eastAsia" w:ascii="仿宋_GB2312" w:eastAsia="仿宋_GB2312"/>
          <w:sz w:val="28"/>
          <w:szCs w:val="28"/>
          <w:lang w:val="en-US" w:eastAsia="zh-CN"/>
        </w:rPr>
        <w:t>80.19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700" w:firstLineChars="250"/>
        <w:jc w:val="left"/>
        <w:rPr>
          <w:rFonts w:hint="eastAsia" w:ascii="仿宋_GB2312" w:eastAsia="仿宋_GB2312"/>
          <w:sz w:val="28"/>
          <w:szCs w:val="28"/>
        </w:rPr>
      </w:pPr>
      <w:r>
        <w:rPr>
          <w:rFonts w:hint="eastAsia" w:ascii="仿宋_GB2312" w:eastAsia="仿宋_GB2312"/>
          <w:sz w:val="28"/>
          <w:szCs w:val="28"/>
        </w:rPr>
        <w:t>1、“城乡社区支出”（类，下同）20</w:t>
      </w:r>
      <w:r>
        <w:rPr>
          <w:rFonts w:hint="eastAsia" w:ascii="仿宋_GB2312" w:eastAsia="仿宋_GB2312"/>
          <w:color w:val="auto"/>
          <w:sz w:val="28"/>
          <w:szCs w:val="28"/>
        </w:rPr>
        <w:t>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w:t>
      </w:r>
      <w:r>
        <w:rPr>
          <w:rFonts w:hint="eastAsia" w:ascii="仿宋_GB2312" w:eastAsia="仿宋_GB2312"/>
          <w:color w:val="auto"/>
          <w:sz w:val="28"/>
          <w:szCs w:val="28"/>
          <w:lang w:val="en-US" w:eastAsia="zh-CN"/>
        </w:rPr>
        <w:t>57.84</w:t>
      </w:r>
      <w:r>
        <w:rPr>
          <w:rFonts w:hint="eastAsia" w:ascii="仿宋_GB2312" w:eastAsia="仿宋_GB2312"/>
          <w:color w:val="auto"/>
          <w:sz w:val="28"/>
          <w:szCs w:val="28"/>
        </w:rPr>
        <w:t>万元，2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80.19</w:t>
      </w:r>
      <w:r>
        <w:rPr>
          <w:rFonts w:hint="eastAsia" w:ascii="仿宋_GB2312" w:eastAsia="仿宋_GB2312"/>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138.64</w:t>
      </w:r>
      <w:r>
        <w:rPr>
          <w:rFonts w:hint="eastAsia" w:ascii="仿宋_GB2312" w:eastAsia="仿宋_GB2312"/>
          <w:color w:val="auto"/>
          <w:sz w:val="28"/>
          <w:szCs w:val="28"/>
        </w:rPr>
        <w:t>%。</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“城市</w:t>
      </w:r>
      <w:r>
        <w:rPr>
          <w:rFonts w:hint="eastAsia" w:ascii="仿宋_GB2312" w:eastAsia="仿宋_GB2312"/>
          <w:sz w:val="28"/>
          <w:szCs w:val="28"/>
          <w:lang w:eastAsia="zh-CN"/>
        </w:rPr>
        <w:t>基础设施配套费</w:t>
      </w:r>
      <w:r>
        <w:rPr>
          <w:rFonts w:hint="eastAsia" w:ascii="仿宋_GB2312" w:eastAsia="仿宋_GB2312"/>
          <w:sz w:val="28"/>
          <w:szCs w:val="28"/>
        </w:rPr>
        <w:t>对应专项债务收入安排的支出”（款，下同）202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57.84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80.19</w:t>
      </w:r>
      <w:r>
        <w:rPr>
          <w:rFonts w:hint="eastAsia" w:ascii="仿宋_GB2312" w:eastAsia="仿宋_GB2312"/>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lang w:val="en-US" w:eastAsia="zh-CN"/>
        </w:rPr>
        <w:t>138.64</w:t>
      </w:r>
      <w:r>
        <w:rPr>
          <w:rFonts w:hint="eastAsia" w:ascii="仿宋_GB2312" w:eastAsia="仿宋_GB2312"/>
          <w:color w:val="auto"/>
          <w:sz w:val="28"/>
          <w:szCs w:val="28"/>
        </w:rPr>
        <w:t>%。</w:t>
      </w:r>
      <w:r>
        <w:rPr>
          <w:rFonts w:hint="eastAsia" w:ascii="仿宋_GB2312" w:eastAsia="仿宋_GB2312"/>
          <w:sz w:val="28"/>
          <w:szCs w:val="28"/>
        </w:rPr>
        <w:t>主要原因：</w:t>
      </w:r>
      <w:r>
        <w:rPr>
          <w:rFonts w:hint="eastAsia" w:ascii="仿宋_GB2312" w:eastAsia="仿宋_GB2312"/>
          <w:sz w:val="28"/>
          <w:szCs w:val="28"/>
          <w:lang w:eastAsia="zh-CN"/>
        </w:rPr>
        <w:t>增加支付文化中心改造工程项目款</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2322.56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1.89</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7.4</w:t>
      </w:r>
      <w:r>
        <w:rPr>
          <w:rFonts w:hint="eastAsia" w:ascii="仿宋_GB2312" w:eastAsia="仿宋_GB2312"/>
          <w:sz w:val="28"/>
          <w:szCs w:val="28"/>
        </w:rPr>
        <w:t>万元减少</w:t>
      </w:r>
      <w:r>
        <w:rPr>
          <w:rFonts w:hint="eastAsia" w:ascii="仿宋_GB2312" w:eastAsia="仿宋_GB2312"/>
          <w:sz w:val="28"/>
          <w:szCs w:val="28"/>
          <w:lang w:val="en-US" w:eastAsia="zh-CN"/>
        </w:rPr>
        <w:t>5.51</w:t>
      </w:r>
      <w:r>
        <w:rPr>
          <w:rFonts w:hint="eastAsia" w:ascii="仿宋_GB2312" w:eastAsia="仿宋_GB2312"/>
          <w:sz w:val="28"/>
          <w:szCs w:val="28"/>
        </w:rPr>
        <w:t>万元。其中：</w:t>
      </w:r>
    </w:p>
    <w:p>
      <w:pPr>
        <w:numPr>
          <w:ilvl w:val="0"/>
          <w:numId w:val="3"/>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。主要原因：</w:t>
      </w:r>
      <w:r>
        <w:rPr>
          <w:rFonts w:hint="eastAsia" w:ascii="仿宋_GB2312" w:eastAsia="仿宋_GB2312"/>
          <w:sz w:val="28"/>
          <w:szCs w:val="28"/>
          <w:lang w:eastAsia="zh-CN"/>
        </w:rPr>
        <w:t>未发生此项费用。</w:t>
      </w:r>
    </w:p>
    <w:p>
      <w:pPr>
        <w:numPr>
          <w:ilvl w:val="0"/>
          <w:numId w:val="0"/>
        </w:numPr>
        <w:spacing w:line="560" w:lineRule="exact"/>
        <w:ind w:firstLine="560" w:firstLineChars="200"/>
        <w:rPr>
          <w:rFonts w:hint="eastAsia" w:ascii="仿宋_GB2312" w:eastAsia="仿宋_GB2312"/>
          <w:color w:val="0000FF"/>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持</w:t>
      </w:r>
      <w:r>
        <w:rPr>
          <w:rFonts w:hint="eastAsia" w:ascii="仿宋_GB2312" w:eastAsia="仿宋_GB2312"/>
          <w:color w:val="auto"/>
          <w:sz w:val="28"/>
          <w:szCs w:val="28"/>
          <w:lang w:eastAsia="zh-CN"/>
        </w:rPr>
        <w:t>平</w:t>
      </w:r>
      <w:r>
        <w:rPr>
          <w:rFonts w:hint="eastAsia" w:ascii="仿宋_GB2312" w:eastAsia="仿宋_GB2312"/>
          <w:color w:val="auto"/>
          <w:sz w:val="28"/>
          <w:szCs w:val="28"/>
        </w:rPr>
        <w:t>。主要原因：</w:t>
      </w:r>
      <w:r>
        <w:rPr>
          <w:rFonts w:hint="eastAsia" w:ascii="仿宋_GB2312" w:eastAsia="仿宋_GB2312"/>
          <w:color w:val="auto"/>
          <w:sz w:val="28"/>
          <w:szCs w:val="28"/>
          <w:lang w:eastAsia="zh-CN"/>
        </w:rPr>
        <w:t>未发</w:t>
      </w:r>
      <w:r>
        <w:rPr>
          <w:rFonts w:hint="eastAsia" w:ascii="仿宋_GB2312" w:eastAsia="仿宋_GB2312"/>
          <w:sz w:val="28"/>
          <w:szCs w:val="28"/>
          <w:lang w:eastAsia="zh-CN"/>
        </w:rPr>
        <w:t>生此项费用</w:t>
      </w:r>
      <w:r>
        <w:rPr>
          <w:rFonts w:hint="eastAsia" w:ascii="仿宋_GB2312" w:eastAsia="仿宋_GB2312"/>
          <w:color w:val="0000FF"/>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color w:val="auto"/>
          <w:sz w:val="28"/>
          <w:szCs w:val="28"/>
          <w:lang w:val="en-US" w:eastAsia="zh-CN"/>
        </w:rPr>
        <w:t>1.89</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7.2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减少</w:t>
      </w:r>
      <w:r>
        <w:rPr>
          <w:rFonts w:hint="eastAsia" w:ascii="仿宋_GB2312" w:eastAsia="仿宋_GB2312"/>
          <w:sz w:val="28"/>
          <w:szCs w:val="28"/>
          <w:lang w:val="en-US" w:eastAsia="zh-CN"/>
        </w:rPr>
        <w:t>,5.31</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未发生此项费用</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1.89</w:t>
      </w:r>
      <w:r>
        <w:rPr>
          <w:rFonts w:hint="eastAsia" w:ascii="仿宋_GB2312" w:eastAsia="仿宋_GB2312"/>
          <w:sz w:val="28"/>
          <w:szCs w:val="28"/>
        </w:rPr>
        <w:t>万元，主要原因：</w:t>
      </w:r>
      <w:r>
        <w:rPr>
          <w:rFonts w:hint="eastAsia" w:ascii="仿宋_GB2312" w:eastAsia="仿宋_GB2312"/>
          <w:sz w:val="28"/>
          <w:szCs w:val="28"/>
          <w:lang w:eastAsia="zh-CN"/>
        </w:rPr>
        <w:t>用于车辆维护</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机关运行经费</w:t>
      </w:r>
      <w:r>
        <w:rPr>
          <w:rFonts w:hint="eastAsia" w:ascii="仿宋_GB2312" w:eastAsia="仿宋_GB2312"/>
          <w:sz w:val="28"/>
          <w:szCs w:val="28"/>
        </w:rPr>
        <w:t>支出合计</w:t>
      </w:r>
      <w:r>
        <w:rPr>
          <w:rFonts w:hint="eastAsia" w:ascii="仿宋_GB2312" w:eastAsia="仿宋_GB2312"/>
          <w:sz w:val="28"/>
          <w:szCs w:val="28"/>
          <w:lang w:val="en-US" w:eastAsia="zh-CN"/>
        </w:rPr>
        <w:t>135.31</w:t>
      </w:r>
      <w:r>
        <w:rPr>
          <w:rFonts w:hint="eastAsia" w:ascii="仿宋_GB2312" w:eastAsia="仿宋_GB2312"/>
          <w:sz w:val="28"/>
          <w:szCs w:val="28"/>
        </w:rPr>
        <w:t>万元，比上年增加</w:t>
      </w:r>
      <w:r>
        <w:rPr>
          <w:rFonts w:hint="eastAsia" w:ascii="仿宋_GB2312" w:eastAsia="仿宋_GB2312"/>
          <w:sz w:val="28"/>
          <w:szCs w:val="28"/>
          <w:lang w:val="en-US" w:eastAsia="zh-CN"/>
        </w:rPr>
        <w:t>2.38</w:t>
      </w:r>
      <w:r>
        <w:rPr>
          <w:rFonts w:hint="eastAsia" w:ascii="仿宋_GB2312" w:eastAsia="仿宋_GB2312"/>
          <w:sz w:val="28"/>
          <w:szCs w:val="28"/>
        </w:rPr>
        <w:t>万元，增加原因：</w:t>
      </w:r>
      <w:r>
        <w:rPr>
          <w:rFonts w:hint="eastAsia" w:ascii="仿宋_GB2312" w:eastAsia="仿宋_GB2312"/>
          <w:color w:val="auto"/>
          <w:sz w:val="28"/>
          <w:szCs w:val="28"/>
          <w:lang w:eastAsia="zh-CN"/>
        </w:rPr>
        <w:t>人员变动，日常公用经费有所增加</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490.38</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6.65</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483.73</w:t>
      </w:r>
      <w:r>
        <w:rPr>
          <w:rFonts w:hint="eastAsia" w:ascii="仿宋_GB2312" w:eastAsia="仿宋_GB2312"/>
          <w:sz w:val="28"/>
          <w:szCs w:val="28"/>
        </w:rPr>
        <w:t>万元。授予中小企业合同金额</w:t>
      </w:r>
      <w:r>
        <w:rPr>
          <w:rFonts w:ascii="仿宋_GB2312" w:eastAsia="仿宋_GB2312"/>
          <w:sz w:val="28"/>
          <w:szCs w:val="28"/>
        </w:rPr>
        <w:t>490.38</w:t>
      </w:r>
      <w:r>
        <w:rPr>
          <w:rFonts w:hint="eastAsia" w:ascii="仿宋_GB2312" w:eastAsia="仿宋_GB2312"/>
          <w:sz w:val="28"/>
          <w:szCs w:val="28"/>
        </w:rPr>
        <w:t>万元，占政府采购支出总额的</w:t>
      </w:r>
      <w:r>
        <w:rPr>
          <w:rFonts w:hint="eastAsia" w:ascii="仿宋_GB2312" w:eastAsia="仿宋_GB2312"/>
          <w:sz w:val="28"/>
          <w:szCs w:val="28"/>
          <w:lang w:eastAsia="zh-CN"/>
        </w:rPr>
        <w:t>100</w:t>
      </w:r>
      <w:r>
        <w:rPr>
          <w:rFonts w:hint="eastAsia" w:ascii="仿宋_GB2312" w:eastAsia="仿宋_GB2312"/>
          <w:sz w:val="28"/>
          <w:szCs w:val="28"/>
        </w:rPr>
        <w:t>%，其中：授予小微企业合同金额</w:t>
      </w:r>
      <w:r>
        <w:rPr>
          <w:rFonts w:ascii="仿宋_GB2312" w:eastAsia="仿宋_GB2312"/>
          <w:sz w:val="28"/>
          <w:szCs w:val="28"/>
        </w:rPr>
        <w:t>490.38</w:t>
      </w:r>
      <w:r>
        <w:rPr>
          <w:rFonts w:hint="eastAsia" w:ascii="仿宋_GB2312" w:eastAsia="仿宋_GB2312"/>
          <w:sz w:val="28"/>
          <w:szCs w:val="28"/>
        </w:rPr>
        <w:t>万元，占政府采购支出总额的</w:t>
      </w:r>
      <w:r>
        <w:rPr>
          <w:rFonts w:ascii="仿宋_GB2312" w:eastAsia="仿宋_GB2312"/>
          <w:sz w:val="28"/>
          <w:szCs w:val="28"/>
        </w:rPr>
        <w:t>100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12月31日，北京市大兴区文化和旅游局（本级）</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3</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政府购买服务决算1884.51</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420" w:firstLineChars="150"/>
        <w:rPr>
          <w:rFonts w:ascii="仿宋_GB2312" w:hAnsi="宋体" w:eastAsia="仿宋_GB2312"/>
          <w:sz w:val="28"/>
          <w:szCs w:val="28"/>
        </w:rPr>
      </w:pPr>
      <w:r>
        <w:rPr>
          <w:rFonts w:hint="eastAsia" w:ascii="仿宋_GB2312" w:eastAsia="仿宋_GB2312"/>
          <w:sz w:val="28"/>
          <w:szCs w:val="28"/>
        </w:rPr>
        <w:t xml:space="preserve"> 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，是规范财政支出管理和强化预算约束的有效措施</w:t>
      </w:r>
      <w:r>
        <w:rPr>
          <w:rFonts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rPr>
        <w:t>7.文化旅游体育与传媒支出（类）文化和旅游（款）</w:t>
      </w:r>
      <w:r>
        <w:rPr>
          <w:rFonts w:hint="eastAsia" w:ascii="仿宋_GB2312" w:eastAsia="仿宋_GB2312"/>
          <w:color w:val="auto"/>
          <w:sz w:val="28"/>
          <w:szCs w:val="28"/>
          <w:highlight w:val="none"/>
          <w:lang w:eastAsia="zh-CN"/>
        </w:rPr>
        <w:t>文旅局本级（</w:t>
      </w:r>
      <w:r>
        <w:rPr>
          <w:rFonts w:hint="eastAsia" w:ascii="仿宋_GB2312" w:eastAsia="仿宋_GB2312"/>
          <w:color w:val="auto"/>
          <w:sz w:val="28"/>
          <w:szCs w:val="28"/>
          <w:highlight w:val="none"/>
        </w:rPr>
        <w:t>项）</w:t>
      </w:r>
      <w:r>
        <w:rPr>
          <w:rFonts w:hint="eastAsia" w:ascii="仿宋_GB2312" w:eastAsia="仿宋_GB2312"/>
          <w:color w:val="auto"/>
          <w:sz w:val="28"/>
          <w:szCs w:val="28"/>
          <w:highlight w:val="none"/>
          <w:lang w:eastAsia="zh-CN"/>
        </w:rPr>
        <w:t>：反映本级的支出。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8.</w:t>
      </w:r>
      <w:r>
        <w:rPr>
          <w:rFonts w:hint="eastAsia" w:ascii="仿宋_GB2312" w:eastAsia="仿宋_GB2312"/>
          <w:color w:val="auto"/>
          <w:sz w:val="28"/>
          <w:szCs w:val="28"/>
          <w:highlight w:val="none"/>
        </w:rPr>
        <w:t>文化旅游体育与传媒支出（类）文化和旅游（款）</w:t>
      </w:r>
      <w:r>
        <w:rPr>
          <w:rFonts w:hint="eastAsia" w:ascii="仿宋_GB2312" w:eastAsia="仿宋_GB2312"/>
          <w:color w:val="auto"/>
          <w:sz w:val="28"/>
          <w:szCs w:val="28"/>
          <w:highlight w:val="none"/>
          <w:lang w:eastAsia="zh-CN"/>
        </w:rPr>
        <w:t>其他文化和旅游支出</w:t>
      </w:r>
      <w:r>
        <w:rPr>
          <w:rFonts w:hint="eastAsia" w:ascii="仿宋_GB2312" w:eastAsia="仿宋_GB2312"/>
          <w:color w:val="auto"/>
          <w:sz w:val="28"/>
          <w:szCs w:val="28"/>
          <w:highlight w:val="none"/>
        </w:rPr>
        <w:t>（项）</w:t>
      </w:r>
      <w:r>
        <w:rPr>
          <w:rFonts w:hint="eastAsia" w:ascii="仿宋_GB2312" w:eastAsia="仿宋_GB2312"/>
          <w:color w:val="auto"/>
          <w:sz w:val="28"/>
          <w:szCs w:val="28"/>
          <w:highlight w:val="none"/>
          <w:lang w:eastAsia="zh-CN"/>
        </w:rPr>
        <w:t>：反映除上述项目以外其他用于文化和旅游方面的支出。</w:t>
      </w:r>
    </w:p>
    <w:p>
      <w:pPr>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9.</w:t>
      </w:r>
      <w:r>
        <w:rPr>
          <w:rFonts w:hint="eastAsia" w:ascii="仿宋_GB2312" w:eastAsia="仿宋_GB2312"/>
          <w:color w:val="auto"/>
          <w:sz w:val="28"/>
          <w:szCs w:val="28"/>
          <w:highlight w:val="none"/>
        </w:rPr>
        <w:t>社会保障和就业支出（类）行政事业单位养老支出（款）事业单位离退休（项）：反映</w:t>
      </w:r>
      <w:r>
        <w:rPr>
          <w:rFonts w:hint="eastAsia" w:ascii="仿宋_GB2312" w:eastAsia="仿宋_GB2312"/>
          <w:color w:val="auto"/>
          <w:sz w:val="28"/>
          <w:szCs w:val="28"/>
          <w:highlight w:val="none"/>
          <w:lang w:eastAsia="zh-CN"/>
        </w:rPr>
        <w:t>事业</w:t>
      </w:r>
      <w:r>
        <w:rPr>
          <w:rFonts w:hint="eastAsia" w:ascii="仿宋_GB2312" w:eastAsia="仿宋_GB2312"/>
          <w:color w:val="auto"/>
          <w:sz w:val="28"/>
          <w:szCs w:val="28"/>
          <w:highlight w:val="none"/>
        </w:rPr>
        <w:t>单位开支的离退休经费。</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10.</w:t>
      </w:r>
      <w:r>
        <w:rPr>
          <w:rFonts w:hint="eastAsia" w:ascii="仿宋_GB2312" w:eastAsia="仿宋_GB2312"/>
          <w:color w:val="auto"/>
          <w:sz w:val="28"/>
          <w:szCs w:val="28"/>
          <w:highlight w:val="none"/>
        </w:rPr>
        <w:t>社会保障和就业支出（类）行政事业单位养老支出（款）机关事业单位基本养老保险缴费支出（项）</w:t>
      </w:r>
      <w:r>
        <w:rPr>
          <w:rFonts w:hint="eastAsia" w:ascii="仿宋_GB2312" w:eastAsia="仿宋_GB2312"/>
          <w:color w:val="auto"/>
          <w:sz w:val="28"/>
          <w:szCs w:val="28"/>
          <w:highlight w:val="none"/>
          <w:lang w:eastAsia="zh-CN"/>
        </w:rPr>
        <w:t>：反映机关事业单位实施养老保险制度由单位缴纳的基本养老保险费支出。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11.</w:t>
      </w:r>
      <w:r>
        <w:rPr>
          <w:rFonts w:hint="eastAsia" w:ascii="仿宋_GB2312" w:eastAsia="仿宋_GB2312"/>
          <w:color w:val="auto"/>
          <w:sz w:val="28"/>
          <w:szCs w:val="28"/>
          <w:highlight w:val="none"/>
        </w:rPr>
        <w:t>社会保障和就业支出（类）行政事业单位养老支出（款）机关事业单位职业年金缴费支出（项）</w:t>
      </w:r>
      <w:r>
        <w:rPr>
          <w:rFonts w:hint="eastAsia" w:ascii="仿宋_GB2312" w:eastAsia="仿宋_GB2312"/>
          <w:color w:val="auto"/>
          <w:sz w:val="28"/>
          <w:szCs w:val="28"/>
          <w:highlight w:val="none"/>
          <w:lang w:eastAsia="zh-CN"/>
        </w:rPr>
        <w:t>：反映机关事业单位实施养老保险制度由单位缴纳的职业年金支出。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12.</w:t>
      </w:r>
      <w:r>
        <w:rPr>
          <w:rFonts w:hint="eastAsia" w:ascii="仿宋_GB2312" w:eastAsia="仿宋_GB2312"/>
          <w:color w:val="auto"/>
          <w:sz w:val="28"/>
          <w:szCs w:val="28"/>
          <w:highlight w:val="none"/>
        </w:rPr>
        <w:t>社会保障和就业支出（类）行政事业单位养老支出（款）其他行政事业单位养老支出（项）</w:t>
      </w:r>
      <w:r>
        <w:rPr>
          <w:rFonts w:hint="eastAsia" w:ascii="仿宋_GB2312" w:eastAsia="仿宋_GB2312"/>
          <w:color w:val="auto"/>
          <w:sz w:val="28"/>
          <w:szCs w:val="28"/>
          <w:highlight w:val="none"/>
          <w:lang w:eastAsia="zh-CN"/>
        </w:rPr>
        <w:t>：反映除上述项目以外其他用于行政事业单位养老方面的支出。</w:t>
      </w:r>
    </w:p>
    <w:p>
      <w:pPr>
        <w:ind w:firstLine="420" w:firstLineChars="150"/>
        <w:rPr>
          <w:rFonts w:hint="eastAsia" w:ascii="仿宋_GB2312" w:eastAsia="仿宋_GB2312"/>
          <w:color w:val="auto"/>
          <w:sz w:val="28"/>
          <w:szCs w:val="28"/>
          <w:highlight w:val="none"/>
          <w:lang w:eastAsia="zh-CN"/>
        </w:rPr>
      </w:pPr>
      <w:r>
        <w:rPr>
          <w:rFonts w:hint="eastAsia" w:ascii="仿宋_GB2312" w:eastAsia="仿宋_GB2312"/>
          <w:color w:val="auto"/>
          <w:sz w:val="28"/>
          <w:szCs w:val="28"/>
          <w:highlight w:val="none"/>
          <w:lang w:val="en-US" w:eastAsia="zh-CN"/>
        </w:rPr>
        <w:t>13.</w:t>
      </w:r>
      <w:r>
        <w:rPr>
          <w:rFonts w:hint="eastAsia" w:ascii="仿宋_GB2312" w:eastAsia="仿宋_GB2312"/>
          <w:color w:val="auto"/>
          <w:sz w:val="28"/>
          <w:szCs w:val="28"/>
          <w:highlight w:val="none"/>
          <w:lang w:eastAsia="zh-CN"/>
        </w:rPr>
        <w:t>卫生健康支出</w:t>
      </w:r>
      <w:r>
        <w:rPr>
          <w:rFonts w:hint="eastAsia" w:ascii="仿宋_GB2312" w:eastAsia="仿宋_GB2312"/>
          <w:color w:val="auto"/>
          <w:sz w:val="28"/>
          <w:szCs w:val="28"/>
          <w:highlight w:val="none"/>
        </w:rPr>
        <w:t>（类）行政事业单位医疗（款）事业单位医疗（项）</w:t>
      </w:r>
      <w:r>
        <w:rPr>
          <w:rFonts w:hint="eastAsia" w:ascii="仿宋_GB2312" w:eastAsia="仿宋_GB2312"/>
          <w:color w:val="auto"/>
          <w:sz w:val="28"/>
          <w:szCs w:val="28"/>
          <w:highlight w:val="none"/>
          <w:lang w:eastAsia="zh-CN"/>
        </w:rPr>
        <w:t>：反映财政部门安排的事业单位基本医疗保险缴费经费，未参加医疗保险的事业单位的公费医疗经费，按国家规定享受离休人员待遇的医疗经费。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color w:val="auto"/>
          <w:sz w:val="28"/>
          <w:szCs w:val="28"/>
          <w:highlight w:val="none"/>
        </w:rPr>
      </w:pPr>
      <w:r>
        <w:rPr>
          <w:rFonts w:hint="eastAsia" w:ascii="仿宋_GB2312" w:eastAsia="仿宋_GB2312"/>
          <w:color w:val="auto"/>
          <w:sz w:val="28"/>
          <w:szCs w:val="28"/>
          <w:highlight w:val="none"/>
          <w:lang w:val="en-US" w:eastAsia="zh-CN"/>
        </w:rPr>
        <w:t>14.</w:t>
      </w:r>
      <w:r>
        <w:rPr>
          <w:rFonts w:hint="eastAsia" w:ascii="仿宋_GB2312" w:eastAsia="仿宋_GB2312"/>
          <w:color w:val="auto"/>
          <w:sz w:val="28"/>
          <w:szCs w:val="28"/>
          <w:highlight w:val="none"/>
          <w:lang w:eastAsia="zh-CN"/>
        </w:rPr>
        <w:t>卫生健康支出</w:t>
      </w:r>
      <w:r>
        <w:rPr>
          <w:rFonts w:hint="eastAsia" w:ascii="仿宋_GB2312" w:eastAsia="仿宋_GB2312"/>
          <w:color w:val="auto"/>
          <w:sz w:val="28"/>
          <w:szCs w:val="28"/>
          <w:highlight w:val="none"/>
        </w:rPr>
        <w:t>（类）行政事业单位医疗（款）公务员医疗补助（项）</w:t>
      </w:r>
      <w:r>
        <w:rPr>
          <w:rFonts w:hint="eastAsia" w:ascii="仿宋_GB2312" w:eastAsia="仿宋_GB2312"/>
          <w:color w:val="auto"/>
          <w:sz w:val="28"/>
          <w:szCs w:val="28"/>
          <w:highlight w:val="none"/>
          <w:lang w:eastAsia="zh-CN"/>
        </w:rPr>
        <w:t>：反映财政部门安排的公务员医疗补助经费。</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4"/>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4"/>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4"/>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A0931FB1"/>
    <w:multiLevelType w:val="singleLevel"/>
    <w:tmpl w:val="A0931FB1"/>
    <w:lvl w:ilvl="0" w:tentative="0">
      <w:start w:val="1"/>
      <w:numFmt w:val="decimal"/>
      <w:lvlText w:val="%1."/>
      <w:lvlJc w:val="left"/>
      <w:pPr>
        <w:tabs>
          <w:tab w:val="left" w:pos="312"/>
        </w:tabs>
      </w:pPr>
    </w:lvl>
  </w:abstractNum>
  <w:abstractNum w:abstractNumId="2">
    <w:nsid w:val="66BC744A"/>
    <w:multiLevelType w:val="singleLevel"/>
    <w:tmpl w:val="66BC744A"/>
    <w:lvl w:ilvl="0" w:tentative="0">
      <w:start w:val="2"/>
      <w:numFmt w:val="decimal"/>
      <w:suff w:val="nothing"/>
      <w:lvlText w:val="%1、"/>
      <w:lvlJc w:val="left"/>
    </w:lvl>
  </w:abstractNum>
  <w:abstractNum w:abstractNumId="3">
    <w:nsid w:val="68D49965"/>
    <w:multiLevelType w:val="singleLevel"/>
    <w:tmpl w:val="68D49965"/>
    <w:lvl w:ilvl="0" w:tentative="0">
      <w:start w:val="2"/>
      <w:numFmt w:val="chineseCounting"/>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0BB2"/>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993ED3"/>
    <w:rsid w:val="04C3537C"/>
    <w:rsid w:val="06F61583"/>
    <w:rsid w:val="079004AC"/>
    <w:rsid w:val="0BA148CA"/>
    <w:rsid w:val="0C1165C4"/>
    <w:rsid w:val="0D0917A0"/>
    <w:rsid w:val="0D6D544B"/>
    <w:rsid w:val="0DD136FE"/>
    <w:rsid w:val="0F542F2C"/>
    <w:rsid w:val="0F8E2C57"/>
    <w:rsid w:val="1059665E"/>
    <w:rsid w:val="10AC13BA"/>
    <w:rsid w:val="141C2D91"/>
    <w:rsid w:val="145A6C1B"/>
    <w:rsid w:val="14646BF3"/>
    <w:rsid w:val="14B73493"/>
    <w:rsid w:val="167A2FF9"/>
    <w:rsid w:val="1764587C"/>
    <w:rsid w:val="18581C69"/>
    <w:rsid w:val="1917332A"/>
    <w:rsid w:val="1AEC0734"/>
    <w:rsid w:val="1C267F5F"/>
    <w:rsid w:val="1C941777"/>
    <w:rsid w:val="1D0850E0"/>
    <w:rsid w:val="1DEF20B0"/>
    <w:rsid w:val="1FF7AB17"/>
    <w:rsid w:val="214243FA"/>
    <w:rsid w:val="21532EEE"/>
    <w:rsid w:val="21AD613C"/>
    <w:rsid w:val="22467189"/>
    <w:rsid w:val="237E4DB5"/>
    <w:rsid w:val="250D4F47"/>
    <w:rsid w:val="257A14F5"/>
    <w:rsid w:val="27196C26"/>
    <w:rsid w:val="29081481"/>
    <w:rsid w:val="29C74EFC"/>
    <w:rsid w:val="29D36BC9"/>
    <w:rsid w:val="29EF086F"/>
    <w:rsid w:val="2BC34C59"/>
    <w:rsid w:val="2C117349"/>
    <w:rsid w:val="2C262392"/>
    <w:rsid w:val="2D8E3E3F"/>
    <w:rsid w:val="2EFFE297"/>
    <w:rsid w:val="301437CA"/>
    <w:rsid w:val="328454B2"/>
    <w:rsid w:val="349D1F0A"/>
    <w:rsid w:val="34DD0473"/>
    <w:rsid w:val="38BD605A"/>
    <w:rsid w:val="399A756A"/>
    <w:rsid w:val="39F13DB4"/>
    <w:rsid w:val="3A8E35DC"/>
    <w:rsid w:val="3C684897"/>
    <w:rsid w:val="3D5476DC"/>
    <w:rsid w:val="3DB55397"/>
    <w:rsid w:val="3DB955AF"/>
    <w:rsid w:val="3DBF5AB7"/>
    <w:rsid w:val="3F0C0E69"/>
    <w:rsid w:val="3F335B55"/>
    <w:rsid w:val="413E22BD"/>
    <w:rsid w:val="424060B6"/>
    <w:rsid w:val="431B7C97"/>
    <w:rsid w:val="4334275A"/>
    <w:rsid w:val="433E495C"/>
    <w:rsid w:val="441C5A9B"/>
    <w:rsid w:val="44456BF0"/>
    <w:rsid w:val="44B92989"/>
    <w:rsid w:val="47690328"/>
    <w:rsid w:val="489C43A0"/>
    <w:rsid w:val="489F2FD7"/>
    <w:rsid w:val="48D64C6F"/>
    <w:rsid w:val="4AC27CB3"/>
    <w:rsid w:val="4BF72BEF"/>
    <w:rsid w:val="4CE5406F"/>
    <w:rsid w:val="4CF42AAC"/>
    <w:rsid w:val="4E3C0B85"/>
    <w:rsid w:val="4F2714A5"/>
    <w:rsid w:val="4FA90297"/>
    <w:rsid w:val="4FC41A43"/>
    <w:rsid w:val="518C282E"/>
    <w:rsid w:val="51DB3C59"/>
    <w:rsid w:val="550C0952"/>
    <w:rsid w:val="55762E42"/>
    <w:rsid w:val="57A7B272"/>
    <w:rsid w:val="58470068"/>
    <w:rsid w:val="58747CAC"/>
    <w:rsid w:val="5A1720F9"/>
    <w:rsid w:val="5B9C37C2"/>
    <w:rsid w:val="5BA7C654"/>
    <w:rsid w:val="5C2A3B31"/>
    <w:rsid w:val="5CE94DFD"/>
    <w:rsid w:val="5D1B731C"/>
    <w:rsid w:val="5D9E1C68"/>
    <w:rsid w:val="5DF716AE"/>
    <w:rsid w:val="5F263BA2"/>
    <w:rsid w:val="5F9F507E"/>
    <w:rsid w:val="60A54109"/>
    <w:rsid w:val="61D01CDF"/>
    <w:rsid w:val="624406DE"/>
    <w:rsid w:val="64C0607C"/>
    <w:rsid w:val="64DC63E6"/>
    <w:rsid w:val="65756C86"/>
    <w:rsid w:val="66007133"/>
    <w:rsid w:val="674D385B"/>
    <w:rsid w:val="676F09E1"/>
    <w:rsid w:val="67DB3BE7"/>
    <w:rsid w:val="687806B8"/>
    <w:rsid w:val="692703F4"/>
    <w:rsid w:val="6BF87946"/>
    <w:rsid w:val="70743357"/>
    <w:rsid w:val="712C01B5"/>
    <w:rsid w:val="716338CA"/>
    <w:rsid w:val="71691990"/>
    <w:rsid w:val="71793A80"/>
    <w:rsid w:val="7357290B"/>
    <w:rsid w:val="73D52870"/>
    <w:rsid w:val="74792890"/>
    <w:rsid w:val="754E794C"/>
    <w:rsid w:val="756E3DEA"/>
    <w:rsid w:val="76FB1693"/>
    <w:rsid w:val="770A30E0"/>
    <w:rsid w:val="798524E4"/>
    <w:rsid w:val="7A7F1C49"/>
    <w:rsid w:val="7B5B7AE6"/>
    <w:rsid w:val="7B7B6628"/>
    <w:rsid w:val="7BA7071E"/>
    <w:rsid w:val="7BDF6DA8"/>
    <w:rsid w:val="7C7EDC1A"/>
    <w:rsid w:val="7CCED98D"/>
    <w:rsid w:val="7D08410F"/>
    <w:rsid w:val="7DB96DED"/>
    <w:rsid w:val="7DD3AD81"/>
    <w:rsid w:val="7DFFF77E"/>
    <w:rsid w:val="7F1E3D8A"/>
    <w:rsid w:val="7F53A862"/>
    <w:rsid w:val="7F7FE70F"/>
    <w:rsid w:val="7F8A0710"/>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w:basedOn w:val="1"/>
    <w:next w:val="1"/>
    <w:qFormat/>
    <w:uiPriority w:val="0"/>
    <w:pPr>
      <w:ind w:firstLine="200"/>
    </w:pPr>
    <w:rPr>
      <w:rFonts w:ascii="仿宋_GB2312" w:hAnsi="Times New Roman" w:eastAsia="仿宋_GB2312"/>
      <w:sz w:val="30"/>
      <w:szCs w:val="22"/>
    </w:r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6074.36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2322.56</c:v>
                </c:pt>
                <c:pt idx="1">
                  <c:v>3938.25</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5</TotalTime>
  <ScaleCrop>false</ScaleCrop>
  <LinksUpToDate>false</LinksUpToDate>
  <CharactersWithSpaces>298</CharactersWithSpaces>
  <Application>WPS Office_10.8.2.7058_F1E327BC-269C-435d-A152-05C5408002CA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2025-10-11T07:03:39Z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2052-10.8.2.7058</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