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8FD667">
      <w:pPr>
        <w:jc w:val="center"/>
        <w:rPr>
          <w:rFonts w:ascii="仿宋_GB2312" w:eastAsia="仿宋_GB2312"/>
          <w:b/>
          <w:sz w:val="32"/>
          <w:szCs w:val="32"/>
        </w:rPr>
      </w:pPr>
    </w:p>
    <w:p w14:paraId="576351E2">
      <w:pPr>
        <w:jc w:val="center"/>
        <w:rPr>
          <w:rFonts w:ascii="黑体" w:eastAsia="黑体"/>
          <w:sz w:val="72"/>
          <w:szCs w:val="72"/>
        </w:rPr>
      </w:pPr>
    </w:p>
    <w:p w14:paraId="67A07B9E">
      <w:pPr>
        <w:jc w:val="center"/>
        <w:rPr>
          <w:rFonts w:ascii="黑体" w:eastAsia="黑体"/>
          <w:sz w:val="72"/>
          <w:szCs w:val="72"/>
        </w:rPr>
      </w:pPr>
    </w:p>
    <w:p w14:paraId="0632B0CA">
      <w:pPr>
        <w:jc w:val="center"/>
        <w:rPr>
          <w:rFonts w:ascii="黑体" w:eastAsia="黑体"/>
          <w:sz w:val="72"/>
          <w:szCs w:val="72"/>
        </w:rPr>
      </w:pPr>
    </w:p>
    <w:p w14:paraId="6DC7FDD8">
      <w:pPr>
        <w:jc w:val="center"/>
        <w:rPr>
          <w:rFonts w:ascii="黑体" w:eastAsia="黑体"/>
          <w:sz w:val="72"/>
          <w:szCs w:val="72"/>
        </w:rPr>
      </w:pPr>
    </w:p>
    <w:p w14:paraId="1B7B5D98">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D3D36BE">
      <w:pPr>
        <w:jc w:val="center"/>
        <w:rPr>
          <w:rFonts w:ascii="黑体" w:eastAsia="黑体"/>
          <w:sz w:val="52"/>
          <w:szCs w:val="52"/>
        </w:rPr>
      </w:pPr>
    </w:p>
    <w:p w14:paraId="2C8A8596">
      <w:pPr>
        <w:jc w:val="center"/>
        <w:rPr>
          <w:rFonts w:ascii="黑体" w:eastAsia="黑体"/>
          <w:sz w:val="52"/>
          <w:szCs w:val="52"/>
        </w:rPr>
      </w:pPr>
    </w:p>
    <w:p w14:paraId="3A5E4E35">
      <w:pPr>
        <w:jc w:val="center"/>
        <w:rPr>
          <w:rFonts w:ascii="黑体" w:eastAsia="黑体"/>
          <w:sz w:val="52"/>
          <w:szCs w:val="52"/>
        </w:rPr>
      </w:pPr>
    </w:p>
    <w:p w14:paraId="124919CA">
      <w:pPr>
        <w:jc w:val="center"/>
        <w:rPr>
          <w:rFonts w:ascii="黑体" w:eastAsia="黑体"/>
          <w:sz w:val="52"/>
          <w:szCs w:val="52"/>
        </w:rPr>
      </w:pPr>
    </w:p>
    <w:p w14:paraId="5EA60475">
      <w:pPr>
        <w:jc w:val="center"/>
        <w:rPr>
          <w:rFonts w:ascii="黑体" w:eastAsia="黑体"/>
          <w:sz w:val="32"/>
          <w:szCs w:val="32"/>
        </w:rPr>
      </w:pPr>
    </w:p>
    <w:p w14:paraId="6BC5488B">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61A82A08">
      <w:pPr>
        <w:spacing w:line="500" w:lineRule="exact"/>
        <w:ind w:firstLine="645"/>
        <w:jc w:val="center"/>
        <w:rPr>
          <w:rFonts w:hint="eastAsia" w:ascii="宋体" w:hAnsi="宋体" w:cs="宋体"/>
          <w:b/>
          <w:bCs/>
          <w:kern w:val="0"/>
          <w:sz w:val="36"/>
          <w:szCs w:val="36"/>
        </w:rPr>
      </w:pPr>
    </w:p>
    <w:p w14:paraId="2DDD694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506F929">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182811E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67E728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12E7B6F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DEB2C8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471230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638F0C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C1E72D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740516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02DD89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FBB68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27A11A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0131333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446FA7A">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3B4F58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759FABFB">
      <w:pPr>
        <w:tabs>
          <w:tab w:val="center" w:pos="6979"/>
        </w:tabs>
        <w:spacing w:before="156" w:beforeLines="50" w:after="156" w:afterLines="50"/>
        <w:jc w:val="center"/>
        <w:rPr>
          <w:rFonts w:ascii="宋体" w:hAnsi="宋体" w:cs="宋体"/>
          <w:b/>
          <w:bCs/>
          <w:spacing w:val="40"/>
          <w:kern w:val="0"/>
          <w:sz w:val="32"/>
          <w:szCs w:val="32"/>
        </w:rPr>
      </w:pPr>
    </w:p>
    <w:p w14:paraId="07C6242E">
      <w:pPr>
        <w:tabs>
          <w:tab w:val="center" w:pos="6979"/>
        </w:tabs>
        <w:spacing w:before="156" w:beforeLines="50" w:after="156" w:afterLines="50"/>
        <w:jc w:val="center"/>
        <w:rPr>
          <w:rFonts w:ascii="宋体" w:hAnsi="宋体" w:cs="宋体"/>
          <w:b/>
          <w:bCs/>
          <w:spacing w:val="40"/>
          <w:kern w:val="0"/>
          <w:sz w:val="32"/>
          <w:szCs w:val="32"/>
        </w:rPr>
      </w:pPr>
    </w:p>
    <w:p w14:paraId="11C8B0B4">
      <w:pPr>
        <w:tabs>
          <w:tab w:val="center" w:pos="6979"/>
        </w:tabs>
        <w:spacing w:before="156" w:beforeLines="50" w:after="156" w:afterLines="50"/>
        <w:jc w:val="center"/>
        <w:rPr>
          <w:rFonts w:ascii="宋体" w:hAnsi="宋体" w:cs="宋体"/>
          <w:b/>
          <w:bCs/>
          <w:spacing w:val="40"/>
          <w:kern w:val="0"/>
          <w:sz w:val="32"/>
          <w:szCs w:val="32"/>
        </w:rPr>
      </w:pPr>
    </w:p>
    <w:p w14:paraId="3966A746">
      <w:pPr>
        <w:tabs>
          <w:tab w:val="center" w:pos="6979"/>
        </w:tabs>
        <w:spacing w:before="156" w:beforeLines="50" w:after="156" w:afterLines="50"/>
        <w:jc w:val="center"/>
        <w:rPr>
          <w:rFonts w:ascii="宋体" w:hAnsi="宋体" w:cs="宋体"/>
          <w:b/>
          <w:bCs/>
          <w:spacing w:val="40"/>
          <w:kern w:val="0"/>
          <w:sz w:val="32"/>
          <w:szCs w:val="32"/>
        </w:rPr>
      </w:pPr>
    </w:p>
    <w:p w14:paraId="389FA01F">
      <w:pPr>
        <w:tabs>
          <w:tab w:val="center" w:pos="6979"/>
        </w:tabs>
        <w:spacing w:before="156" w:beforeLines="50" w:after="156" w:afterLines="50"/>
        <w:jc w:val="center"/>
        <w:rPr>
          <w:rFonts w:ascii="宋体" w:hAnsi="宋体" w:cs="宋体"/>
          <w:b/>
          <w:bCs/>
          <w:spacing w:val="40"/>
          <w:kern w:val="0"/>
          <w:sz w:val="32"/>
          <w:szCs w:val="32"/>
        </w:rPr>
      </w:pPr>
    </w:p>
    <w:p w14:paraId="4B09241E">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1C10C41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033ACC40">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F4150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31730C38">
      <w:pPr>
        <w:tabs>
          <w:tab w:val="center" w:pos="6979"/>
        </w:tabs>
        <w:spacing w:line="600" w:lineRule="exact"/>
        <w:ind w:firstLine="570"/>
        <w:rPr>
          <w:rFonts w:hint="eastAsia" w:ascii="仿宋_GB2312" w:eastAsia="仿宋_GB2312"/>
          <w:color w:val="000000"/>
          <w:sz w:val="32"/>
          <w:szCs w:val="32"/>
        </w:rPr>
      </w:pPr>
      <w:r>
        <w:rPr>
          <w:rFonts w:hint="eastAsia" w:ascii="仿宋_GB2312" w:eastAsia="仿宋_GB2312"/>
          <w:color w:val="000000"/>
          <w:sz w:val="32"/>
          <w:szCs w:val="32"/>
        </w:rPr>
        <w:t>单位职责：贯彻落实文物保护法律法规,进行文物保护管理；负责会同有关部门开展历史文化名城(镇、村)保护和监督管理工作;指导、监督、检查本行政区域文物安全工作；负责本区地上地下文物保护管理、文物征集、文物资料归档;协助市文物研究所进行区域内文物考古调查勘探和发掘工作,负责全区出土文物收藏和保管工作;负责本区域内民间文物认定工作;负责协助机关对本区域内文物保护单位巡视检查,负责文物保护的宣传工作;负责规划、指导本区文物相关人员培训工作,组织本区文物科学研究及交流、文物科学保护工作。</w:t>
      </w:r>
    </w:p>
    <w:p w14:paraId="2BBFD45B">
      <w:pPr>
        <w:tabs>
          <w:tab w:val="center" w:pos="6979"/>
        </w:tabs>
        <w:spacing w:line="580" w:lineRule="exact"/>
        <w:ind w:firstLine="640" w:firstLineChars="200"/>
        <w:rPr>
          <w:rFonts w:hint="eastAsia" w:ascii="仿宋_GB2312" w:eastAsia="仿宋_GB2312"/>
          <w:sz w:val="28"/>
          <w:szCs w:val="28"/>
        </w:rPr>
      </w:pPr>
      <w:r>
        <w:rPr>
          <w:rFonts w:hint="eastAsia" w:ascii="仿宋_GB2312" w:eastAsia="仿宋_GB2312"/>
          <w:color w:val="000000"/>
          <w:sz w:val="32"/>
          <w:szCs w:val="32"/>
        </w:rPr>
        <w:t>北京市大兴区文物管理所是全额拨款公益一类事业单位，隶属于北京市大兴区文化和旅游局。</w:t>
      </w:r>
    </w:p>
    <w:p w14:paraId="44CBC380">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EE6D8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3337.4</w:t>
      </w:r>
      <w:r>
        <w:rPr>
          <w:rFonts w:hint="eastAsia" w:ascii="仿宋_GB2312" w:eastAsia="仿宋_GB2312"/>
          <w:sz w:val="28"/>
          <w:szCs w:val="28"/>
          <w:lang w:val="en-US" w:eastAsia="zh-CN"/>
        </w:rPr>
        <w:t>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952.78</w:t>
      </w:r>
      <w:r>
        <w:rPr>
          <w:rFonts w:hint="eastAsia" w:ascii="仿宋_GB2312" w:eastAsia="仿宋_GB2312"/>
          <w:sz w:val="28"/>
          <w:szCs w:val="28"/>
        </w:rPr>
        <w:t>万元，增长</w:t>
      </w:r>
      <w:r>
        <w:rPr>
          <w:rFonts w:hint="eastAsia" w:ascii="仿宋_GB2312" w:eastAsia="仿宋_GB2312"/>
          <w:sz w:val="28"/>
          <w:szCs w:val="28"/>
          <w:lang w:val="en-US" w:eastAsia="zh-CN"/>
        </w:rPr>
        <w:t>39.96</w:t>
      </w:r>
      <w:r>
        <w:rPr>
          <w:rFonts w:hint="eastAsia" w:ascii="仿宋_GB2312" w:eastAsia="仿宋_GB2312"/>
          <w:sz w:val="28"/>
          <w:szCs w:val="28"/>
        </w:rPr>
        <w:t>%。</w:t>
      </w:r>
    </w:p>
    <w:p w14:paraId="10DF611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7DA26DE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3316.4</w:t>
      </w:r>
      <w:r>
        <w:rPr>
          <w:rFonts w:hint="eastAsia" w:ascii="仿宋_GB2312" w:eastAsia="仿宋_GB2312"/>
          <w:sz w:val="28"/>
          <w:szCs w:val="28"/>
          <w:lang w:val="en-US" w:eastAsia="zh-CN"/>
        </w:rPr>
        <w:t>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981.80</w:t>
      </w:r>
      <w:r>
        <w:rPr>
          <w:rFonts w:hint="eastAsia" w:ascii="仿宋_GB2312" w:eastAsia="仿宋_GB2312"/>
          <w:sz w:val="28"/>
          <w:szCs w:val="28"/>
        </w:rPr>
        <w:t>万元，增长</w:t>
      </w:r>
      <w:r>
        <w:rPr>
          <w:rFonts w:hint="eastAsia" w:ascii="仿宋_GB2312" w:eastAsia="仿宋_GB2312"/>
          <w:sz w:val="28"/>
          <w:szCs w:val="28"/>
          <w:lang w:val="en-US" w:eastAsia="zh-CN"/>
        </w:rPr>
        <w:t>42.05</w:t>
      </w:r>
      <w:r>
        <w:rPr>
          <w:rFonts w:hint="eastAsia" w:ascii="仿宋_GB2312" w:eastAsia="仿宋_GB2312"/>
          <w:sz w:val="28"/>
          <w:szCs w:val="28"/>
        </w:rPr>
        <w:t>%</w:t>
      </w:r>
      <w:r>
        <w:rPr>
          <w:rFonts w:hint="eastAsia" w:ascii="仿宋_GB2312" w:eastAsia="仿宋_GB2312"/>
          <w:sz w:val="28"/>
          <w:szCs w:val="28"/>
          <w:lang w:eastAsia="zh-CN"/>
        </w:rPr>
        <w:t>。</w:t>
      </w:r>
    </w:p>
    <w:p w14:paraId="6FB32AB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3316.4</w:t>
      </w:r>
      <w:r>
        <w:rPr>
          <w:rFonts w:hint="eastAsia" w:ascii="仿宋_GB2312" w:eastAsia="仿宋_GB2312"/>
          <w:sz w:val="28"/>
          <w:szCs w:val="28"/>
          <w:lang w:val="en-US" w:eastAsia="zh-CN"/>
        </w:rPr>
        <w:t>2</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3316.42</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7508F705">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35240F6">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66D4D775">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7E280E44">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5838F5B1">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14:paraId="1888EA53">
      <w:pPr>
        <w:spacing w:line="560" w:lineRule="exact"/>
        <w:ind w:firstLine="640"/>
        <w:rPr>
          <w:rFonts w:hint="eastAsia" w:ascii="仿宋_GB2312" w:eastAsia="仿宋_GB2312" w:cs="Droid Sans"/>
          <w:color w:val="000000"/>
          <w:sz w:val="32"/>
          <w:szCs w:val="32"/>
          <w:highlight w:val="none"/>
          <w:lang w:eastAsia="zh-CN"/>
        </w:rPr>
      </w:pPr>
    </w:p>
    <w:p w14:paraId="38F622FF">
      <w:pPr>
        <w:pStyle w:val="2"/>
        <w:ind w:firstLine="0"/>
        <w:jc w:val="center"/>
      </w:pPr>
      <w:r>
        <w:rPr>
          <w:rFonts w:hint="eastAsia" w:ascii="仿宋_GB2312" w:eastAsia="仿宋_GB2312"/>
          <w:color w:val="000000"/>
          <w:sz w:val="32"/>
          <w:szCs w:val="32"/>
          <w:highlight w:val="none"/>
          <w:lang w:val="en-US" w:eastAsia="zh-CN"/>
        </w:rPr>
        <w:t>图1：收入决算</w:t>
      </w:r>
    </w:p>
    <w:p w14:paraId="34B9CB57">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7EC5D4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40648C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3337.4</w:t>
      </w:r>
      <w:r>
        <w:rPr>
          <w:rFonts w:hint="eastAsia" w:ascii="仿宋_GB2312" w:eastAsia="仿宋_GB2312"/>
          <w:sz w:val="28"/>
          <w:szCs w:val="28"/>
          <w:lang w:val="en-US" w:eastAsia="zh-CN"/>
        </w:rPr>
        <w:t>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952</w:t>
      </w:r>
      <w:r>
        <w:rPr>
          <w:rFonts w:hint="eastAsia" w:ascii="仿宋_GB2312" w:eastAsia="仿宋_GB2312"/>
          <w:sz w:val="28"/>
          <w:szCs w:val="28"/>
          <w:lang w:val="en-US" w:eastAsia="zh-CN"/>
        </w:rPr>
        <w:t>.</w:t>
      </w:r>
      <w:r>
        <w:rPr>
          <w:rFonts w:hint="eastAsia" w:ascii="仿宋_GB2312" w:eastAsia="仿宋_GB2312"/>
          <w:sz w:val="28"/>
          <w:szCs w:val="28"/>
        </w:rPr>
        <w:t>78万元，增长</w:t>
      </w:r>
      <w:r>
        <w:rPr>
          <w:rFonts w:hint="eastAsia" w:ascii="仿宋_GB2312" w:eastAsia="仿宋_GB2312"/>
          <w:sz w:val="28"/>
          <w:szCs w:val="28"/>
          <w:lang w:val="en-US" w:eastAsia="zh-CN"/>
        </w:rPr>
        <w:t>39.96</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316.66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9.49</w:t>
      </w:r>
      <w:r>
        <w:rPr>
          <w:rFonts w:hint="eastAsia" w:ascii="仿宋_GB2312" w:eastAsia="仿宋_GB2312"/>
          <w:sz w:val="28"/>
          <w:szCs w:val="28"/>
          <w:highlight w:val="none"/>
        </w:rPr>
        <w:t>%；项目支出</w:t>
      </w:r>
      <w:r>
        <w:rPr>
          <w:rFonts w:ascii="仿宋_GB2312" w:eastAsia="仿宋_GB2312"/>
          <w:sz w:val="28"/>
          <w:szCs w:val="28"/>
          <w:highlight w:val="none"/>
        </w:rPr>
        <w:t>3020.76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90.51</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14:paraId="6DC49272">
      <w:pPr>
        <w:spacing w:line="560" w:lineRule="exact"/>
        <w:ind w:firstLine="640"/>
        <w:rPr>
          <w:rFonts w:hint="eastAsia" w:ascii="仿宋_GB2312" w:eastAsia="仿宋_GB2312" w:cs="Droid Sans"/>
          <w:color w:val="000000"/>
          <w:sz w:val="32"/>
          <w:szCs w:val="32"/>
          <w:highlight w:val="none"/>
          <w:lang w:eastAsia="zh-CN"/>
        </w:rPr>
      </w:pPr>
    </w:p>
    <w:p w14:paraId="2255455D">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5260D32">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2829A9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48C0E0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3337.4</w:t>
      </w:r>
      <w:r>
        <w:rPr>
          <w:rFonts w:hint="eastAsia" w:ascii="仿宋_GB2312" w:eastAsia="仿宋_GB2312"/>
          <w:sz w:val="28"/>
          <w:szCs w:val="28"/>
          <w:lang w:val="en-US" w:eastAsia="zh-CN"/>
        </w:rPr>
        <w:t>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952.78</w:t>
      </w:r>
      <w:r>
        <w:rPr>
          <w:rFonts w:hint="eastAsia" w:ascii="仿宋_GB2312" w:eastAsia="仿宋_GB2312"/>
          <w:sz w:val="28"/>
          <w:szCs w:val="28"/>
        </w:rPr>
        <w:t>万元，增长</w:t>
      </w:r>
      <w:r>
        <w:rPr>
          <w:rFonts w:hint="eastAsia" w:ascii="仿宋_GB2312" w:eastAsia="仿宋_GB2312"/>
          <w:sz w:val="28"/>
          <w:szCs w:val="28"/>
          <w:lang w:val="en-US" w:eastAsia="zh-CN"/>
        </w:rPr>
        <w:t>39.96</w:t>
      </w:r>
      <w:r>
        <w:rPr>
          <w:rFonts w:hint="eastAsia" w:ascii="仿宋_GB2312" w:eastAsia="仿宋_GB2312"/>
          <w:sz w:val="28"/>
          <w:szCs w:val="28"/>
        </w:rPr>
        <w:t>%。主要原因：</w:t>
      </w:r>
      <w:r>
        <w:rPr>
          <w:rFonts w:hint="eastAsia" w:ascii="仿宋_GB2312" w:eastAsia="仿宋_GB2312"/>
          <w:sz w:val="28"/>
          <w:szCs w:val="28"/>
          <w:lang w:eastAsia="zh-CN"/>
        </w:rPr>
        <w:t>文物修缮工程增加，社保基数调整，人员晋级</w:t>
      </w:r>
      <w:r>
        <w:rPr>
          <w:rFonts w:hint="eastAsia" w:ascii="仿宋_GB2312" w:eastAsia="仿宋_GB2312"/>
          <w:sz w:val="28"/>
          <w:szCs w:val="28"/>
        </w:rPr>
        <w:t>。</w:t>
      </w:r>
    </w:p>
    <w:p w14:paraId="2440887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107F5E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21B272E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3337.4</w:t>
      </w:r>
      <w:r>
        <w:rPr>
          <w:rFonts w:hint="eastAsia" w:ascii="仿宋_GB2312" w:eastAsia="仿宋_GB2312"/>
          <w:sz w:val="28"/>
          <w:szCs w:val="28"/>
          <w:lang w:val="en-US" w:eastAsia="zh-CN"/>
        </w:rPr>
        <w:t>2</w:t>
      </w:r>
      <w:r>
        <w:rPr>
          <w:rFonts w:hint="eastAsia" w:ascii="仿宋_GB2312" w:eastAsia="仿宋_GB2312"/>
          <w:sz w:val="28"/>
          <w:szCs w:val="28"/>
        </w:rPr>
        <w:t>万元，主要用于以下方面（按大类）：一般公共服务支出3256.59万元，占本年财政拨款支出</w:t>
      </w:r>
      <w:r>
        <w:rPr>
          <w:rFonts w:hint="eastAsia" w:ascii="仿宋_GB2312" w:eastAsia="仿宋_GB2312"/>
          <w:sz w:val="28"/>
          <w:szCs w:val="28"/>
          <w:lang w:val="en-US" w:eastAsia="zh-CN"/>
        </w:rPr>
        <w:t>97.58</w:t>
      </w:r>
      <w:r>
        <w:rPr>
          <w:rFonts w:hint="eastAsia" w:ascii="仿宋_GB2312" w:eastAsia="仿宋_GB2312"/>
          <w:sz w:val="28"/>
          <w:szCs w:val="28"/>
        </w:rPr>
        <w:t>%；社会保障和就业支出</w:t>
      </w:r>
      <w:r>
        <w:rPr>
          <w:rFonts w:hint="eastAsia" w:ascii="仿宋_GB2312" w:eastAsia="仿宋_GB2312"/>
          <w:sz w:val="28"/>
          <w:szCs w:val="28"/>
          <w:lang w:val="en-US" w:eastAsia="zh-CN"/>
        </w:rPr>
        <w:t>37.12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1.11</w:t>
      </w:r>
      <w:r>
        <w:rPr>
          <w:rFonts w:hint="eastAsia" w:ascii="仿宋_GB2312" w:eastAsia="仿宋_GB2312"/>
          <w:sz w:val="28"/>
          <w:szCs w:val="28"/>
        </w:rPr>
        <w:t>%；卫生健康支出</w:t>
      </w:r>
      <w:r>
        <w:rPr>
          <w:rFonts w:hint="eastAsia" w:ascii="仿宋_GB2312" w:eastAsia="仿宋_GB2312"/>
          <w:sz w:val="28"/>
          <w:szCs w:val="28"/>
          <w:lang w:val="en-US" w:eastAsia="zh-CN"/>
        </w:rPr>
        <w:t>22.71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0.68</w:t>
      </w:r>
      <w:r>
        <w:rPr>
          <w:rFonts w:hint="eastAsia" w:ascii="仿宋_GB2312" w:eastAsia="仿宋_GB2312"/>
          <w:sz w:val="28"/>
          <w:szCs w:val="28"/>
        </w:rPr>
        <w:t>%</w:t>
      </w:r>
      <w:r>
        <w:rPr>
          <w:rFonts w:hint="eastAsia" w:ascii="仿宋_GB2312" w:eastAsia="仿宋_GB2312"/>
          <w:sz w:val="28"/>
          <w:szCs w:val="28"/>
          <w:lang w:eastAsia="zh-CN"/>
        </w:rPr>
        <w:t>；住房保障支出</w:t>
      </w:r>
      <w:r>
        <w:rPr>
          <w:rFonts w:hint="eastAsia" w:ascii="仿宋_GB2312" w:eastAsia="仿宋_GB2312"/>
          <w:sz w:val="28"/>
          <w:szCs w:val="28"/>
          <w:lang w:val="en-US" w:eastAsia="zh-CN"/>
        </w:rPr>
        <w:t>21万元，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0.63</w:t>
      </w:r>
      <w:r>
        <w:rPr>
          <w:rFonts w:hint="eastAsia" w:ascii="仿宋_GB2312" w:eastAsia="仿宋_GB2312"/>
          <w:sz w:val="28"/>
          <w:szCs w:val="28"/>
        </w:rPr>
        <w:t>%。</w:t>
      </w:r>
    </w:p>
    <w:p w14:paraId="38C96F0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4D23867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val="en-US" w:eastAsia="zh-CN"/>
        </w:rPr>
        <w:t>207</w:t>
      </w:r>
      <w:r>
        <w:rPr>
          <w:rFonts w:hint="eastAsia" w:ascii="仿宋_GB2312" w:eastAsia="仿宋_GB2312"/>
          <w:sz w:val="28"/>
          <w:szCs w:val="28"/>
        </w:rPr>
        <w:t>文化旅游体育与传媒支出”（类）</w:t>
      </w:r>
      <w:r>
        <w:rPr>
          <w:rFonts w:hint="eastAsia" w:ascii="仿宋_GB2312" w:eastAsia="仿宋_GB2312"/>
          <w:sz w:val="28"/>
          <w:szCs w:val="28"/>
          <w:lang w:val="en-US" w:eastAsia="zh-CN"/>
        </w:rPr>
        <w:t>2024年度年初预算5026.04万元，</w:t>
      </w:r>
      <w:r>
        <w:rPr>
          <w:rFonts w:hint="eastAsia" w:ascii="仿宋_GB2312" w:eastAsia="仿宋_GB2312"/>
          <w:sz w:val="28"/>
          <w:szCs w:val="28"/>
        </w:rPr>
        <w:t>2024年度决算3256.59万元，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64.79</w:t>
      </w:r>
      <w:r>
        <w:rPr>
          <w:rFonts w:hint="eastAsia" w:ascii="仿宋_GB2312" w:eastAsia="仿宋_GB2312"/>
          <w:sz w:val="28"/>
          <w:szCs w:val="28"/>
        </w:rPr>
        <w:t>%。其中：</w:t>
      </w:r>
    </w:p>
    <w:p w14:paraId="66EA5CEB">
      <w:pPr>
        <w:spacing w:line="580" w:lineRule="exact"/>
        <w:ind w:firstLine="560" w:firstLineChars="200"/>
        <w:rPr>
          <w:rFonts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20702文物</w:t>
      </w:r>
      <w:r>
        <w:rPr>
          <w:rFonts w:hint="eastAsia" w:ascii="仿宋_GB2312" w:eastAsia="仿宋_GB2312"/>
          <w:sz w:val="28"/>
          <w:szCs w:val="28"/>
          <w:lang w:eastAsia="zh-CN"/>
        </w:rPr>
        <w:t>”</w:t>
      </w:r>
      <w:r>
        <w:rPr>
          <w:rFonts w:hint="eastAsia" w:ascii="仿宋_GB2312" w:eastAsia="仿宋_GB2312"/>
          <w:sz w:val="28"/>
          <w:szCs w:val="28"/>
        </w:rPr>
        <w:t>（款，下同）</w:t>
      </w:r>
      <w:r>
        <w:rPr>
          <w:rFonts w:hint="eastAsia" w:ascii="仿宋_GB2312" w:eastAsia="仿宋_GB2312"/>
          <w:sz w:val="28"/>
          <w:szCs w:val="28"/>
          <w:lang w:val="en-US" w:eastAsia="zh-CN"/>
        </w:rPr>
        <w:t>2024年度年初预算5026.04万元，</w:t>
      </w:r>
      <w:r>
        <w:rPr>
          <w:rFonts w:hint="eastAsia" w:ascii="仿宋_GB2312" w:eastAsia="仿宋_GB2312"/>
          <w:sz w:val="28"/>
          <w:szCs w:val="28"/>
        </w:rPr>
        <w:t>2024年度决算3256.59万元，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64.79</w:t>
      </w:r>
      <w:r>
        <w:rPr>
          <w:rFonts w:hint="eastAsia" w:ascii="仿宋_GB2312" w:eastAsia="仿宋_GB2312"/>
          <w:sz w:val="28"/>
          <w:szCs w:val="28"/>
        </w:rPr>
        <w:t>%。主要原因：</w:t>
      </w:r>
      <w:r>
        <w:rPr>
          <w:rFonts w:hint="eastAsia" w:ascii="仿宋_GB2312" w:eastAsia="仿宋_GB2312"/>
          <w:sz w:val="28"/>
          <w:szCs w:val="28"/>
          <w:lang w:eastAsia="zh-CN"/>
        </w:rPr>
        <w:t>文物保护工程跨年度结转使用</w:t>
      </w:r>
      <w:r>
        <w:rPr>
          <w:rFonts w:hint="eastAsia" w:ascii="仿宋_GB2312" w:eastAsia="仿宋_GB2312"/>
          <w:sz w:val="28"/>
          <w:szCs w:val="28"/>
        </w:rPr>
        <w:t>。</w:t>
      </w:r>
    </w:p>
    <w:p w14:paraId="47FB8D78">
      <w:pPr>
        <w:spacing w:line="580" w:lineRule="exact"/>
        <w:ind w:firstLine="560" w:firstLineChars="200"/>
        <w:rPr>
          <w:rFonts w:ascii="仿宋_GB2312" w:eastAsia="仿宋_GB2312"/>
          <w:sz w:val="28"/>
          <w:szCs w:val="28"/>
        </w:rPr>
      </w:pPr>
      <w:r>
        <w:rPr>
          <w:rFonts w:hint="eastAsia" w:ascii="仿宋_GB2312" w:eastAsia="仿宋_GB2312"/>
          <w:sz w:val="28"/>
          <w:szCs w:val="28"/>
        </w:rPr>
        <w:t>2.“</w:t>
      </w:r>
      <w:r>
        <w:rPr>
          <w:rFonts w:hint="eastAsia" w:ascii="仿宋_GB2312" w:eastAsia="仿宋_GB2312"/>
          <w:sz w:val="28"/>
          <w:szCs w:val="28"/>
          <w:lang w:val="en-US" w:eastAsia="zh-CN"/>
        </w:rPr>
        <w:t>208</w:t>
      </w:r>
      <w:r>
        <w:rPr>
          <w:rFonts w:hint="eastAsia" w:ascii="仿宋_GB2312" w:eastAsia="仿宋_GB2312"/>
          <w:sz w:val="28"/>
          <w:szCs w:val="28"/>
        </w:rPr>
        <w:t>社会保障和就业支出”(类)</w:t>
      </w:r>
      <w:r>
        <w:rPr>
          <w:rFonts w:hint="eastAsia" w:ascii="仿宋_GB2312" w:eastAsia="仿宋_GB2312"/>
          <w:sz w:val="28"/>
          <w:szCs w:val="28"/>
          <w:lang w:val="en-US" w:eastAsia="zh-CN"/>
        </w:rPr>
        <w:t>2024年度年初预算33.12万元</w:t>
      </w:r>
      <w:r>
        <w:rPr>
          <w:rFonts w:hint="eastAsia" w:ascii="仿宋_GB2312" w:eastAsia="仿宋_GB2312"/>
          <w:sz w:val="28"/>
          <w:szCs w:val="28"/>
        </w:rPr>
        <w:t xml:space="preserve"> </w:t>
      </w:r>
      <w:r>
        <w:rPr>
          <w:rFonts w:hint="eastAsia" w:ascii="仿宋_GB2312" w:eastAsia="仿宋_GB2312"/>
          <w:sz w:val="28"/>
          <w:szCs w:val="28"/>
          <w:lang w:eastAsia="zh-CN"/>
        </w:rPr>
        <w:t>，</w:t>
      </w:r>
      <w:r>
        <w:rPr>
          <w:rFonts w:hint="eastAsia" w:ascii="仿宋_GB2312" w:eastAsia="仿宋_GB2312"/>
          <w:sz w:val="28"/>
          <w:szCs w:val="28"/>
        </w:rPr>
        <w:t>2024年度决算37.1</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112.08</w:t>
      </w:r>
      <w:r>
        <w:rPr>
          <w:rFonts w:hint="eastAsia" w:ascii="仿宋_GB2312" w:eastAsia="仿宋_GB2312"/>
          <w:sz w:val="28"/>
          <w:szCs w:val="28"/>
        </w:rPr>
        <w:t>%。其中：</w:t>
      </w:r>
    </w:p>
    <w:p w14:paraId="186F163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20805</w:t>
      </w:r>
      <w:r>
        <w:rPr>
          <w:rFonts w:hint="eastAsia" w:ascii="仿宋_GB2312" w:eastAsia="仿宋_GB2312"/>
          <w:sz w:val="28"/>
          <w:szCs w:val="28"/>
        </w:rPr>
        <w:t>行政事业单位养老支出”（款）</w:t>
      </w:r>
      <w:r>
        <w:rPr>
          <w:rFonts w:hint="eastAsia" w:ascii="仿宋_GB2312" w:eastAsia="仿宋_GB2312"/>
          <w:sz w:val="28"/>
          <w:szCs w:val="28"/>
          <w:lang w:val="en-US" w:eastAsia="zh-CN"/>
        </w:rPr>
        <w:t>2024年度年初预算33.12万元</w:t>
      </w:r>
      <w:r>
        <w:rPr>
          <w:rFonts w:hint="eastAsia" w:ascii="仿宋_GB2312" w:eastAsia="仿宋_GB2312"/>
          <w:sz w:val="28"/>
          <w:szCs w:val="28"/>
        </w:rPr>
        <w:t xml:space="preserve"> </w:t>
      </w:r>
      <w:r>
        <w:rPr>
          <w:rFonts w:hint="eastAsia" w:ascii="仿宋_GB2312" w:eastAsia="仿宋_GB2312"/>
          <w:sz w:val="28"/>
          <w:szCs w:val="28"/>
          <w:lang w:eastAsia="zh-CN"/>
        </w:rPr>
        <w:t>，</w:t>
      </w:r>
      <w:r>
        <w:rPr>
          <w:rFonts w:hint="eastAsia" w:ascii="仿宋_GB2312" w:eastAsia="仿宋_GB2312"/>
          <w:sz w:val="28"/>
          <w:szCs w:val="28"/>
        </w:rPr>
        <w:t>2024年度决算37.1</w:t>
      </w:r>
      <w:r>
        <w:rPr>
          <w:rFonts w:hint="eastAsia" w:ascii="仿宋_GB2312" w:eastAsia="仿宋_GB2312"/>
          <w:sz w:val="28"/>
          <w:szCs w:val="28"/>
          <w:lang w:val="en-US" w:eastAsia="zh-CN"/>
        </w:rPr>
        <w:t>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112.08</w:t>
      </w:r>
      <w:r>
        <w:rPr>
          <w:rFonts w:hint="eastAsia" w:ascii="仿宋_GB2312" w:eastAsia="仿宋_GB2312"/>
          <w:sz w:val="28"/>
          <w:szCs w:val="28"/>
        </w:rPr>
        <w:t>%。主要原因：</w:t>
      </w:r>
      <w:r>
        <w:rPr>
          <w:rFonts w:hint="eastAsia" w:ascii="仿宋_GB2312" w:eastAsia="仿宋_GB2312"/>
          <w:sz w:val="28"/>
          <w:szCs w:val="28"/>
          <w:lang w:eastAsia="zh-CN"/>
        </w:rPr>
        <w:t>社保基数调整</w:t>
      </w:r>
      <w:r>
        <w:rPr>
          <w:rFonts w:hint="eastAsia" w:ascii="仿宋_GB2312" w:eastAsia="仿宋_GB2312"/>
          <w:sz w:val="28"/>
          <w:szCs w:val="28"/>
        </w:rPr>
        <w:t>。</w:t>
      </w:r>
    </w:p>
    <w:p w14:paraId="7A15B84F">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3.</w:t>
      </w:r>
      <w:r>
        <w:rPr>
          <w:rFonts w:hint="eastAsia" w:ascii="仿宋_GB2312" w:hAnsi="Times New Roman" w:eastAsia="仿宋_GB2312" w:cs="Times New Roman"/>
          <w:sz w:val="28"/>
          <w:szCs w:val="28"/>
          <w:lang w:val="en-US" w:eastAsia="zh-CN"/>
        </w:rPr>
        <w:t>“210卫生健康支出”</w:t>
      </w:r>
      <w:r>
        <w:rPr>
          <w:rFonts w:hint="eastAsia" w:ascii="仿宋_GB2312" w:eastAsia="仿宋_GB2312"/>
          <w:sz w:val="28"/>
          <w:szCs w:val="28"/>
        </w:rPr>
        <w:t>(类)</w:t>
      </w:r>
      <w:r>
        <w:rPr>
          <w:rFonts w:hint="eastAsia" w:ascii="仿宋_GB2312" w:eastAsia="仿宋_GB2312"/>
          <w:sz w:val="28"/>
          <w:szCs w:val="28"/>
          <w:lang w:val="en-US" w:eastAsia="zh-CN"/>
        </w:rPr>
        <w:t>2024年度年初预算21.60万元</w:t>
      </w:r>
      <w:r>
        <w:rPr>
          <w:rFonts w:hint="eastAsia" w:ascii="仿宋_GB2312" w:eastAsia="仿宋_GB2312"/>
          <w:sz w:val="28"/>
          <w:szCs w:val="28"/>
          <w:lang w:eastAsia="zh-CN"/>
        </w:rPr>
        <w:t>，</w:t>
      </w:r>
      <w:r>
        <w:rPr>
          <w:rFonts w:hint="eastAsia" w:ascii="仿宋_GB2312" w:eastAsia="仿宋_GB2312"/>
          <w:sz w:val="28"/>
          <w:szCs w:val="28"/>
        </w:rPr>
        <w:t>2024年度决算22.71万元，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105.14</w:t>
      </w:r>
      <w:r>
        <w:rPr>
          <w:rFonts w:hint="eastAsia" w:ascii="仿宋_GB2312" w:eastAsia="仿宋_GB2312"/>
          <w:sz w:val="28"/>
          <w:szCs w:val="28"/>
        </w:rPr>
        <w:t>%其中：</w:t>
      </w:r>
    </w:p>
    <w:p w14:paraId="770956A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21011行政事业单位医疗</w:t>
      </w:r>
      <w:r>
        <w:rPr>
          <w:rFonts w:hint="eastAsia" w:ascii="仿宋_GB2312" w:eastAsia="仿宋_GB2312"/>
          <w:sz w:val="28"/>
          <w:szCs w:val="28"/>
          <w:lang w:eastAsia="zh-CN"/>
        </w:rPr>
        <w:t>”</w:t>
      </w:r>
      <w:r>
        <w:rPr>
          <w:rFonts w:hint="eastAsia" w:ascii="仿宋_GB2312" w:eastAsia="仿宋_GB2312"/>
          <w:sz w:val="28"/>
          <w:szCs w:val="28"/>
        </w:rPr>
        <w:t>（款）</w:t>
      </w:r>
      <w:r>
        <w:rPr>
          <w:rFonts w:hint="eastAsia" w:ascii="仿宋_GB2312" w:eastAsia="仿宋_GB2312"/>
          <w:sz w:val="28"/>
          <w:szCs w:val="28"/>
          <w:lang w:val="en-US" w:eastAsia="zh-CN"/>
        </w:rPr>
        <w:t>2024年度年初预算21.60万元</w:t>
      </w:r>
      <w:r>
        <w:rPr>
          <w:rFonts w:hint="eastAsia" w:ascii="仿宋_GB2312" w:eastAsia="仿宋_GB2312"/>
          <w:sz w:val="28"/>
          <w:szCs w:val="28"/>
          <w:lang w:eastAsia="zh-CN"/>
        </w:rPr>
        <w:t>，</w:t>
      </w:r>
      <w:r>
        <w:rPr>
          <w:rFonts w:hint="eastAsia" w:ascii="仿宋_GB2312" w:eastAsia="仿宋_GB2312"/>
          <w:sz w:val="28"/>
          <w:szCs w:val="28"/>
        </w:rPr>
        <w:t>2024年度决算22.71万元，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105.14</w:t>
      </w:r>
      <w:r>
        <w:rPr>
          <w:rFonts w:hint="eastAsia" w:ascii="仿宋_GB2312" w:eastAsia="仿宋_GB2312"/>
          <w:sz w:val="28"/>
          <w:szCs w:val="28"/>
        </w:rPr>
        <w:t>%。主要原因：</w:t>
      </w:r>
      <w:r>
        <w:rPr>
          <w:rFonts w:hint="eastAsia" w:ascii="仿宋_GB2312" w:eastAsia="仿宋_GB2312"/>
          <w:sz w:val="28"/>
          <w:szCs w:val="28"/>
          <w:lang w:eastAsia="zh-CN"/>
        </w:rPr>
        <w:t>社保基数调整</w:t>
      </w:r>
      <w:r>
        <w:rPr>
          <w:rFonts w:hint="eastAsia" w:ascii="仿宋_GB2312" w:eastAsia="仿宋_GB2312"/>
          <w:sz w:val="28"/>
          <w:szCs w:val="28"/>
        </w:rPr>
        <w:t>。</w:t>
      </w:r>
    </w:p>
    <w:p w14:paraId="1D7C53CD">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4.“221住房保障支出”</w:t>
      </w:r>
      <w:r>
        <w:rPr>
          <w:rFonts w:hint="eastAsia" w:ascii="仿宋_GB2312" w:eastAsia="仿宋_GB2312"/>
          <w:sz w:val="28"/>
          <w:szCs w:val="28"/>
        </w:rPr>
        <w:t>(类)</w:t>
      </w:r>
      <w:r>
        <w:rPr>
          <w:rFonts w:hint="eastAsia" w:ascii="仿宋_GB2312" w:eastAsia="仿宋_GB2312"/>
          <w:sz w:val="28"/>
          <w:szCs w:val="28"/>
          <w:lang w:val="en-US" w:eastAsia="zh-CN"/>
        </w:rPr>
        <w:t>2024年度年初预算0万元，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21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14:paraId="55D4696C">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“22102</w:t>
      </w:r>
      <w:r>
        <w:rPr>
          <w:rFonts w:hint="default" w:ascii="仿宋_GB2312" w:eastAsia="仿宋_GB2312"/>
          <w:sz w:val="28"/>
          <w:szCs w:val="28"/>
          <w:lang w:val="en-US" w:eastAsia="zh-CN"/>
        </w:rPr>
        <w:t>住房改革支出</w:t>
      </w:r>
      <w:r>
        <w:rPr>
          <w:rFonts w:hint="eastAsia" w:ascii="仿宋_GB2312" w:eastAsia="仿宋_GB2312"/>
          <w:sz w:val="28"/>
          <w:szCs w:val="28"/>
          <w:lang w:val="en-US" w:eastAsia="zh-CN"/>
        </w:rPr>
        <w:t>”</w:t>
      </w:r>
      <w:r>
        <w:rPr>
          <w:rFonts w:hint="eastAsia" w:ascii="仿宋_GB2312" w:eastAsia="仿宋_GB2312"/>
          <w:sz w:val="28"/>
          <w:szCs w:val="28"/>
        </w:rPr>
        <w:t>（款）</w:t>
      </w:r>
      <w:r>
        <w:rPr>
          <w:rFonts w:hint="eastAsia" w:ascii="仿宋_GB2312" w:eastAsia="仿宋_GB2312"/>
          <w:sz w:val="28"/>
          <w:szCs w:val="28"/>
          <w:lang w:val="en-US" w:eastAsia="zh-CN"/>
        </w:rPr>
        <w:t>2024年度年初预算0万元，</w:t>
      </w:r>
      <w:r>
        <w:rPr>
          <w:rFonts w:hint="eastAsia" w:ascii="仿宋_GB2312" w:eastAsia="仿宋_GB2312"/>
          <w:sz w:val="28"/>
          <w:szCs w:val="28"/>
        </w:rPr>
        <w:t xml:space="preserve"> 2024年度决算</w:t>
      </w:r>
      <w:r>
        <w:rPr>
          <w:rFonts w:hint="eastAsia" w:ascii="仿宋_GB2312" w:eastAsia="仿宋_GB2312"/>
          <w:sz w:val="28"/>
          <w:szCs w:val="28"/>
          <w:lang w:val="en-US" w:eastAsia="zh-CN"/>
        </w:rPr>
        <w:t>21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发放住房补贴。</w:t>
      </w:r>
    </w:p>
    <w:p w14:paraId="0E1DA65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802A318">
      <w:pPr>
        <w:tabs>
          <w:tab w:val="center" w:pos="6979"/>
        </w:tabs>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14:paraId="238041DF">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0A45ED6">
      <w:pPr>
        <w:ind w:firstLine="537" w:firstLineChars="192"/>
        <w:rPr>
          <w:rFonts w:ascii="仿宋_GB2312" w:eastAsia="仿宋_GB2312"/>
          <w:sz w:val="28"/>
          <w:szCs w:val="28"/>
        </w:rPr>
      </w:pPr>
      <w:r>
        <w:rPr>
          <w:rFonts w:hint="eastAsia" w:ascii="仿宋_GB2312" w:eastAsia="仿宋_GB2312"/>
          <w:sz w:val="28"/>
          <w:szCs w:val="28"/>
        </w:rPr>
        <w:t>本单位2024年度无国有资本经营预算财</w:t>
      </w:r>
      <w:r>
        <w:rPr>
          <w:rFonts w:ascii="仿宋_GB2312" w:eastAsia="仿宋_GB2312"/>
          <w:sz w:val="28"/>
          <w:szCs w:val="28"/>
        </w:rPr>
        <w:t>政拨款</w:t>
      </w:r>
      <w:r>
        <w:rPr>
          <w:rFonts w:hint="eastAsia" w:ascii="仿宋_GB2312" w:eastAsia="仿宋_GB2312"/>
          <w:sz w:val="28"/>
          <w:szCs w:val="28"/>
        </w:rPr>
        <w:t>安排的支出。</w:t>
      </w:r>
    </w:p>
    <w:p w14:paraId="127A7354">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120D6F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316.66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w:t>
      </w:r>
      <w:r>
        <w:rPr>
          <w:rFonts w:hint="eastAsia" w:ascii="仿宋_GB2312" w:eastAsia="仿宋_GB2312"/>
          <w:sz w:val="28"/>
          <w:szCs w:val="28"/>
          <w:lang w:val="en-US" w:eastAsia="zh-CN"/>
        </w:rPr>
        <w:t>289.11</w:t>
      </w:r>
      <w:r>
        <w:rPr>
          <w:rFonts w:hint="eastAsia" w:ascii="仿宋_GB2312" w:eastAsia="仿宋_GB2312"/>
          <w:sz w:val="28"/>
          <w:szCs w:val="28"/>
        </w:rPr>
        <w:t>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w:t>
      </w:r>
      <w:r>
        <w:rPr>
          <w:rFonts w:hint="eastAsia" w:ascii="仿宋_GB2312" w:eastAsia="仿宋_GB2312"/>
          <w:sz w:val="28"/>
          <w:szCs w:val="28"/>
          <w:lang w:val="en-US" w:eastAsia="zh-CN"/>
        </w:rPr>
        <w:t>25.49万元</w:t>
      </w:r>
      <w:r>
        <w:rPr>
          <w:rFonts w:hint="eastAsia" w:ascii="仿宋_GB2312" w:eastAsia="仿宋_GB2312"/>
          <w:sz w:val="28"/>
          <w:szCs w:val="28"/>
        </w:rPr>
        <w:t>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；（3）对个人和家庭补助支出2.06</w:t>
      </w:r>
      <w:r>
        <w:rPr>
          <w:rFonts w:hint="eastAsia" w:ascii="仿宋_GB2312" w:eastAsia="仿宋_GB2312"/>
          <w:sz w:val="28"/>
          <w:szCs w:val="28"/>
          <w:lang w:eastAsia="zh-CN"/>
        </w:rPr>
        <w:t>万元</w:t>
      </w:r>
      <w:r>
        <w:rPr>
          <w:rFonts w:hint="eastAsia" w:ascii="仿宋_GB2312" w:eastAsia="仿宋_GB2312"/>
          <w:sz w:val="28"/>
          <w:szCs w:val="28"/>
        </w:rPr>
        <w:t>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w:t>
      </w:r>
      <w:r>
        <w:rPr>
          <w:rFonts w:hint="eastAsia" w:ascii="仿宋_GB2312" w:eastAsia="仿宋_GB2312"/>
          <w:sz w:val="28"/>
          <w:szCs w:val="28"/>
          <w:lang w:val="en-US" w:eastAsia="zh-CN"/>
        </w:rPr>
        <w:t>0万元</w:t>
      </w:r>
      <w:r>
        <w:rPr>
          <w:rFonts w:hint="eastAsia" w:ascii="仿宋_GB2312" w:eastAsia="仿宋_GB2312"/>
          <w:sz w:val="28"/>
          <w:szCs w:val="28"/>
        </w:rPr>
        <w:t>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582DBA48">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82915D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8ECC54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DA3E230">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0.18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1.8</w:t>
      </w:r>
      <w:r>
        <w:rPr>
          <w:rFonts w:hint="eastAsia" w:ascii="仿宋_GB2312" w:eastAsia="仿宋_GB2312"/>
          <w:sz w:val="28"/>
          <w:szCs w:val="28"/>
        </w:rPr>
        <w:t>万元减少</w:t>
      </w:r>
      <w:r>
        <w:rPr>
          <w:rFonts w:hint="eastAsia" w:ascii="仿宋_GB2312" w:eastAsia="仿宋_GB2312"/>
          <w:sz w:val="28"/>
          <w:szCs w:val="28"/>
          <w:lang w:val="en-US" w:eastAsia="zh-CN"/>
        </w:rPr>
        <w:t>1.62</w:t>
      </w:r>
      <w:r>
        <w:rPr>
          <w:rFonts w:hint="eastAsia" w:ascii="仿宋_GB2312" w:eastAsia="仿宋_GB2312"/>
          <w:sz w:val="28"/>
          <w:szCs w:val="28"/>
        </w:rPr>
        <w:t>万元。其中：</w:t>
      </w:r>
    </w:p>
    <w:p w14:paraId="1AE8D391">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p>
    <w:p w14:paraId="312FDAB1">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2.公务接待费。2024年度决算数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p>
    <w:p w14:paraId="48F3BB1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0.18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w:t>
      </w:r>
      <w:r>
        <w:rPr>
          <w:rFonts w:hint="eastAsia" w:ascii="仿宋_GB2312" w:eastAsia="仿宋_GB2312"/>
          <w:sz w:val="28"/>
          <w:szCs w:val="28"/>
        </w:rPr>
        <w:t>万元减少</w:t>
      </w:r>
      <w:r>
        <w:rPr>
          <w:rFonts w:hint="eastAsia" w:ascii="仿宋_GB2312" w:eastAsia="仿宋_GB2312"/>
          <w:sz w:val="28"/>
          <w:szCs w:val="28"/>
          <w:lang w:val="en-US" w:eastAsia="zh-CN"/>
        </w:rPr>
        <w:t>1.62</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0.18</w:t>
      </w:r>
      <w:r>
        <w:rPr>
          <w:rFonts w:hint="eastAsia" w:ascii="仿宋_GB2312" w:eastAsia="仿宋_GB2312"/>
          <w:sz w:val="28"/>
          <w:szCs w:val="28"/>
        </w:rPr>
        <w:t>万元，主要原因：：</w:t>
      </w:r>
      <w:r>
        <w:rPr>
          <w:rFonts w:hint="eastAsia" w:ascii="仿宋_GB2312" w:eastAsia="仿宋_GB2312"/>
          <w:sz w:val="28"/>
          <w:szCs w:val="28"/>
          <w:lang w:eastAsia="zh-CN"/>
        </w:rPr>
        <w:t>新能源电车费用降低</w:t>
      </w:r>
      <w:bookmarkStart w:id="0" w:name="_GoBack"/>
      <w:bookmarkEnd w:id="0"/>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65BB68F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ADEB2F6">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rPr>
      </w:pPr>
      <w:r>
        <w:rPr>
          <w:rFonts w:hint="eastAsia" w:ascii="仿宋_GB2312" w:eastAsia="仿宋_GB2312"/>
          <w:sz w:val="28"/>
          <w:szCs w:val="28"/>
        </w:rPr>
        <w:t>本单位不在机关运行经费统计范围之内。</w:t>
      </w:r>
    </w:p>
    <w:p w14:paraId="46C2D35F">
      <w:pPr>
        <w:numPr>
          <w:ilvl w:val="0"/>
          <w:numId w:val="0"/>
        </w:numPr>
        <w:pBdr>
          <w:bottom w:val="single" w:color="FFFFFF" w:sz="4" w:space="31"/>
        </w:pBdr>
        <w:spacing w:line="600" w:lineRule="exact"/>
        <w:ind w:firstLine="560" w:firstLineChars="200"/>
        <w:outlineLvl w:val="0"/>
        <w:rPr>
          <w:rFonts w:hint="eastAsia" w:ascii="黑体" w:eastAsia="黑体"/>
          <w:sz w:val="28"/>
          <w:szCs w:val="28"/>
        </w:rPr>
      </w:pPr>
      <w:r>
        <w:rPr>
          <w:rFonts w:hint="eastAsia" w:ascii="黑体" w:eastAsia="黑体"/>
          <w:sz w:val="28"/>
          <w:szCs w:val="28"/>
        </w:rPr>
        <w:t>三、政府采购支出情况</w:t>
      </w:r>
    </w:p>
    <w:p w14:paraId="4387D2F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2559.52</w:t>
      </w:r>
      <w:r>
        <w:rPr>
          <w:rFonts w:hint="eastAsia" w:ascii="仿宋_GB2312" w:eastAsia="仿宋_GB2312"/>
          <w:sz w:val="28"/>
          <w:szCs w:val="28"/>
        </w:rPr>
        <w:t>万元，其中：政府采购货物支出102.9</w:t>
      </w:r>
      <w:r>
        <w:rPr>
          <w:rFonts w:hint="eastAsia" w:ascii="仿宋_GB2312" w:eastAsia="仿宋_GB2312"/>
          <w:sz w:val="28"/>
          <w:szCs w:val="28"/>
          <w:lang w:val="en-US" w:eastAsia="zh-CN"/>
        </w:rPr>
        <w:t>1</w:t>
      </w:r>
      <w:r>
        <w:rPr>
          <w:rFonts w:hint="eastAsia" w:ascii="仿宋_GB2312" w:eastAsia="仿宋_GB2312"/>
          <w:sz w:val="28"/>
          <w:szCs w:val="28"/>
        </w:rPr>
        <w:t>万元，政府采购工程支出2456.61万元，政府采购服务支出</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ascii="仿宋_GB2312" w:eastAsia="仿宋_GB2312"/>
          <w:sz w:val="28"/>
          <w:szCs w:val="28"/>
        </w:rPr>
        <w:t>874.29</w:t>
      </w:r>
      <w:r>
        <w:rPr>
          <w:rFonts w:hint="eastAsia" w:ascii="仿宋_GB2312" w:eastAsia="仿宋_GB2312"/>
          <w:sz w:val="28"/>
          <w:szCs w:val="28"/>
        </w:rPr>
        <w:t>万元，占政府采购支出总额的</w:t>
      </w:r>
      <w:r>
        <w:rPr>
          <w:rFonts w:hint="eastAsia" w:ascii="仿宋_GB2312" w:eastAsia="仿宋_GB2312"/>
          <w:sz w:val="28"/>
          <w:szCs w:val="28"/>
          <w:lang w:eastAsia="zh-CN"/>
        </w:rPr>
        <w:t>34.16</w:t>
      </w:r>
      <w:r>
        <w:rPr>
          <w:rFonts w:hint="eastAsia" w:ascii="仿宋_GB2312" w:eastAsia="仿宋_GB2312"/>
          <w:sz w:val="28"/>
          <w:szCs w:val="28"/>
        </w:rPr>
        <w:t>%，其中：授予小微企业合同金额</w:t>
      </w:r>
      <w:r>
        <w:rPr>
          <w:rFonts w:ascii="仿宋_GB2312" w:eastAsia="仿宋_GB2312"/>
          <w:sz w:val="28"/>
          <w:szCs w:val="28"/>
        </w:rPr>
        <w:t>874.29</w:t>
      </w:r>
      <w:r>
        <w:rPr>
          <w:rFonts w:hint="eastAsia" w:ascii="仿宋_GB2312" w:eastAsia="仿宋_GB2312"/>
          <w:sz w:val="28"/>
          <w:szCs w:val="28"/>
        </w:rPr>
        <w:t>万元，占政府采购支出总额的</w:t>
      </w:r>
      <w:r>
        <w:rPr>
          <w:rFonts w:ascii="仿宋_GB2312" w:eastAsia="仿宋_GB2312"/>
          <w:sz w:val="28"/>
          <w:szCs w:val="28"/>
        </w:rPr>
        <w:t>34.16</w:t>
      </w:r>
      <w:r>
        <w:rPr>
          <w:rFonts w:hint="eastAsia" w:ascii="仿宋_GB2312" w:eastAsia="仿宋_GB2312"/>
          <w:sz w:val="28"/>
          <w:szCs w:val="28"/>
        </w:rPr>
        <w:t>%。</w:t>
      </w:r>
    </w:p>
    <w:p w14:paraId="4538573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D6411DD">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12月31日，北京市大兴区文物管理所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76BEDC1A">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52627EB">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4A0FCDF7">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D9B04E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8824222">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75D9978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D37308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FA3B950">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D48153D">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2A988142">
      <w:pPr>
        <w:numPr>
          <w:ilvl w:val="0"/>
          <w:numId w:val="0"/>
        </w:numPr>
        <w:pBdr>
          <w:bottom w:val="single" w:color="FFFFFF" w:sz="4" w:space="31"/>
        </w:pBdr>
        <w:spacing w:line="600" w:lineRule="exact"/>
        <w:ind w:firstLine="560" w:firstLineChars="200"/>
        <w:outlineLvl w:val="0"/>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rPr>
        <w:t>7. 文化旅游体育与传媒支出</w:t>
      </w:r>
      <w:r>
        <w:rPr>
          <w:rFonts w:hint="eastAsia" w:ascii="仿宋_GB2312" w:hAnsi="Times New Roman" w:eastAsia="仿宋_GB2312" w:cs="Times New Roman"/>
          <w:sz w:val="28"/>
          <w:szCs w:val="28"/>
          <w:highlight w:val="none"/>
          <w:lang w:eastAsia="zh-CN"/>
        </w:rPr>
        <w:t>（类）文物（款）文物保护（项）：反映考古发掘及文物保护方面的指出。</w:t>
      </w:r>
    </w:p>
    <w:p w14:paraId="054D21D7">
      <w:pPr>
        <w:numPr>
          <w:ilvl w:val="0"/>
          <w:numId w:val="0"/>
        </w:numPr>
        <w:pBdr>
          <w:bottom w:val="single" w:color="FFFFFF" w:sz="4" w:space="31"/>
        </w:pBdr>
        <w:spacing w:line="600" w:lineRule="exact"/>
        <w:ind w:firstLine="560" w:firstLineChars="200"/>
        <w:outlineLvl w:val="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8.</w:t>
      </w:r>
      <w:r>
        <w:rPr>
          <w:rFonts w:hint="eastAsia" w:ascii="仿宋_GB2312" w:hAnsi="Times New Roman" w:eastAsia="仿宋_GB2312" w:cs="Times New Roman"/>
          <w:sz w:val="28"/>
          <w:szCs w:val="28"/>
          <w:highlight w:val="none"/>
        </w:rPr>
        <w:t>文化旅游体育与传媒支出</w:t>
      </w:r>
      <w:r>
        <w:rPr>
          <w:rFonts w:hint="eastAsia" w:ascii="仿宋_GB2312" w:hAnsi="Times New Roman" w:eastAsia="仿宋_GB2312" w:cs="Times New Roman"/>
          <w:sz w:val="28"/>
          <w:szCs w:val="28"/>
          <w:highlight w:val="none"/>
          <w:lang w:eastAsia="zh-CN"/>
        </w:rPr>
        <w:t>（类）文物（款）</w:t>
      </w:r>
      <w:r>
        <w:rPr>
          <w:rFonts w:hint="eastAsia" w:ascii="仿宋_GB2312" w:hAnsi="Times New Roman" w:eastAsia="仿宋_GB2312" w:cs="Times New Roman"/>
          <w:sz w:val="28"/>
          <w:szCs w:val="28"/>
          <w:highlight w:val="none"/>
          <w:lang w:val="en-US" w:eastAsia="zh-CN"/>
        </w:rPr>
        <w:t>历史名城与古迹（项）：放映历史名城、世界遗产规划与古迹保护保护等方面支出。</w:t>
      </w:r>
    </w:p>
    <w:p w14:paraId="49D84449">
      <w:pPr>
        <w:numPr>
          <w:ilvl w:val="0"/>
          <w:numId w:val="0"/>
        </w:numPr>
        <w:pBdr>
          <w:bottom w:val="single" w:color="FFFFFF" w:sz="4" w:space="31"/>
        </w:pBdr>
        <w:spacing w:line="600" w:lineRule="exact"/>
        <w:ind w:firstLine="560" w:firstLineChars="200"/>
        <w:outlineLvl w:val="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9.</w:t>
      </w:r>
      <w:r>
        <w:rPr>
          <w:rFonts w:hint="eastAsia" w:ascii="仿宋_GB2312" w:hAnsi="Times New Roman" w:eastAsia="仿宋_GB2312" w:cs="Times New Roman"/>
          <w:sz w:val="28"/>
          <w:szCs w:val="28"/>
          <w:highlight w:val="none"/>
        </w:rPr>
        <w:t>文化旅游体育与传媒支出</w:t>
      </w:r>
      <w:r>
        <w:rPr>
          <w:rFonts w:hint="eastAsia" w:ascii="仿宋_GB2312" w:hAnsi="Times New Roman" w:eastAsia="仿宋_GB2312" w:cs="Times New Roman"/>
          <w:sz w:val="28"/>
          <w:szCs w:val="28"/>
          <w:highlight w:val="none"/>
          <w:lang w:eastAsia="zh-CN"/>
        </w:rPr>
        <w:t>（类）文物（款）</w:t>
      </w:r>
      <w:r>
        <w:rPr>
          <w:rFonts w:hint="eastAsia" w:ascii="仿宋_GB2312" w:hAnsi="Times New Roman" w:eastAsia="仿宋_GB2312" w:cs="Times New Roman"/>
          <w:sz w:val="28"/>
          <w:szCs w:val="28"/>
          <w:highlight w:val="none"/>
          <w:lang w:val="en-US" w:eastAsia="zh-CN"/>
        </w:rPr>
        <w:t>其他文物支出（项）：反映上述项目以外其他用于文物方面的支出。</w:t>
      </w:r>
    </w:p>
    <w:p w14:paraId="708AC395">
      <w:pPr>
        <w:numPr>
          <w:ilvl w:val="0"/>
          <w:numId w:val="0"/>
        </w:numPr>
        <w:pBdr>
          <w:bottom w:val="single" w:color="FFFFFF" w:sz="4" w:space="31"/>
        </w:pBdr>
        <w:spacing w:line="600" w:lineRule="exact"/>
        <w:ind w:firstLine="560" w:firstLineChars="200"/>
        <w:outlineLvl w:val="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lang w:val="en-US" w:eastAsia="zh-CN"/>
        </w:rPr>
        <w:t>10.</w:t>
      </w:r>
      <w:r>
        <w:rPr>
          <w:rFonts w:hint="eastAsia" w:ascii="仿宋_GB2312" w:eastAsia="仿宋_GB2312"/>
          <w:sz w:val="28"/>
          <w:szCs w:val="28"/>
          <w:lang w:eastAsia="zh-CN"/>
        </w:rPr>
        <w:t>文化旅游体育与传媒支出（类）文化和旅游（款）</w:t>
      </w:r>
      <w:r>
        <w:rPr>
          <w:rFonts w:hint="eastAsia" w:ascii="仿宋_GB2312" w:hAnsi="Times New Roman" w:eastAsia="仿宋_GB2312" w:cs="Times New Roman"/>
          <w:sz w:val="28"/>
          <w:szCs w:val="28"/>
          <w:highlight w:val="none"/>
          <w:lang w:val="en-US" w:eastAsia="zh-CN"/>
        </w:rPr>
        <w:t>其他文化和旅游支出（项）：放映除上述项以外其他用于文化和旅游方面的支出。</w:t>
      </w:r>
    </w:p>
    <w:p w14:paraId="138B7C8B">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lang w:eastAsia="zh-CN"/>
        </w:rPr>
      </w:pPr>
      <w:r>
        <w:rPr>
          <w:rFonts w:hint="eastAsia" w:ascii="仿宋_GB2312" w:hAnsi="Times New Roman" w:eastAsia="仿宋_GB2312" w:cs="Times New Roman"/>
          <w:sz w:val="28"/>
          <w:szCs w:val="28"/>
          <w:highlight w:val="none"/>
          <w:lang w:val="en-US" w:eastAsia="zh-CN"/>
        </w:rPr>
        <w:t>11.</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事业单位离退休（项）：反映事业单位开支的离退休经费。</w:t>
      </w:r>
    </w:p>
    <w:p w14:paraId="3E56C668">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lang w:eastAsia="zh-CN"/>
        </w:rPr>
      </w:pPr>
      <w:r>
        <w:rPr>
          <w:rFonts w:hint="eastAsia" w:ascii="仿宋_GB2312" w:hAnsi="Times New Roman" w:eastAsia="仿宋_GB2312" w:cs="Times New Roman"/>
          <w:sz w:val="28"/>
          <w:szCs w:val="28"/>
          <w:highlight w:val="none"/>
          <w:lang w:val="en-US" w:eastAsia="zh-CN"/>
        </w:rPr>
        <w:t>12.</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机关事业单位基本养老保险缴费支出（项）：反映机关事业单位实施养老保险制度由单位缴纳的基本养老保险费支出。</w:t>
      </w:r>
    </w:p>
    <w:p w14:paraId="68C6B909">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lang w:eastAsia="zh-CN"/>
        </w:rPr>
      </w:pPr>
      <w:r>
        <w:rPr>
          <w:rFonts w:hint="eastAsia" w:ascii="仿宋_GB2312" w:eastAsia="仿宋_GB2312"/>
          <w:sz w:val="28"/>
          <w:szCs w:val="28"/>
          <w:lang w:val="en-US" w:eastAsia="zh-CN"/>
        </w:rPr>
        <w:t>13.</w:t>
      </w:r>
      <w:r>
        <w:rPr>
          <w:rFonts w:hint="eastAsia" w:ascii="仿宋_GB2312" w:eastAsia="仿宋_GB2312"/>
          <w:sz w:val="28"/>
          <w:szCs w:val="28"/>
        </w:rPr>
        <w:t>社会保障和就业支出（类）行政事业单位养老支出（款）</w:t>
      </w:r>
      <w:r>
        <w:rPr>
          <w:rFonts w:hint="eastAsia" w:ascii="仿宋_GB2312" w:eastAsia="仿宋_GB2312"/>
          <w:sz w:val="28"/>
          <w:szCs w:val="28"/>
          <w:lang w:eastAsia="zh-CN"/>
        </w:rPr>
        <w:t>机关事业单位职业年金缴费支出（项）：反映机关事业单位实施养老保险制度由单位实际缴纳的职业年金支出。</w:t>
      </w:r>
    </w:p>
    <w:p w14:paraId="15E633AE">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lang w:eastAsia="zh-CN"/>
        </w:rPr>
      </w:pPr>
      <w:r>
        <w:rPr>
          <w:rFonts w:hint="eastAsia" w:ascii="仿宋_GB2312" w:hAnsi="Times New Roman" w:eastAsia="仿宋_GB2312" w:cs="Times New Roman"/>
          <w:sz w:val="28"/>
          <w:szCs w:val="28"/>
          <w:highlight w:val="none"/>
          <w:lang w:val="en-US" w:eastAsia="zh-CN"/>
        </w:rPr>
        <w:t>14.</w:t>
      </w:r>
      <w:r>
        <w:rPr>
          <w:rFonts w:hint="eastAsia" w:ascii="仿宋_GB2312" w:eastAsia="仿宋_GB2312"/>
          <w:sz w:val="28"/>
          <w:szCs w:val="28"/>
        </w:rPr>
        <w:t>社会保障和就业支出（类）行政事业单位养老支出（款）反映除上述项目以外</w:t>
      </w:r>
      <w:r>
        <w:rPr>
          <w:rFonts w:hint="eastAsia" w:ascii="仿宋_GB2312" w:eastAsia="仿宋_GB2312"/>
          <w:sz w:val="28"/>
          <w:szCs w:val="28"/>
          <w:lang w:eastAsia="zh-CN"/>
        </w:rPr>
        <w:t>（项）：反映</w:t>
      </w:r>
      <w:r>
        <w:rPr>
          <w:rFonts w:hint="eastAsia" w:ascii="仿宋_GB2312" w:eastAsia="仿宋_GB2312"/>
          <w:sz w:val="28"/>
          <w:szCs w:val="28"/>
        </w:rPr>
        <w:t>其他用于行政事业单位养老方面的支出</w:t>
      </w:r>
      <w:r>
        <w:rPr>
          <w:rFonts w:hint="eastAsia" w:ascii="仿宋_GB2312" w:eastAsia="仿宋_GB2312"/>
          <w:sz w:val="28"/>
          <w:szCs w:val="28"/>
          <w:lang w:eastAsia="zh-CN"/>
        </w:rPr>
        <w:t>。</w:t>
      </w:r>
    </w:p>
    <w:p w14:paraId="56F1D5B2">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lang w:eastAsia="zh-CN"/>
        </w:rPr>
      </w:pPr>
      <w:r>
        <w:rPr>
          <w:rFonts w:hint="eastAsia" w:ascii="仿宋_GB2312" w:eastAsia="仿宋_GB2312"/>
          <w:sz w:val="28"/>
          <w:szCs w:val="28"/>
          <w:lang w:val="en-US" w:eastAsia="zh-CN"/>
        </w:rPr>
        <w:t>15.</w:t>
      </w:r>
      <w:r>
        <w:rPr>
          <w:rFonts w:hint="eastAsia" w:ascii="仿宋_GB2312" w:eastAsia="仿宋_GB2312"/>
          <w:sz w:val="28"/>
          <w:szCs w:val="28"/>
          <w:lang w:eastAsia="zh-CN"/>
        </w:rPr>
        <w:t>卫生健康支出（类）行政事业单位医疗（款）事业单位医疗（项）：反映财政部门安排的事业单位基本医疗保险缴费经费，未参加医疗保险的事业单位的公费医疗经费，按国家规定享受离休人员医疗经费。</w:t>
      </w:r>
    </w:p>
    <w:p w14:paraId="01714E7C">
      <w:pPr>
        <w:numPr>
          <w:ilvl w:val="0"/>
          <w:numId w:val="0"/>
        </w:numPr>
        <w:pBdr>
          <w:bottom w:val="single" w:color="FFFFFF" w:sz="4" w:space="31"/>
        </w:pBdr>
        <w:spacing w:line="600" w:lineRule="exact"/>
        <w:ind w:firstLine="560" w:firstLineChars="200"/>
        <w:outlineLvl w:val="0"/>
        <w:rPr>
          <w:rFonts w:hint="eastAsia" w:ascii="仿宋_GB2312" w:eastAsia="仿宋_GB2312"/>
          <w:sz w:val="28"/>
          <w:szCs w:val="28"/>
          <w:lang w:val="en-US" w:eastAsia="zh-CN"/>
        </w:rPr>
      </w:pPr>
      <w:r>
        <w:rPr>
          <w:rFonts w:hint="eastAsia" w:ascii="仿宋_GB2312" w:eastAsia="仿宋_GB2312"/>
          <w:sz w:val="28"/>
          <w:szCs w:val="28"/>
          <w:lang w:val="en-US" w:eastAsia="zh-CN"/>
        </w:rPr>
        <w:t>16.</w:t>
      </w:r>
      <w:r>
        <w:rPr>
          <w:rFonts w:hint="eastAsia" w:ascii="仿宋_GB2312" w:eastAsia="仿宋_GB2312"/>
          <w:sz w:val="28"/>
          <w:szCs w:val="28"/>
          <w:lang w:eastAsia="zh-CN"/>
        </w:rPr>
        <w:t>卫生健康支出（类）行政事业单位医疗（款）公务员医疗补助（项）：反映财政部门安排的公务员医疗补助经费。</w:t>
      </w:r>
    </w:p>
    <w:p w14:paraId="5DC71D38">
      <w:pPr>
        <w:jc w:val="both"/>
        <w:rPr>
          <w:rFonts w:hint="eastAsia" w:ascii="黑体" w:eastAsia="黑体"/>
          <w:sz w:val="32"/>
          <w:szCs w:val="32"/>
        </w:rPr>
      </w:pPr>
    </w:p>
    <w:p w14:paraId="13C0A6E9">
      <w:pPr>
        <w:tabs>
          <w:tab w:val="center" w:pos="6979"/>
        </w:tabs>
        <w:spacing w:line="380" w:lineRule="exact"/>
        <w:jc w:val="center"/>
        <w:rPr>
          <w:rFonts w:ascii="宋体" w:hAnsi="宋体" w:cs="宋体"/>
          <w:b/>
          <w:bCs/>
          <w:kern w:val="0"/>
          <w:sz w:val="28"/>
          <w:szCs w:val="28"/>
        </w:rPr>
      </w:pPr>
    </w:p>
    <w:p w14:paraId="0E3F6992">
      <w:pPr>
        <w:tabs>
          <w:tab w:val="center" w:pos="6979"/>
        </w:tabs>
        <w:spacing w:line="380" w:lineRule="exact"/>
        <w:jc w:val="center"/>
        <w:rPr>
          <w:rFonts w:ascii="宋体" w:hAnsi="宋体" w:cs="宋体"/>
          <w:b/>
          <w:bCs/>
          <w:kern w:val="0"/>
          <w:sz w:val="28"/>
          <w:szCs w:val="28"/>
        </w:rPr>
      </w:pPr>
    </w:p>
    <w:p w14:paraId="3F7C8788">
      <w:pPr>
        <w:jc w:val="both"/>
        <w:rPr>
          <w:rFonts w:hint="eastAsia" w:ascii="黑体" w:eastAsia="黑体"/>
          <w:sz w:val="32"/>
          <w:szCs w:val="32"/>
        </w:rPr>
      </w:pPr>
    </w:p>
    <w:p w14:paraId="5AC61738">
      <w:pPr>
        <w:ind w:firstLine="640" w:firstLineChars="200"/>
        <w:jc w:val="center"/>
        <w:rPr>
          <w:rFonts w:hint="eastAsia" w:ascii="黑体" w:eastAsia="黑体"/>
          <w:sz w:val="32"/>
          <w:szCs w:val="32"/>
        </w:rPr>
      </w:pPr>
    </w:p>
    <w:p w14:paraId="41F61C54">
      <w:pPr>
        <w:ind w:firstLine="640" w:firstLineChars="200"/>
        <w:jc w:val="center"/>
        <w:rPr>
          <w:rFonts w:hint="eastAsia" w:ascii="黑体" w:eastAsia="黑体"/>
          <w:sz w:val="32"/>
          <w:szCs w:val="32"/>
        </w:rPr>
      </w:pPr>
    </w:p>
    <w:p w14:paraId="0BAC7245">
      <w:pPr>
        <w:ind w:firstLine="640" w:firstLineChars="200"/>
        <w:jc w:val="center"/>
        <w:rPr>
          <w:rFonts w:hint="eastAsia" w:ascii="黑体" w:eastAsia="黑体"/>
          <w:sz w:val="32"/>
          <w:szCs w:val="32"/>
        </w:rPr>
      </w:pPr>
    </w:p>
    <w:p w14:paraId="629AFF4C">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7FB71479">
      <w:pPr>
        <w:ind w:firstLine="560" w:firstLineChars="200"/>
        <w:rPr>
          <w:rFonts w:hint="eastAsia" w:ascii="黑体" w:eastAsia="黑体"/>
          <w:sz w:val="28"/>
          <w:szCs w:val="28"/>
          <w:highlight w:val="yellow"/>
        </w:rPr>
      </w:pPr>
    </w:p>
    <w:p w14:paraId="4818E50B">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14:paraId="462EB4CC">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14:paraId="1F809966">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14:paraId="1499B81F">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14:paraId="7154EA1C">
      <w:pPr>
        <w:spacing w:line="480" w:lineRule="exact"/>
        <w:rPr>
          <w:rFonts w:hint="eastAsia" w:ascii="仿宋_GB2312" w:hAnsi="仿宋_GB2312" w:eastAsia="仿宋_GB2312" w:cs="仿宋_GB2312"/>
          <w:sz w:val="32"/>
          <w:szCs w:val="32"/>
        </w:rPr>
      </w:pPr>
    </w:p>
    <w:p w14:paraId="001493F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52604A">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36EB315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9A97E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ED1EF9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EEC00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0D0DAE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95B24"/>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9CE3AAA"/>
    <w:rsid w:val="0BA148CA"/>
    <w:rsid w:val="0C1165C4"/>
    <w:rsid w:val="0D6D544B"/>
    <w:rsid w:val="0DD136FE"/>
    <w:rsid w:val="0F542F2C"/>
    <w:rsid w:val="0F8E2C57"/>
    <w:rsid w:val="1059665E"/>
    <w:rsid w:val="10AC13BA"/>
    <w:rsid w:val="145A6C1B"/>
    <w:rsid w:val="14B73493"/>
    <w:rsid w:val="167A2FF9"/>
    <w:rsid w:val="1764587C"/>
    <w:rsid w:val="18581C69"/>
    <w:rsid w:val="1AEC0734"/>
    <w:rsid w:val="1BC72DAF"/>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422B2087"/>
    <w:rsid w:val="433E495C"/>
    <w:rsid w:val="476C35BB"/>
    <w:rsid w:val="489F2FD7"/>
    <w:rsid w:val="48B045C9"/>
    <w:rsid w:val="4A0C2EDF"/>
    <w:rsid w:val="4AC27CB3"/>
    <w:rsid w:val="4BF72BEF"/>
    <w:rsid w:val="4FA90297"/>
    <w:rsid w:val="4FC41A43"/>
    <w:rsid w:val="51DB3C59"/>
    <w:rsid w:val="550C0952"/>
    <w:rsid w:val="55762E42"/>
    <w:rsid w:val="57A7B272"/>
    <w:rsid w:val="58470068"/>
    <w:rsid w:val="58747CAC"/>
    <w:rsid w:val="5A1720F9"/>
    <w:rsid w:val="5B9C37C2"/>
    <w:rsid w:val="5BA7C654"/>
    <w:rsid w:val="5DF716AE"/>
    <w:rsid w:val="5F9F507E"/>
    <w:rsid w:val="60A54109"/>
    <w:rsid w:val="61D01CDF"/>
    <w:rsid w:val="64C0607C"/>
    <w:rsid w:val="65756C86"/>
    <w:rsid w:val="674D385B"/>
    <w:rsid w:val="676F09E1"/>
    <w:rsid w:val="69407185"/>
    <w:rsid w:val="71691990"/>
    <w:rsid w:val="71793A80"/>
    <w:rsid w:val="7357290B"/>
    <w:rsid w:val="74F272C5"/>
    <w:rsid w:val="756E3DEA"/>
    <w:rsid w:val="76FB1693"/>
    <w:rsid w:val="77DC687A"/>
    <w:rsid w:val="798524E4"/>
    <w:rsid w:val="7A7F1C49"/>
    <w:rsid w:val="7B5B7AE6"/>
    <w:rsid w:val="7B7B6628"/>
    <w:rsid w:val="7BA7071E"/>
    <w:rsid w:val="7BDF6DA8"/>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3316.43</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a31a22d-92a3-4dc5-a9a5-5bf3a0305c21}"/>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316.66</c:v>
                </c:pt>
                <c:pt idx="1">
                  <c:v>3020.76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b105a3c-d236-418c-9227-6b384e4e1d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907</Words>
  <Characters>998</Characters>
  <Lines>44</Lines>
  <Paragraphs>12</Paragraphs>
  <TotalTime>36</TotalTime>
  <ScaleCrop>false</ScaleCrop>
  <LinksUpToDate>false</LinksUpToDate>
  <CharactersWithSpaces>1014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水晶</cp:lastModifiedBy>
  <cp:lastPrinted>2020-08-09T03:39:00Z</cp:lastPrinted>
  <dcterms:modified xsi:type="dcterms:W3CDTF">2025-10-11T02:51:23Z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A7F78878FB63AC2F75B4B7682BD79272</vt:lpwstr>
  </property>
  <property fmtid="{D5CDD505-2E9C-101B-9397-08002B2CF9AE}" pid="4" name="KSOTemplateDocerSaveRecord">
    <vt:lpwstr>eyJoZGlkIjoiNTI0ZjhmYjE4ZmFjNTAyMTdiMjZhODE0MWU3MWZjNjAiLCJ1c2VySWQiOiIyMzY2ODU3NjYifQ==</vt:lpwstr>
  </property>
</Properties>
</file>