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979"/>
        </w:tabs>
        <w:jc w:val="center"/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  <w:t>第四部分 2024年度部门绩效评价情况</w:t>
      </w:r>
    </w:p>
    <w:p>
      <w:pPr>
        <w:spacing w:line="580" w:lineRule="exact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</w:p>
    <w:p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支出绩效自评表</w:t>
      </w: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79"/>
        <w:gridCol w:w="1574"/>
        <w:gridCol w:w="1"/>
        <w:gridCol w:w="1078"/>
        <w:gridCol w:w="1"/>
        <w:gridCol w:w="1079"/>
        <w:gridCol w:w="1"/>
        <w:gridCol w:w="329"/>
        <w:gridCol w:w="1"/>
        <w:gridCol w:w="1558"/>
        <w:gridCol w:w="1"/>
        <w:gridCol w:w="1424"/>
        <w:gridCol w:w="2"/>
        <w:gridCol w:w="793"/>
        <w:gridCol w:w="3"/>
        <w:gridCol w:w="702"/>
        <w:gridCol w:w="4"/>
        <w:gridCol w:w="836"/>
        <w:gridCol w:w="4"/>
        <w:gridCol w:w="716"/>
        <w:gridCol w:w="4"/>
        <w:gridCol w:w="1076"/>
        <w:gridCol w:w="4"/>
        <w:gridCol w:w="1076"/>
        <w:gridCol w:w="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2024年园林绿化专业技术培训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1.032</w:t>
            </w: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1.032</w:t>
            </w: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0.9705</w:t>
            </w: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94.04%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1.032</w:t>
            </w: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1.032</w:t>
            </w: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0.9705</w:t>
            </w: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94.04%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2024年全年完成两次园林绿化专业技术培训，通过培训提升工作人员业务知识和业务水平。</w:t>
            </w:r>
          </w:p>
        </w:tc>
        <w:tc>
          <w:tcPr>
            <w:tcW w:w="664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2024年全年已完成两次园林绿化专业技术培训，工作人员业务知识和业务水平得到提升，公园、绿地管护朝着专业化、精细化方向发展。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指标1：上半年完成培训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指标2：下半年完成培训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指标1：授课老师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中高级工程师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指标2：课程内容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丰富、实用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课程内容丰富、实用，质量得到保证。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指标1：上半年完成全年培训任务率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≥50%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指标2：全年完成培训任务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≤1.032万元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0.9705万元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指标1：提升园林工作者专业素养，为社会培养园林绿化专业人才。     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提升了园林工作者的专业素养。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指标1：提升公园、绿地景观效果。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公园、绿地景观效果有所提升，公园、绿地管护朝着专业化、精细化方向发展。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指标1：提升工作人员业务知识和业务水平，保障园林绿化工作的高质量发展。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提升了工作人员业务知识和业务水平，保障了园林绿化工作的高质量发展。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指标2：邀请园林中心专家组成员授课，提升中心园林专业人力资源可持续发展。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中心园林绿化队伍专业素养和综合能力得到提升。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指标1：参培人员满意度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99.40 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405" w:hRule="atLeast"/>
        </w:trPr>
        <w:tc>
          <w:tcPr>
            <w:tcW w:w="1420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420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67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大兴滨河森林公园2022年度续期租用土地租金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1793.85</w:t>
            </w: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1771.063333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1771.063333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1793.85</w:t>
            </w: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1771.063333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1771.063333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保证滨河森林公园土地合法合规使用，为大兴区民众提供良好的休闲活动场所的同时，维护集体土地所有者的合法权益，维护社会稳定。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通过支付黄村镇政府土地租用资金，保证滨河森林公园土地合法合规使用，在为大兴区民众提供良好的休闲活动场所的同时，维护集体土地所有者的合法权益，维护社会稳定。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指标1：租用土地面积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1776.76亩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1776.76亩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指标1：特级绿地面积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238.2亩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238.2亩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指标2：一级绿地面积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1538.56亩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1538.56亩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指标1：计划完成时间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2023年度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2023年度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≤1793.85万元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1771.063333万元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11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指标1：集体土地所有者的合法权益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得到维护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维护集体土地所有者的合法权益，维护社会稳定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1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指标1：城市生态环境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提高生态系统植物多样性，改善城市空气质量，城市生态环境得到提升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13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指标1：持续提供良好的休闲场所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得以保障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保障土地合法合规使用，持续为大兴区民众提供良好的休闲活动场所。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12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指标1：社会公众满意度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加强与公众的沟通，加强便民服务达到游客满意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315" w:hRule="atLeast"/>
        </w:trPr>
        <w:tc>
          <w:tcPr>
            <w:tcW w:w="89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1080"/>
        <w:gridCol w:w="1575"/>
        <w:gridCol w:w="1080"/>
        <w:gridCol w:w="1080"/>
        <w:gridCol w:w="331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大兴新城道路绿地景观提升工程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通过对兴丰大街、新源大街、京开东辅路、永华西路这四条道路绿地的景观提升，将其打造为“活力、生态、有机、多彩交织交融的城市绿带”，即实现“道在绿色中，道在花园中”的目标。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大兴新城道路绿地景观提升工程于2024年9月2日开工，改造总面积约 208212 平方米。改造内容：道路绿带内植物补植、苗木清理；兴丰大街路侧小乐园改造，包括补植苗木、硬化铺装改造、新增给排水及照明设施、更换假山、修缮廊架等。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指标1：改造道路长度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17.8公里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17.8公里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指标2：改造面积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约20万平米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20万平米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指标1：道路绿地景观提升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按照相关标准完成施工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严格按照实施方案和设计方案进行施工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指标2：小乐园改造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按照相关标准完成施工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严格按照实施方案和设计方案进行施工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指标1：发改立项时间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指标2：进场时间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2024年7月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增加了两次评审，以后项目注意时间把控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指标3：完工时间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2025年1月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2025年1月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545.092107万元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指标1：场地利用情况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利用率提升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利用率提升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指标1：公共服务能力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指标1：道路绿化情况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绿化率提升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绿化率显著提升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指标1：城市形象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美化度上升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美化度上升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增色添香方面还有待进一步提升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1080"/>
        <w:gridCol w:w="1575"/>
        <w:gridCol w:w="1080"/>
        <w:gridCol w:w="1080"/>
        <w:gridCol w:w="331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大兴新城街心公园环境提升工程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通过环境提升改造，打造成为一个安全的、舒适的、温馨的智能绿地空间，提升区域内的游憩、景观环境，进而提升大兴区中心区整体面貌，助理区域发展，彰显场地价值。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大兴新城街心公园环境提升工程于2021年4月17日开工，总投资512万元，建设内容包括：绿化工程、庭院工程、给排水工程、电气工程等，2022年6月30日竣工，并与2022年11月15日完成审计。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指标1：主要建设内容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提升改造绿化园路以及设施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种植乔木 75 株、灌木 869 株、地被 4908.2 ㎡；园路、广场铺装 6272 ㎡。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指标1：达到质量验收标准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通过施工、监理、建设方三方组织竣工验收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施工过程中严格把控质量关，竣工验收通过率100%。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指标1：按时完工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按照施工合同工期要求按时完成各项工程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2021年4月17日开工，2021年7月23日完工，2022年6月30日竣工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疫情期间，由于工人和原材料等影响施工进度。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6.831089万元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指标1：场地利用情况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利用率提升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打造成为一个安全的、舒适的、温馨的智能绿地空间，提升区域内的游憩、景观环境，彰显场地价值。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指标1：公共服务能力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因地制宜，增加绿地游憩空间，通过腾退还绿、疏解建绿、见缝插绿等途径，增加公园绿地、小微绿地、活动广场，为人民群众提供更多游憩场所。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指标1：生态环境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提高生态文明，提高公园服务水平，拓宽公园受众人群。生态环境持续改善，公园实用功能不断增加。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指标1：人民群众的获得感、幸福感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通过提升改造之后，人民游园的幸福感提升，普遍好评。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指标1：游客满意度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党建活动经费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丰富党员政治生活，提高党组织凝聚力，充分发挥党员先锋模范作用。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有效加强对党员的教育和管理，提高党员的能力和素质，同时增强党组织的凝聚力和战斗力，推动党员为园林事业高质量发展发挥先锋模范作用。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指标2：党建活动经费拨付标准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300元/人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300元/人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指标1：高质量开展党建活动和党员教育培训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指标1：党建活动经费总额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≤5.1万元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指标1：发挥党员先锋模范作用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1080"/>
        <w:gridCol w:w="1575"/>
        <w:gridCol w:w="1080"/>
        <w:gridCol w:w="1080"/>
        <w:gridCol w:w="331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翡翠公园环境改造提升工程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通过环境提升改造，打造成为一个安全的、舒适的、温馨的智能绿地空间，提升区域内的游憩、景观环境，进而提升大兴区中心区整体面貌，助理区域发展，彰显场地价值。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2020年翡翠公园环境改造提升工程于2021年4月15日开工，总投资1327万元，建设内容包括：绿化工程、庭院工程、给排水工程、电气工程、土石方工程等，2022年7月28日竣工。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指标1：建设内容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包括：绿化工程、庭院工程、给排水工程、电气工程、土石方工程等，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绿化工程栽植常绿乔木152株，乔木78株，色带1327平米，攀缘植物720株，地被类29896平米，庭院工程混凝土园路5200平米，广场铺砖3725平米等。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指标1：达到质量验收标准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通过施工、监理、建设方三方组织竣工验收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施工过程中严格把控质量关，竣工验收通过率100%。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指标1：按期完工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按照施工合同工期要求按时完成各项工程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2021年4月15日开工，于2021年8月12日完工，2022年7月28日竣工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疫情期间，由于工人和原材料等影响施工进度。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166.7629万元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指标1：场地利用情况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利用率提升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打造成为一个安全的、舒适的、温馨的智能绿地空间，提升区域内的游憩、景观环境，助力区域发展，彰显场地价值。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指标1：公共服务能力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因地制宜，增加绿地游憩空间，通过腾退还绿、疏解建绿、见缝插绿等途径，增加公园绿地、小微绿地、活动广场，为人民群众提供更多游憩场所。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指标1：生态环境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提高生态文明，提高公园服务水平，拓宽公园受众人群。生态环境持续改善，公园实用功能不断增加。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指标1：人民群众的获得感、幸福感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通过提升改造之后，人民游园的幸福感提升，普遍好评。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指标1：游客满意度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律师费23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为了维护中心依法规范管理行为，预防、减少单位法律纠纷和经营风险，提供法律咨询、合同合法性审查等法律服务和保障。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通过提供高质量法律咨询和对合同合法性进行审查，有效预防和减少单位法律纠纷和经营风险，达到了项目预期目标。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指标1：合同合法性审查覆盖率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指标1：合同审查准确率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指标2：提供法律咨询质量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通过提供法律咨询，有效预防单位法律纠纷和经营风险，咨询质量较高。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指标1：按时完成合同审理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3个工作日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基本能保证按时完成合同审理。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个别合同审理速度有待加强。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指标1：因法律纠纷和经营风险造成经济损失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得以避免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通过对合同合法性审查，避免了因法律纠纷和经营风险造成经济损失。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指标1：依法行政工作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得以加强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单位依法行政工作得以加强。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指标1：职工法律意识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通过法律咨询，提高职工的法律意识，营造讲法、守法的工作氛围。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指标1：甲方满意度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规范管理，做好办公区域环境卫生清洁；维护公共秩序，做好安全防范等相关工作，保障中心安全稳定。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办公区整洁卫生，后勤得到有效保障，各项安全措施稳妥落位。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指标1：办公面积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2000平米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2000平米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指标1：后勤保障水平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后勤保障到位，紧急情况反应迅速，处置有力。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制度齐全，保障到位，紧急情况处理需要加强。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服务细节需提高，加强日常监督，确保各项服务质量提升。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东文宋体" w:hAnsi="东文宋体" w:eastAsia="东文宋体" w:cs="东文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东文宋体" w:hAnsi="东文宋体" w:eastAsia="东文宋体" w:cs="东文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93.53万元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指标1：安全稳定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保证办公区域干净整洁、有序稳定。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整洁卫生，秩序井然，后勤得到有效保障。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指标1：职工满意度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东文宋体" w:hAnsi="东文宋体" w:eastAsia="东文宋体" w:cs="东文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东文宋体" w:hAnsi="东文宋体" w:eastAsia="东文宋体" w:cs="东文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总体比较满意，但仍需持续提升服务水平，确保职工得到更好的服务体验。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习近平新时代中国特色社会主义思想主题教育培训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2.31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2.280868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98.74%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2.31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2.280868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98.74%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提高区园林中心各级党组织抓党建促发展能力和党组织书记、党务工作者的综合素质，培养造就堪当园林事业发展重任的高素质党员干部队伍，推动党建引领园林事业高质量发展。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通过开展习近平新时代中国特色社会主义思想主题教育培训，进一步提升区园林中心各级党组织抓党建促发展的能力，提高党组织书记和党务工作者的专业水平和综合素质。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指标1：参加培训人次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指标2：开展培训次数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指标1：培训效果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指标1：培训完成时间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≤2.31万元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2.280868万元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指标1：党务工作水平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指标2：党员意识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99.87 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8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增设自动体外除颤仪（AED）项目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为了抢抓“黄金4分钟”实施有效抢救，提高公园心源性猝死抢救成功率，对所辖公园配备自动体外除颤器(AED)，提升公园紧急救助能力，营造安全舒适的游园环境。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以于2024年一季度完成所有AED设备的采购、安装及调试工作，设备已能够投入使用。通过配备自动体外除颤器(AED)，提升公众急救意识，增强公园应急救援能力，加强社会安全感，社会效益初步显现。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指标1：配置AED数量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16个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16个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指标1：覆盖率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所辖公园全覆盖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所辖公园全覆盖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指标1：计划完成时间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2024年度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2024年度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≤31.84万元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指标1：急救文化传播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在公共区域配置AED，对公众进行讲解，广泛传播急救知识。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已完成对公共区域AED的配置，并对公众进行急救知识的讲解，但广泛性不足。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应进一步加强急救文化的宣传力度。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指标1：人员培训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组织各单位人员进行心肺复苏和AED使用的规范化培训。每单位至少10人完成培训。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组织各单位人员进行心肺复苏和AED使用的规范化培训。每单位至少10人完成培训。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指标1：公共场所安全感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提升公共场所安全感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提升公共场所安全感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3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80"/>
        <w:gridCol w:w="1575"/>
        <w:gridCol w:w="1079"/>
        <w:gridCol w:w="1080"/>
        <w:gridCol w:w="330"/>
        <w:gridCol w:w="1559"/>
        <w:gridCol w:w="1425"/>
        <w:gridCol w:w="796"/>
        <w:gridCol w:w="706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引进球茎类植物蜡封处理项目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研究不同露地越冬措施对朱顶红蜡封后性能的影响，完成技术报告，并在公园展出蜡封后朱顶红植物。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已开展5种不同露地越冬措施对朱顶红蜡封后性能影响的研究，待研究结束后出具技术报告，并在公园展出蜡封后朱顶红植物。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指标1：研究5种不同露地越冬措施对朱顶红蜡封后的影响。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≥1000株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1000株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指标1：研究样本蜡封朱顶红存活率。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指标1：开展朱顶红露地越冬实验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已按时开展实验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≤7.658万元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7.658万元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指标1：减少朱顶红在普通方式贮藏过程中的霉变损失。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减少损失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减少朱顶红种球霉变损失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指标1：丰富公园植物景观，提升游客游览体验。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蜡封朱顶红已在公园中展出，丰富了植物景观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指标2：科普植物养护新技术，激发市民游客对植物科技园林的兴趣。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提升了市民游客对植物科技园林的兴趣。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指标3：为国产朱顶红蜡封及越冬贮藏措施提供理论技术支撑。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提升了朱顶红蜡封及越冬贮藏措施操作能力。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提升公园、绿地景观效果。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公园、绿地景观效果有所提升，增添了公园新生态景观结构。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持续提升公园生态景观，同时提高公园知名度。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蜡封朱顶红已在公园中种植，丰富了植物景观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未开展满意度调查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因实验正在进行，待实验结束后，再开展满意度调差。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C629E"/>
    <w:rsid w:val="32C15DD8"/>
    <w:rsid w:val="4A1C629E"/>
    <w:rsid w:val="6FD3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9">
    <w:name w:val="font71"/>
    <w:basedOn w:val="4"/>
    <w:qFormat/>
    <w:uiPriority w:val="0"/>
    <w:rPr>
      <w:rFonts w:hint="default" w:ascii="东文宋体" w:hAnsi="东文宋体" w:eastAsia="东文宋体" w:cs="东文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2025-09-18T01:50:00Z</dcterms:created>
  <dc:creator>lenovo</dc:creator>
  <cp:lastModifiedBy>lenovo</cp:lastModifiedBy>
  <dcterms:modified xsi:type="dcterms:W3CDTF">2025-09-18T02:04:54Z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