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48" w:firstLineChars="196"/>
        <w:textAlignment w:val="auto"/>
        <w:rPr>
          <w:rFonts w:hint="eastAsia" w:ascii="黑体" w:eastAsia="黑体"/>
          <w:b/>
          <w:sz w:val="28"/>
          <w:szCs w:val="28"/>
        </w:rPr>
      </w:pPr>
      <w:r>
        <w:rPr>
          <w:rFonts w:hint="eastAsia" w:ascii="黑体" w:eastAsia="黑体"/>
          <w:b/>
          <w:sz w:val="28"/>
          <w:szCs w:val="28"/>
        </w:rPr>
        <w:t>一、单位基本情况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0"/>
        <w:textAlignment w:val="auto"/>
        <w:rPr>
          <w:rFonts w:hint="eastAsia" w:ascii="仿宋_GB2312" w:eastAsia="仿宋_GB2312"/>
          <w:sz w:val="28"/>
          <w:szCs w:val="28"/>
        </w:rPr>
      </w:pPr>
      <w:r>
        <w:rPr>
          <w:rFonts w:hint="eastAsia" w:ascii="仿宋_GB2312" w:eastAsia="仿宋_GB2312"/>
          <w:sz w:val="28"/>
          <w:szCs w:val="28"/>
        </w:rPr>
        <w:t>单位职责：参与拟订国民经济和社会发展中长期规划，并对规划实施情况进行监测与评估；负责协助机关研究拟订全区国民经济和社会发展年度计划；负责监测分析宏观经济形势和国内外经济发展变化，组织开展国民经济和社会发展的预测预警；承担全区经济社会发展改革重大问题的研究工作，为制定实施战略、规划、政策等提供决策服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eastAsia="zh-CN"/>
        </w:rPr>
        <w:t>机构设置情况</w:t>
      </w:r>
      <w:r>
        <w:rPr>
          <w:rFonts w:hint="eastAsia" w:ascii="仿宋_GB2312" w:eastAsia="仿宋_GB2312"/>
          <w:sz w:val="28"/>
          <w:szCs w:val="28"/>
        </w:rPr>
        <w:t>：</w:t>
      </w:r>
      <w:r>
        <w:rPr>
          <w:rFonts w:hint="eastAsia" w:ascii="仿宋_GB2312" w:eastAsia="仿宋_GB2312"/>
          <w:sz w:val="28"/>
          <w:szCs w:val="28"/>
          <w:lang w:val="en-US" w:eastAsia="zh-CN"/>
        </w:rPr>
        <w:t>单位内部机构</w:t>
      </w:r>
      <w:r>
        <w:rPr>
          <w:rFonts w:hint="eastAsia" w:ascii="仿宋_GB2312" w:eastAsia="仿宋_GB2312"/>
          <w:sz w:val="28"/>
          <w:szCs w:val="28"/>
          <w:lang w:eastAsia="zh-CN"/>
        </w:rPr>
        <w:t>设有办公室和综合科两个科室。</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188.7</w:t>
      </w:r>
      <w:r>
        <w:rPr>
          <w:rFonts w:hint="eastAsia" w:ascii="仿宋_GB2312" w:eastAsia="仿宋_GB2312"/>
          <w:sz w:val="28"/>
          <w:szCs w:val="28"/>
          <w:lang w:val="en-US" w:eastAsia="zh"/>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
        </w:rPr>
        <w:t>45.87</w:t>
      </w:r>
      <w:r>
        <w:rPr>
          <w:rFonts w:hint="eastAsia" w:ascii="仿宋_GB2312" w:eastAsia="仿宋_GB2312"/>
          <w:sz w:val="28"/>
          <w:szCs w:val="28"/>
        </w:rPr>
        <w:t>万元，增长</w:t>
      </w:r>
      <w:r>
        <w:rPr>
          <w:rFonts w:hint="eastAsia" w:ascii="仿宋_GB2312" w:eastAsia="仿宋_GB2312"/>
          <w:sz w:val="28"/>
          <w:szCs w:val="28"/>
          <w:lang w:val="en-US" w:eastAsia="zh"/>
        </w:rPr>
        <w:t>32.11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188.7</w:t>
      </w:r>
      <w:r>
        <w:rPr>
          <w:rFonts w:hint="eastAsia" w:ascii="仿宋_GB2312" w:eastAsia="仿宋_GB2312"/>
          <w:sz w:val="28"/>
          <w:szCs w:val="28"/>
          <w:lang w:val="en-US" w:eastAsia="zh"/>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
        </w:rPr>
        <w:t>45.87</w:t>
      </w:r>
      <w:r>
        <w:rPr>
          <w:rFonts w:hint="eastAsia" w:ascii="仿宋_GB2312" w:eastAsia="仿宋_GB2312"/>
          <w:sz w:val="28"/>
          <w:szCs w:val="28"/>
        </w:rPr>
        <w:t>万元，增长</w:t>
      </w:r>
      <w:r>
        <w:rPr>
          <w:rFonts w:hint="eastAsia" w:ascii="仿宋_GB2312" w:eastAsia="仿宋_GB2312"/>
          <w:sz w:val="28"/>
          <w:szCs w:val="28"/>
          <w:lang w:val="en-US" w:eastAsia="zh"/>
        </w:rPr>
        <w:t>32.11</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188.7</w:t>
      </w:r>
      <w:r>
        <w:rPr>
          <w:rFonts w:hint="eastAsia" w:ascii="仿宋_GB2312" w:eastAsia="仿宋_GB2312"/>
          <w:sz w:val="28"/>
          <w:szCs w:val="28"/>
          <w:lang w:val="en-US" w:eastAsia="zh"/>
        </w:rPr>
        <w:t>0</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
        </w:rPr>
        <w:t>188.70</w:t>
      </w:r>
      <w:r>
        <w:rPr>
          <w:rFonts w:hint="eastAsia" w:ascii="仿宋_GB2312" w:eastAsia="仿宋_GB2312"/>
          <w:sz w:val="28"/>
          <w:szCs w:val="28"/>
        </w:rPr>
        <w:t>万元，占收入合计的</w:t>
      </w:r>
      <w:r>
        <w:rPr>
          <w:rFonts w:hint="eastAsia" w:ascii="仿宋_GB2312" w:eastAsia="仿宋_GB2312"/>
          <w:sz w:val="28"/>
          <w:szCs w:val="28"/>
          <w:lang w:val="en-US" w:eastAsia="zh"/>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
        </w:rPr>
        <w:t>0.00</w:t>
      </w:r>
      <w:r>
        <w:rPr>
          <w:rFonts w:hint="eastAsia" w:ascii="仿宋_GB2312" w:eastAsia="仿宋_GB2312"/>
          <w:sz w:val="28"/>
          <w:szCs w:val="28"/>
        </w:rPr>
        <w:t>万元，占收入合计的</w:t>
      </w:r>
      <w:r>
        <w:rPr>
          <w:rFonts w:hint="eastAsia" w:ascii="仿宋_GB2312" w:eastAsia="仿宋_GB2312"/>
          <w:sz w:val="28"/>
          <w:szCs w:val="28"/>
          <w:lang w:val="en-US" w:eastAsia="zh"/>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
        </w:rPr>
        <w:t>0.00</w:t>
      </w:r>
      <w:r>
        <w:rPr>
          <w:rFonts w:hint="eastAsia" w:ascii="仿宋_GB2312" w:eastAsia="仿宋_GB2312"/>
          <w:sz w:val="28"/>
          <w:szCs w:val="28"/>
        </w:rPr>
        <w:t>万元，占收入合计的</w:t>
      </w:r>
      <w:r>
        <w:rPr>
          <w:rFonts w:hint="eastAsia" w:ascii="仿宋_GB2312" w:eastAsia="仿宋_GB2312"/>
          <w:sz w:val="28"/>
          <w:szCs w:val="28"/>
          <w:lang w:val="en-US" w:eastAsia="zh"/>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hint="eastAsia" w:eastAsia="仿宋_GB2312"/>
          <w:color w:val="FFFFFF" w:themeColor="background1"/>
          <w:lang w:eastAsia="zh-CN"/>
          <w14:textFill>
            <w14:solidFill>
              <w14:schemeClr w14:val="bg1"/>
            </w14:solidFill>
          </w14:textFill>
        </w:rPr>
        <w:drawing>
          <wp:inline distT="0" distB="0" distL="114300" distR="114300">
            <wp:extent cx="4012565" cy="2649220"/>
            <wp:effectExtent l="4445" t="4445" r="21590" b="1333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188.7</w:t>
      </w:r>
      <w:r>
        <w:rPr>
          <w:rFonts w:hint="eastAsia" w:ascii="仿宋_GB2312" w:eastAsia="仿宋_GB2312"/>
          <w:sz w:val="28"/>
          <w:szCs w:val="28"/>
          <w:lang w:val="en-US" w:eastAsia="zh"/>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
        </w:rPr>
        <w:t>45.87</w:t>
      </w:r>
      <w:r>
        <w:rPr>
          <w:rFonts w:hint="eastAsia" w:ascii="仿宋_GB2312" w:eastAsia="仿宋_GB2312"/>
          <w:sz w:val="28"/>
          <w:szCs w:val="28"/>
        </w:rPr>
        <w:t>万元，增长</w:t>
      </w:r>
      <w:r>
        <w:rPr>
          <w:rFonts w:hint="eastAsia" w:ascii="仿宋_GB2312" w:eastAsia="仿宋_GB2312"/>
          <w:sz w:val="28"/>
          <w:szCs w:val="28"/>
          <w:lang w:val="en-US" w:eastAsia="zh"/>
        </w:rPr>
        <w:t>32.11</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188.7</w:t>
      </w:r>
      <w:r>
        <w:rPr>
          <w:rFonts w:hint="eastAsia" w:ascii="仿宋_GB2312" w:eastAsia="仿宋_GB2312"/>
          <w:sz w:val="28"/>
          <w:szCs w:val="28"/>
          <w:highlight w:val="none"/>
          <w:lang w:val="en-US" w:eastAsia="zh"/>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%；项目支出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ascii="黑体" w:eastAsia="黑体"/>
          <w:b/>
          <w:sz w:val="28"/>
          <w:szCs w:val="28"/>
          <w:lang w:eastAsia="zh-CN"/>
        </w:rPr>
        <w:drawing>
          <wp:inline distT="0" distB="0" distL="114300" distR="114300">
            <wp:extent cx="4480560" cy="2828925"/>
            <wp:effectExtent l="4445" t="5080" r="10795" b="444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188.7</w:t>
      </w:r>
      <w:r>
        <w:rPr>
          <w:rFonts w:hint="eastAsia" w:ascii="仿宋_GB2312" w:eastAsia="仿宋_GB2312"/>
          <w:sz w:val="28"/>
          <w:szCs w:val="28"/>
          <w:lang w:val="en-US" w:eastAsia="zh"/>
        </w:rPr>
        <w:t>0</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
        </w:rPr>
        <w:t>45.87</w:t>
      </w:r>
      <w:r>
        <w:rPr>
          <w:rFonts w:hint="eastAsia" w:ascii="仿宋_GB2312" w:eastAsia="仿宋_GB2312"/>
          <w:sz w:val="28"/>
          <w:szCs w:val="28"/>
        </w:rPr>
        <w:t>万元，增长</w:t>
      </w:r>
      <w:r>
        <w:rPr>
          <w:rFonts w:hint="eastAsia" w:ascii="仿宋_GB2312" w:eastAsia="仿宋_GB2312"/>
          <w:sz w:val="28"/>
          <w:szCs w:val="28"/>
          <w:lang w:val="en-US" w:eastAsia="zh"/>
        </w:rPr>
        <w:t>32.11</w:t>
      </w:r>
      <w:r>
        <w:rPr>
          <w:rFonts w:hint="eastAsia" w:ascii="仿宋_GB2312" w:eastAsia="仿宋_GB2312"/>
          <w:sz w:val="28"/>
          <w:szCs w:val="28"/>
        </w:rPr>
        <w:t>%。主要原因：</w:t>
      </w:r>
      <w:r>
        <w:rPr>
          <w:rFonts w:hint="eastAsia" w:ascii="仿宋_GB2312" w:eastAsia="仿宋_GB2312"/>
          <w:sz w:val="28"/>
          <w:szCs w:val="28"/>
          <w:lang w:eastAsia="zh-CN"/>
        </w:rPr>
        <w:t>人员变化</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188.7</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147.73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78.29</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25.27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13.39</w:t>
      </w:r>
      <w:r>
        <w:rPr>
          <w:rFonts w:hint="eastAsia" w:ascii="仿宋_GB2312" w:eastAsia="仿宋_GB2312"/>
          <w:sz w:val="28"/>
          <w:szCs w:val="28"/>
        </w:rPr>
        <w:t>%；</w:t>
      </w:r>
      <w:r>
        <w:rPr>
          <w:rFonts w:hint="eastAsia" w:ascii="仿宋_GB2312" w:eastAsia="仿宋_GB2312"/>
          <w:sz w:val="28"/>
          <w:szCs w:val="28"/>
          <w:lang w:eastAsia="zh-CN"/>
        </w:rPr>
        <w:t>卫生健康</w:t>
      </w:r>
      <w:r>
        <w:rPr>
          <w:rFonts w:hint="eastAsia" w:ascii="仿宋_GB2312" w:eastAsia="仿宋_GB2312"/>
          <w:sz w:val="28"/>
          <w:szCs w:val="28"/>
          <w:lang w:val="en-US" w:eastAsia="zh-CN"/>
        </w:rPr>
        <w:t>支出15.70万元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8.32</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127.08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147.73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116.25</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rPr>
          <w:rFonts w:hint="eastAsia" w:ascii="仿宋_GB2312" w:eastAsia="仿宋_GB2312"/>
          <w:sz w:val="28"/>
          <w:szCs w:val="28"/>
        </w:rPr>
      </w:pP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发展与改革事务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127.08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147.73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116.25</w:t>
      </w:r>
      <w:r>
        <w:rPr>
          <w:rFonts w:hint="eastAsia" w:ascii="仿宋_GB2312" w:eastAsia="仿宋_GB2312"/>
          <w:sz w:val="28"/>
          <w:szCs w:val="28"/>
        </w:rPr>
        <w:t>%。主要原因：</w:t>
      </w:r>
      <w:r>
        <w:rPr>
          <w:rFonts w:hint="eastAsia" w:ascii="仿宋_GB2312" w:eastAsia="仿宋_GB2312"/>
          <w:sz w:val="28"/>
          <w:szCs w:val="28"/>
          <w:lang w:eastAsia="zh-CN"/>
        </w:rPr>
        <w:t>人员变化</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20.74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25.27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121.84</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20.74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25.27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121.84</w:t>
      </w:r>
      <w:r>
        <w:rPr>
          <w:rFonts w:hint="eastAsia" w:ascii="仿宋_GB2312" w:eastAsia="仿宋_GB2312"/>
          <w:sz w:val="28"/>
          <w:szCs w:val="28"/>
        </w:rPr>
        <w:t>%。主要原因：</w:t>
      </w:r>
      <w:r>
        <w:rPr>
          <w:rFonts w:hint="eastAsia" w:ascii="仿宋_GB2312" w:eastAsia="仿宋_GB2312"/>
          <w:sz w:val="28"/>
          <w:szCs w:val="28"/>
          <w:lang w:eastAsia="zh-CN"/>
        </w:rPr>
        <w:t>人员变化</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15.70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128.16</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textAlignment w:val="auto"/>
        <w:rPr>
          <w:rFonts w:hint="eastAsia" w:ascii="黑体" w:eastAsia="黑体"/>
          <w:b/>
          <w:sz w:val="28"/>
          <w:szCs w:val="28"/>
        </w:rPr>
      </w:pP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15.70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128.16</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textAlignment w:val="auto"/>
        <w:rPr>
          <w:rFonts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eastAsia="zh-CN"/>
        </w:rPr>
        <w:t>人员变化</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黑体" w:eastAsia="黑体"/>
          <w:b/>
          <w:sz w:val="28"/>
          <w:szCs w:val="28"/>
        </w:rPr>
        <w:t>五、政府性基金预算财政拨款支出决算情况说明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keepNext w:val="0"/>
        <w:keepLines w:val="0"/>
        <w:pageBreakBefore w:val="0"/>
        <w:widowControl w:val="0"/>
        <w:kinsoku/>
        <w:wordWrap/>
        <w:overflowPunct/>
        <w:topLinePunct w:val="0"/>
        <w:bidi w:val="0"/>
        <w:snapToGrid/>
        <w:spacing w:line="580" w:lineRule="exact"/>
        <w:ind w:firstLine="560" w:firstLineChars="200"/>
        <w:jc w:val="both"/>
        <w:textAlignment w:val="auto"/>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bidi w:val="0"/>
        <w:snapToGrid/>
        <w:spacing w:line="580" w:lineRule="exact"/>
        <w:ind w:firstLine="560" w:firstLineChars="200"/>
        <w:jc w:val="both"/>
        <w:textAlignment w:val="auto"/>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580" w:lineRule="exact"/>
        <w:ind w:firstLine="560" w:firstLineChars="200"/>
        <w:jc w:val="both"/>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keepNext w:val="0"/>
        <w:keepLines w:val="0"/>
        <w:pageBreakBefore w:val="0"/>
        <w:widowControl w:val="0"/>
        <w:kinsoku/>
        <w:wordWrap/>
        <w:overflowPunct/>
        <w:topLinePunct w:val="0"/>
        <w:bidi w:val="0"/>
        <w:snapToGrid/>
        <w:spacing w:line="580" w:lineRule="exact"/>
        <w:ind w:firstLine="537" w:firstLineChars="192"/>
        <w:jc w:val="both"/>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keepNext w:val="0"/>
        <w:keepLines w:val="0"/>
        <w:pageBreakBefore w:val="0"/>
        <w:widowControl w:val="0"/>
        <w:kinsoku/>
        <w:wordWrap/>
        <w:overflowPunct/>
        <w:topLinePunct w:val="0"/>
        <w:bidi w:val="0"/>
        <w:snapToGrid/>
        <w:spacing w:line="580" w:lineRule="exact"/>
        <w:ind w:firstLine="548" w:firstLineChars="196"/>
        <w:jc w:val="both"/>
        <w:textAlignment w:val="auto"/>
        <w:rPr>
          <w:rFonts w:hint="eastAsia" w:ascii="黑体" w:eastAsia="黑体"/>
          <w:sz w:val="28"/>
          <w:szCs w:val="28"/>
        </w:rPr>
      </w:pPr>
      <w:r>
        <w:rPr>
          <w:rFonts w:hint="eastAsia" w:ascii="黑体" w:eastAsia="黑体"/>
          <w:b/>
          <w:sz w:val="28"/>
          <w:szCs w:val="28"/>
        </w:rPr>
        <w:t>七、财政拨款基本支出决算情况说明</w:t>
      </w:r>
    </w:p>
    <w:p>
      <w:pPr>
        <w:keepNext w:val="0"/>
        <w:keepLines w:val="0"/>
        <w:pageBreakBefore w:val="0"/>
        <w:widowControl w:val="0"/>
        <w:tabs>
          <w:tab w:val="center" w:pos="6979"/>
        </w:tabs>
        <w:kinsoku/>
        <w:wordWrap/>
        <w:overflowPunct/>
        <w:topLinePunct w:val="0"/>
        <w:bidi w:val="0"/>
        <w:snapToGrid/>
        <w:spacing w:line="580" w:lineRule="exact"/>
        <w:ind w:firstLine="548" w:firstLineChars="196"/>
        <w:jc w:val="both"/>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188.7</w:t>
      </w:r>
      <w:r>
        <w:rPr>
          <w:rFonts w:hint="eastAsia" w:ascii="仿宋_GB2312" w:eastAsia="仿宋_GB2312"/>
          <w:sz w:val="28"/>
          <w:szCs w:val="28"/>
          <w:lang w:val="en-US" w:eastAsia="zh-CN"/>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其中：</w:t>
      </w:r>
      <w:r>
        <w:rPr>
          <w:rFonts w:hint="eastAsia" w:ascii="仿宋_GB2312" w:eastAsia="仿宋_GB2312"/>
          <w:sz w:val="28"/>
          <w:szCs w:val="28"/>
        </w:rPr>
        <w:t>（1）工资福利支出包括基本工资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办公费、工会经费、福利费、公务用车运行维护费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bidi w:val="0"/>
        <w:snapToGrid/>
        <w:spacing w:line="580" w:lineRule="exact"/>
        <w:ind w:firstLine="2784" w:firstLineChars="696"/>
        <w:jc w:val="both"/>
        <w:textAlignment w:val="auto"/>
        <w:rPr>
          <w:rFonts w:hint="eastAsia" w:ascii="宋体" w:hAnsi="宋体" w:cs="宋体"/>
          <w:b/>
          <w:bCs/>
          <w:spacing w:val="40"/>
          <w:kern w:val="0"/>
          <w:sz w:val="32"/>
          <w:szCs w:val="32"/>
        </w:rPr>
      </w:pPr>
    </w:p>
    <w:p>
      <w:pPr>
        <w:keepNext w:val="0"/>
        <w:keepLines w:val="0"/>
        <w:pageBreakBefore w:val="0"/>
        <w:widowControl w:val="0"/>
        <w:tabs>
          <w:tab w:val="center" w:pos="6979"/>
        </w:tabs>
        <w:kinsoku/>
        <w:wordWrap/>
        <w:overflowPunct/>
        <w:topLinePunct w:val="0"/>
        <w:bidi w:val="0"/>
        <w:snapToGrid/>
        <w:spacing w:line="580" w:lineRule="exact"/>
        <w:ind w:firstLine="2784" w:firstLineChars="696"/>
        <w:jc w:val="both"/>
        <w:textAlignment w:val="auto"/>
        <w:rPr>
          <w:rFonts w:hint="eastAsia" w:ascii="宋体" w:hAnsi="宋体" w:cs="宋体"/>
          <w:b/>
          <w:bCs/>
          <w:spacing w:val="40"/>
          <w:kern w:val="0"/>
          <w:sz w:val="32"/>
          <w:szCs w:val="32"/>
        </w:rPr>
      </w:pPr>
    </w:p>
    <w:p>
      <w:pPr>
        <w:keepNext w:val="0"/>
        <w:keepLines w:val="0"/>
        <w:pageBreakBefore w:val="0"/>
        <w:widowControl w:val="0"/>
        <w:tabs>
          <w:tab w:val="center" w:pos="6979"/>
        </w:tabs>
        <w:kinsoku/>
        <w:wordWrap/>
        <w:overflowPunct/>
        <w:topLinePunct w:val="0"/>
        <w:bidi w:val="0"/>
        <w:snapToGrid/>
        <w:spacing w:line="580" w:lineRule="exact"/>
        <w:ind w:firstLine="2784" w:firstLineChars="696"/>
        <w:jc w:val="both"/>
        <w:textAlignment w:val="auto"/>
        <w:rPr>
          <w:rFonts w:hint="eastAsia" w:ascii="宋体" w:hAnsi="宋体" w:cs="宋体"/>
          <w:b/>
          <w:bCs/>
          <w:spacing w:val="40"/>
          <w:kern w:val="0"/>
          <w:sz w:val="32"/>
          <w:szCs w:val="32"/>
        </w:rPr>
      </w:pPr>
    </w:p>
    <w:p>
      <w:pPr>
        <w:keepNext w:val="0"/>
        <w:keepLines w:val="0"/>
        <w:pageBreakBefore w:val="0"/>
        <w:widowControl w:val="0"/>
        <w:tabs>
          <w:tab w:val="center" w:pos="6979"/>
        </w:tabs>
        <w:kinsoku/>
        <w:wordWrap/>
        <w:overflowPunct/>
        <w:topLinePunct w:val="0"/>
        <w:bidi w:val="0"/>
        <w:snapToGrid/>
        <w:spacing w:line="580" w:lineRule="exact"/>
        <w:ind w:firstLine="2784" w:firstLineChars="696"/>
        <w:jc w:val="both"/>
        <w:textAlignment w:val="auto"/>
        <w:rPr>
          <w:rFonts w:hint="eastAsia" w:ascii="宋体" w:hAnsi="宋体" w:cs="宋体"/>
          <w:b/>
          <w:bCs/>
          <w:spacing w:val="40"/>
          <w:kern w:val="0"/>
          <w:sz w:val="32"/>
          <w:szCs w:val="32"/>
        </w:rPr>
      </w:pPr>
    </w:p>
    <w:p>
      <w:pPr>
        <w:keepNext w:val="0"/>
        <w:keepLines w:val="0"/>
        <w:pageBreakBefore w:val="0"/>
        <w:widowControl w:val="0"/>
        <w:tabs>
          <w:tab w:val="center" w:pos="6979"/>
        </w:tabs>
        <w:kinsoku/>
        <w:wordWrap/>
        <w:overflowPunct/>
        <w:topLinePunct w:val="0"/>
        <w:bidi w:val="0"/>
        <w:snapToGrid/>
        <w:spacing w:line="580" w:lineRule="exact"/>
        <w:ind w:firstLine="2784" w:firstLineChars="696"/>
        <w:jc w:val="both"/>
        <w:textAlignment w:val="auto"/>
        <w:rPr>
          <w:rFonts w:hint="eastAsia" w:ascii="宋体" w:hAnsi="宋体" w:cs="宋体"/>
          <w:b/>
          <w:bCs/>
          <w:spacing w:val="40"/>
          <w:kern w:val="0"/>
          <w:sz w:val="32"/>
          <w:szCs w:val="32"/>
        </w:rPr>
      </w:pPr>
    </w:p>
    <w:p>
      <w:pPr>
        <w:keepNext w:val="0"/>
        <w:keepLines w:val="0"/>
        <w:pageBreakBefore w:val="0"/>
        <w:widowControl w:val="0"/>
        <w:tabs>
          <w:tab w:val="center" w:pos="6979"/>
        </w:tabs>
        <w:kinsoku/>
        <w:wordWrap/>
        <w:overflowPunct/>
        <w:topLinePunct w:val="0"/>
        <w:bidi w:val="0"/>
        <w:snapToGrid/>
        <w:spacing w:line="580" w:lineRule="exact"/>
        <w:ind w:firstLine="2784" w:firstLineChars="696"/>
        <w:jc w:val="both"/>
        <w:textAlignment w:val="auto"/>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cs="宋体"/>
          <w:b/>
          <w:bCs/>
          <w:spacing w:val="40"/>
          <w:kern w:val="0"/>
          <w:sz w:val="32"/>
          <w:szCs w:val="32"/>
        </w:rPr>
        <w:t>202</w:t>
      </w:r>
      <w:r>
        <w:rPr>
          <w:rFonts w:hint="eastAsia" w:ascii="宋体" w:hAnsi="宋体" w:cs="宋体"/>
          <w:b/>
          <w:bCs/>
          <w:spacing w:val="40"/>
          <w:kern w:val="0"/>
          <w:sz w:val="32"/>
          <w:szCs w:val="32"/>
          <w:lang w:val="en-US" w:eastAsia="zh-CN"/>
        </w:rPr>
        <w:t>4</w:t>
      </w:r>
      <w:r>
        <w:rPr>
          <w:rFonts w:hint="eastAsia" w:ascii="宋体" w:hAnsi="宋体" w:cs="宋体"/>
          <w:b/>
          <w:bCs/>
          <w:spacing w:val="40"/>
          <w:kern w:val="0"/>
          <w:sz w:val="32"/>
          <w:szCs w:val="32"/>
        </w:rPr>
        <w:t>年度其他重要事项的情况说明</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pPr>
        <w:keepNext w:val="0"/>
        <w:keepLines w:val="0"/>
        <w:pageBreakBefore w:val="0"/>
        <w:widowControl w:val="0"/>
        <w:kinsoku/>
        <w:wordWrap/>
        <w:overflowPunct/>
        <w:topLinePunct w:val="0"/>
        <w:bidi w:val="0"/>
        <w:snapToGrid/>
        <w:spacing w:line="580" w:lineRule="exact"/>
        <w:ind w:firstLine="600"/>
        <w:textAlignment w:val="auto"/>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1.02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1.85</w:t>
      </w:r>
      <w:r>
        <w:rPr>
          <w:rFonts w:hint="eastAsia" w:ascii="仿宋_GB2312" w:eastAsia="仿宋_GB2312"/>
          <w:sz w:val="28"/>
          <w:szCs w:val="28"/>
        </w:rPr>
        <w:t>万元减少</w:t>
      </w:r>
      <w:r>
        <w:rPr>
          <w:rFonts w:hint="eastAsia" w:ascii="仿宋_GB2312" w:eastAsia="仿宋_GB2312"/>
          <w:sz w:val="28"/>
          <w:szCs w:val="28"/>
          <w:lang w:val="en-US" w:eastAsia="zh-CN"/>
        </w:rPr>
        <w:t>0.83</w:t>
      </w:r>
      <w:r>
        <w:rPr>
          <w:rFonts w:hint="eastAsia" w:ascii="仿宋_GB2312" w:eastAsia="仿宋_GB2312"/>
          <w:sz w:val="28"/>
          <w:szCs w:val="28"/>
        </w:rPr>
        <w:t>万元。其中：</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0.05</w:t>
      </w:r>
      <w:r>
        <w:rPr>
          <w:rFonts w:hint="eastAsia" w:ascii="仿宋_GB2312" w:eastAsia="仿宋_GB2312"/>
          <w:sz w:val="28"/>
          <w:szCs w:val="28"/>
        </w:rPr>
        <w:t>万元减少</w:t>
      </w:r>
      <w:r>
        <w:rPr>
          <w:rFonts w:hint="eastAsia" w:ascii="仿宋_GB2312" w:eastAsia="仿宋_GB2312"/>
          <w:sz w:val="28"/>
          <w:szCs w:val="28"/>
          <w:lang w:val="en-US" w:eastAsia="zh-CN"/>
        </w:rPr>
        <w:t>0.05</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落实政府过紧日子要求，严控公务接待规模</w:t>
      </w:r>
      <w:bookmarkStart w:id="0" w:name="_GoBack"/>
      <w:bookmarkEnd w:id="0"/>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0.78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1.02</w:t>
      </w:r>
      <w:r>
        <w:rPr>
          <w:rFonts w:hint="eastAsia" w:ascii="仿宋_GB2312" w:eastAsia="仿宋_GB2312"/>
          <w:sz w:val="28"/>
          <w:szCs w:val="28"/>
        </w:rPr>
        <w:t>万元，主要原因：</w:t>
      </w:r>
      <w:r>
        <w:rPr>
          <w:rFonts w:hint="eastAsia" w:ascii="仿宋_GB2312" w:eastAsia="仿宋_GB2312"/>
          <w:sz w:val="28"/>
          <w:szCs w:val="28"/>
          <w:lang w:eastAsia="zh-CN"/>
        </w:rPr>
        <w:t>倡导节能减排、低碳出行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54" w:firstLineChars="198"/>
        <w:textAlignment w:val="auto"/>
        <w:rPr>
          <w:rFonts w:hint="eastAsia" w:ascii="黑体" w:eastAsia="黑体"/>
          <w:sz w:val="28"/>
          <w:szCs w:val="28"/>
        </w:rPr>
      </w:pPr>
      <w:r>
        <w:rPr>
          <w:rFonts w:hint="eastAsia" w:ascii="黑体" w:eastAsia="黑体"/>
          <w:sz w:val="28"/>
          <w:szCs w:val="28"/>
        </w:rPr>
        <w:t>二、机关运行经费支出情况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w:t>
      </w:r>
      <w:r>
        <w:rPr>
          <w:rFonts w:hint="eastAsia" w:ascii="仿宋_GB2312" w:eastAsia="仿宋_GB2312"/>
          <w:sz w:val="28"/>
          <w:szCs w:val="28"/>
          <w:lang w:eastAsia="zh-CN"/>
        </w:rPr>
        <w:t>无变化。</w:t>
      </w:r>
    </w:p>
    <w:p>
      <w:pPr>
        <w:keepNext w:val="0"/>
        <w:keepLines w:val="0"/>
        <w:pageBreakBefore w:val="0"/>
        <w:widowControl w:val="0"/>
        <w:kinsoku/>
        <w:wordWrap/>
        <w:overflowPunct/>
        <w:topLinePunct w:val="0"/>
        <w:autoSpaceDE/>
        <w:autoSpaceDN/>
        <w:bidi w:val="0"/>
        <w:adjustRightInd/>
        <w:snapToGrid/>
        <w:spacing w:line="580" w:lineRule="exact"/>
        <w:ind w:left="540"/>
        <w:textAlignment w:val="auto"/>
        <w:rPr>
          <w:rFonts w:hint="eastAsia" w:ascii="黑体" w:eastAsia="黑体"/>
          <w:sz w:val="28"/>
          <w:szCs w:val="28"/>
        </w:rPr>
      </w:pPr>
      <w:r>
        <w:rPr>
          <w:rFonts w:hint="eastAsia" w:ascii="黑体" w:eastAsia="黑体"/>
          <w:sz w:val="28"/>
          <w:szCs w:val="28"/>
        </w:rPr>
        <w:t>三、政府采购支出情况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1.96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0.98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0.98</w:t>
      </w:r>
      <w:r>
        <w:rPr>
          <w:rFonts w:hint="eastAsia" w:ascii="仿宋_GB2312" w:eastAsia="仿宋_GB2312"/>
          <w:sz w:val="28"/>
          <w:szCs w:val="28"/>
        </w:rPr>
        <w:t>万元。授予中小企业合同金额</w:t>
      </w:r>
      <w:r>
        <w:rPr>
          <w:rFonts w:ascii="仿宋_GB2312" w:eastAsia="仿宋_GB2312"/>
          <w:sz w:val="28"/>
          <w:szCs w:val="28"/>
        </w:rPr>
        <w:t>1.85</w:t>
      </w:r>
      <w:r>
        <w:rPr>
          <w:rFonts w:hint="eastAsia" w:ascii="仿宋_GB2312" w:eastAsia="仿宋_GB2312"/>
          <w:sz w:val="28"/>
          <w:szCs w:val="28"/>
        </w:rPr>
        <w:t>万元，占政府采购支出总额的</w:t>
      </w:r>
      <w:r>
        <w:rPr>
          <w:rFonts w:hint="eastAsia" w:ascii="仿宋_GB2312" w:eastAsia="仿宋_GB2312"/>
          <w:sz w:val="28"/>
          <w:szCs w:val="28"/>
          <w:lang w:eastAsia="zh-CN"/>
        </w:rPr>
        <w:t>94.</w:t>
      </w:r>
      <w:r>
        <w:rPr>
          <w:rFonts w:hint="eastAsia" w:ascii="仿宋_GB2312" w:eastAsia="仿宋_GB2312"/>
          <w:sz w:val="28"/>
          <w:szCs w:val="28"/>
          <w:lang w:val="en-US" w:eastAsia="zh-CN"/>
        </w:rPr>
        <w:t>39</w:t>
      </w:r>
      <w:r>
        <w:rPr>
          <w:rFonts w:hint="eastAsia" w:ascii="仿宋_GB2312" w:eastAsia="仿宋_GB2312"/>
          <w:sz w:val="28"/>
          <w:szCs w:val="28"/>
        </w:rPr>
        <w:t>%，其中：授予小微企业合同金额</w:t>
      </w:r>
      <w:r>
        <w:rPr>
          <w:rFonts w:ascii="仿宋_GB2312" w:eastAsia="仿宋_GB2312"/>
          <w:sz w:val="28"/>
          <w:szCs w:val="28"/>
        </w:rPr>
        <w:t>0.99</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50.51</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12月31日，北京市大兴区国民综合经济运行服务中心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jc w:val="both"/>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发展与改革事务</w:t>
      </w:r>
      <w:r>
        <w:rPr>
          <w:rFonts w:hint="eastAsia" w:ascii="仿宋_GB2312" w:eastAsia="仿宋_GB2312"/>
          <w:sz w:val="28"/>
          <w:szCs w:val="28"/>
        </w:rPr>
        <w:t>（款）</w:t>
      </w:r>
      <w:r>
        <w:rPr>
          <w:rFonts w:hint="eastAsia" w:ascii="仿宋_GB2312" w:eastAsia="仿宋_GB2312"/>
          <w:sz w:val="28"/>
          <w:szCs w:val="28"/>
          <w:lang w:eastAsia="zh-CN"/>
        </w:rPr>
        <w:t>事业运行</w:t>
      </w:r>
      <w:r>
        <w:rPr>
          <w:rFonts w:hint="eastAsia" w:ascii="仿宋_GB2312" w:eastAsia="仿宋_GB2312"/>
          <w:sz w:val="28"/>
          <w:szCs w:val="28"/>
        </w:rPr>
        <w:t>（项）：反映</w:t>
      </w:r>
      <w:r>
        <w:rPr>
          <w:rFonts w:hint="eastAsia" w:ascii="仿宋_GB2312" w:eastAsia="仿宋_GB2312"/>
          <w:sz w:val="28"/>
          <w:szCs w:val="28"/>
          <w:lang w:eastAsia="zh-CN"/>
        </w:rPr>
        <w:t>用于事业单位的基本支出</w:t>
      </w:r>
      <w:r>
        <w:rPr>
          <w:rFonts w:hint="eastAsia" w:ascii="仿宋_GB2312" w:eastAsia="仿宋_GB2312"/>
          <w:sz w:val="28"/>
          <w:szCs w:val="28"/>
          <w:lang w:val="en-US" w:eastAsia="zh-CN"/>
        </w:rPr>
        <w:t>,不包括行政单位(包括实行公务员管理的事业单位)后勤服务中心、医务室等附属事业单位</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单位离退休（项）</w:t>
      </w:r>
      <w:r>
        <w:rPr>
          <w:rFonts w:hint="eastAsia" w:ascii="仿宋_GB2312" w:eastAsia="仿宋_GB2312"/>
          <w:sz w:val="28"/>
          <w:szCs w:val="28"/>
          <w:lang w:eastAsia="zh-CN"/>
        </w:rPr>
        <w:t>：</w:t>
      </w:r>
      <w:r>
        <w:rPr>
          <w:rFonts w:hint="eastAsia" w:ascii="仿宋_GB2312" w:eastAsia="仿宋_GB2312"/>
          <w:sz w:val="28"/>
          <w:szCs w:val="28"/>
        </w:rPr>
        <w:t>反映用于</w:t>
      </w:r>
      <w:r>
        <w:rPr>
          <w:rFonts w:hint="eastAsia" w:ascii="仿宋_GB2312" w:eastAsia="仿宋_GB2312"/>
          <w:sz w:val="28"/>
          <w:szCs w:val="28"/>
          <w:lang w:eastAsia="zh-CN"/>
        </w:rPr>
        <w:t>事业单位</w:t>
      </w:r>
      <w:r>
        <w:rPr>
          <w:rFonts w:hint="eastAsia" w:ascii="仿宋_GB2312" w:eastAsia="仿宋_GB2312"/>
          <w:sz w:val="28"/>
          <w:szCs w:val="28"/>
        </w:rPr>
        <w:t>开支的离退休经费。</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（项）：反映</w:t>
      </w:r>
      <w:r>
        <w:rPr>
          <w:rFonts w:hint="eastAsia" w:ascii="仿宋_GB2312" w:eastAsia="仿宋_GB2312"/>
          <w:sz w:val="28"/>
          <w:szCs w:val="28"/>
          <w:lang w:eastAsia="zh-CN"/>
        </w:rPr>
        <w:t>机关事业单位实施养老保险制度由单位缴纳的基本养老保险费支出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（项）：反映</w:t>
      </w:r>
      <w:r>
        <w:rPr>
          <w:rFonts w:hint="eastAsia" w:ascii="仿宋_GB2312" w:eastAsia="仿宋_GB2312"/>
          <w:sz w:val="28"/>
          <w:szCs w:val="28"/>
          <w:lang w:eastAsia="zh-CN"/>
        </w:rPr>
        <w:t>机关事业单位实施养老保险制度由单位实际缴纳的职业年金支出（含职业年金补记支出）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lang w:eastAsia="zh-CN"/>
        </w:rPr>
        <w:t>卫生健康支出</w:t>
      </w:r>
      <w:r>
        <w:rPr>
          <w:rFonts w:hint="eastAsia" w:ascii="仿宋_GB2312" w:eastAsia="仿宋_GB2312"/>
          <w:sz w:val="28"/>
          <w:szCs w:val="28"/>
        </w:rPr>
        <w:t>（类）行政事业单位</w:t>
      </w:r>
      <w:r>
        <w:rPr>
          <w:rFonts w:hint="eastAsia" w:ascii="仿宋_GB2312" w:eastAsia="仿宋_GB2312"/>
          <w:sz w:val="28"/>
          <w:szCs w:val="28"/>
          <w:lang w:eastAsia="zh-CN"/>
        </w:rPr>
        <w:t>医疗</w:t>
      </w:r>
      <w:r>
        <w:rPr>
          <w:rFonts w:hint="eastAsia" w:ascii="仿宋_GB2312" w:eastAsia="仿宋_GB2312"/>
          <w:sz w:val="28"/>
          <w:szCs w:val="28"/>
        </w:rPr>
        <w:t>（款）</w:t>
      </w:r>
      <w:r>
        <w:rPr>
          <w:rFonts w:hint="eastAsia" w:ascii="仿宋_GB2312" w:eastAsia="仿宋_GB2312"/>
          <w:sz w:val="28"/>
          <w:szCs w:val="28"/>
          <w:lang w:eastAsia="zh-CN"/>
        </w:rPr>
        <w:t>事业单位医疗</w:t>
      </w:r>
      <w:r>
        <w:rPr>
          <w:rFonts w:hint="eastAsia" w:ascii="仿宋_GB2312" w:eastAsia="仿宋_GB2312"/>
          <w:sz w:val="28"/>
          <w:szCs w:val="28"/>
        </w:rPr>
        <w:t>（项）：反映</w:t>
      </w:r>
      <w:r>
        <w:rPr>
          <w:rFonts w:hint="eastAsia" w:ascii="仿宋_GB2312" w:eastAsia="仿宋_GB2312"/>
          <w:sz w:val="28"/>
          <w:szCs w:val="28"/>
          <w:lang w:eastAsia="zh-CN"/>
        </w:rPr>
        <w:t>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lang w:eastAsia="zh-CN"/>
        </w:rPr>
        <w:t>卫生健康支出</w:t>
      </w:r>
      <w:r>
        <w:rPr>
          <w:rFonts w:hint="eastAsia" w:ascii="仿宋_GB2312" w:eastAsia="仿宋_GB2312"/>
          <w:sz w:val="28"/>
          <w:szCs w:val="28"/>
        </w:rPr>
        <w:t>（类）行政事业单位</w:t>
      </w:r>
      <w:r>
        <w:rPr>
          <w:rFonts w:hint="eastAsia" w:ascii="仿宋_GB2312" w:eastAsia="仿宋_GB2312"/>
          <w:sz w:val="28"/>
          <w:szCs w:val="28"/>
          <w:lang w:eastAsia="zh-CN"/>
        </w:rPr>
        <w:t>医疗</w:t>
      </w:r>
      <w:r>
        <w:rPr>
          <w:rFonts w:hint="eastAsia" w:ascii="仿宋_GB2312" w:eastAsia="仿宋_GB2312"/>
          <w:sz w:val="28"/>
          <w:szCs w:val="28"/>
        </w:rPr>
        <w:t>（款）</w:t>
      </w:r>
      <w:r>
        <w:rPr>
          <w:rFonts w:hint="eastAsia" w:ascii="仿宋_GB2312" w:eastAsia="仿宋_GB2312"/>
          <w:sz w:val="28"/>
          <w:szCs w:val="28"/>
          <w:lang w:eastAsia="zh-CN"/>
        </w:rPr>
        <w:t>公务员医疗补助</w:t>
      </w:r>
      <w:r>
        <w:rPr>
          <w:rFonts w:hint="eastAsia" w:ascii="仿宋_GB2312" w:eastAsia="仿宋_GB2312"/>
          <w:sz w:val="28"/>
          <w:szCs w:val="28"/>
        </w:rPr>
        <w:t>（项）：反映</w:t>
      </w:r>
      <w:r>
        <w:rPr>
          <w:rFonts w:hint="eastAsia" w:ascii="仿宋_GB2312" w:eastAsia="仿宋_GB2312"/>
          <w:sz w:val="28"/>
          <w:szCs w:val="28"/>
          <w:lang w:eastAsia="zh-CN"/>
        </w:rPr>
        <w:t>财政部门安排的公务员医疗补助经费</w:t>
      </w:r>
      <w:r>
        <w:rPr>
          <w:rFonts w:hint="eastAsia" w:ascii="仿宋_GB2312" w:eastAsia="仿宋_GB2312"/>
          <w:sz w:val="28"/>
          <w:szCs w:val="28"/>
        </w:rPr>
        <w:t>。</w:t>
      </w:r>
    </w:p>
    <w:p>
      <w:pPr>
        <w:jc w:val="both"/>
        <w:rPr>
          <w:rFonts w:hint="eastAsia" w:ascii="黑体" w:eastAsia="黑体"/>
          <w:sz w:val="32"/>
          <w:szCs w:val="32"/>
        </w:rPr>
      </w:pPr>
    </w:p>
    <w:p>
      <w:pPr>
        <w:tabs>
          <w:tab w:val="center" w:pos="6979"/>
        </w:tabs>
        <w:spacing w:before="156" w:beforeLines="50" w:after="156" w:afterLines="50"/>
        <w:jc w:val="center"/>
        <w:rPr>
          <w:rFonts w:hint="eastAsia" w:ascii="黑体" w:eastAsia="黑体"/>
          <w:sz w:val="28"/>
          <w:szCs w:val="28"/>
          <w:highlight w:val="yellow"/>
        </w:rPr>
      </w:pPr>
      <w:r>
        <w:rPr>
          <w:rFonts w:hint="eastAsia" w:ascii="宋体" w:hAnsi="宋体" w:cs="宋体"/>
          <w:b/>
          <w:bCs/>
          <w:spacing w:val="40"/>
          <w:kern w:val="0"/>
          <w:sz w:val="32"/>
          <w:szCs w:val="32"/>
        </w:rPr>
        <w:t>第四部分 202</w:t>
      </w:r>
      <w:r>
        <w:rPr>
          <w:rFonts w:hint="eastAsia" w:ascii="宋体" w:hAnsi="宋体" w:cs="宋体"/>
          <w:b/>
          <w:bCs/>
          <w:spacing w:val="40"/>
          <w:kern w:val="0"/>
          <w:sz w:val="32"/>
          <w:szCs w:val="32"/>
          <w:lang w:val="en-US" w:eastAsia="zh-CN"/>
        </w:rPr>
        <w:t>4</w:t>
      </w:r>
      <w:r>
        <w:rPr>
          <w:rFonts w:hint="eastAsia" w:ascii="宋体" w:hAnsi="宋体" w:cs="宋体"/>
          <w:b/>
          <w:bCs/>
          <w:spacing w:val="40"/>
          <w:kern w:val="0"/>
          <w:sz w:val="32"/>
          <w:szCs w:val="32"/>
        </w:rPr>
        <w:t>年度部门绩效评价情况</w:t>
      </w: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lang w:eastAsia="zh-CN"/>
        </w:rPr>
        <w:t>一、</w:t>
      </w:r>
      <w:r>
        <w:rPr>
          <w:rFonts w:hint="eastAsia" w:ascii="黑体" w:eastAsia="黑体"/>
          <w:sz w:val="28"/>
          <w:szCs w:val="28"/>
          <w:highlight w:val="none"/>
        </w:rPr>
        <w:t>项目</w:t>
      </w:r>
      <w:r>
        <w:rPr>
          <w:rFonts w:ascii="黑体" w:eastAsia="黑体"/>
          <w:sz w:val="28"/>
          <w:szCs w:val="28"/>
          <w:highlight w:val="none"/>
        </w:rPr>
        <w:t>支出绩效自评表</w:t>
      </w:r>
    </w:p>
    <w:p>
      <w:pPr>
        <w:numPr>
          <w:ilvl w:val="0"/>
          <w:numId w:val="0"/>
        </w:num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本单位2024年无项目支出，未开展项目绩效评价。</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3BFACEF"/>
    <w:rsid w:val="145A6C1B"/>
    <w:rsid w:val="14B73493"/>
    <w:rsid w:val="167A2FF9"/>
    <w:rsid w:val="1764587C"/>
    <w:rsid w:val="17F782F6"/>
    <w:rsid w:val="18581C69"/>
    <w:rsid w:val="1AEC0734"/>
    <w:rsid w:val="1DEF20B0"/>
    <w:rsid w:val="1FF7AB17"/>
    <w:rsid w:val="214243FA"/>
    <w:rsid w:val="21AD613C"/>
    <w:rsid w:val="22467189"/>
    <w:rsid w:val="257A14F5"/>
    <w:rsid w:val="26FF7475"/>
    <w:rsid w:val="27196C26"/>
    <w:rsid w:val="29EF086F"/>
    <w:rsid w:val="2BC34C59"/>
    <w:rsid w:val="2EFFE297"/>
    <w:rsid w:val="301437CA"/>
    <w:rsid w:val="349D1F0A"/>
    <w:rsid w:val="34DD0473"/>
    <w:rsid w:val="37BDDFD9"/>
    <w:rsid w:val="3A8E35DC"/>
    <w:rsid w:val="3C684897"/>
    <w:rsid w:val="3EFEF867"/>
    <w:rsid w:val="3F776093"/>
    <w:rsid w:val="3FFB5979"/>
    <w:rsid w:val="433E495C"/>
    <w:rsid w:val="489F2FD7"/>
    <w:rsid w:val="4AC27CB3"/>
    <w:rsid w:val="4BF72BEF"/>
    <w:rsid w:val="4F3E59A3"/>
    <w:rsid w:val="4FA90297"/>
    <w:rsid w:val="4FC41A43"/>
    <w:rsid w:val="51DB3C59"/>
    <w:rsid w:val="550C0952"/>
    <w:rsid w:val="55762E42"/>
    <w:rsid w:val="57A7B272"/>
    <w:rsid w:val="57FF2F52"/>
    <w:rsid w:val="57FFE01C"/>
    <w:rsid w:val="58470068"/>
    <w:rsid w:val="58747CAC"/>
    <w:rsid w:val="5A1720F9"/>
    <w:rsid w:val="5B9C37C2"/>
    <w:rsid w:val="5BA7C654"/>
    <w:rsid w:val="5BFF8168"/>
    <w:rsid w:val="5DF5FEBB"/>
    <w:rsid w:val="5DF716AE"/>
    <w:rsid w:val="5F3C6037"/>
    <w:rsid w:val="5F5760F6"/>
    <w:rsid w:val="5F6F03C7"/>
    <w:rsid w:val="5F9F507E"/>
    <w:rsid w:val="5FEF5BA6"/>
    <w:rsid w:val="60A54109"/>
    <w:rsid w:val="61D01CDF"/>
    <w:rsid w:val="64C0607C"/>
    <w:rsid w:val="65756C86"/>
    <w:rsid w:val="66FFF60C"/>
    <w:rsid w:val="674D385B"/>
    <w:rsid w:val="676F09E1"/>
    <w:rsid w:val="68F7C3AA"/>
    <w:rsid w:val="6A73A69F"/>
    <w:rsid w:val="6B7A4261"/>
    <w:rsid w:val="6DC79DB7"/>
    <w:rsid w:val="6DDD218A"/>
    <w:rsid w:val="6FFD4324"/>
    <w:rsid w:val="6FFFF44C"/>
    <w:rsid w:val="71691990"/>
    <w:rsid w:val="71793A80"/>
    <w:rsid w:val="7357290B"/>
    <w:rsid w:val="73B3D4F6"/>
    <w:rsid w:val="73E67E84"/>
    <w:rsid w:val="756E3DEA"/>
    <w:rsid w:val="75CE1D90"/>
    <w:rsid w:val="76F69EAF"/>
    <w:rsid w:val="76FB1693"/>
    <w:rsid w:val="76FFDB2E"/>
    <w:rsid w:val="773FB60A"/>
    <w:rsid w:val="77BFB40C"/>
    <w:rsid w:val="77FF4746"/>
    <w:rsid w:val="77FF6966"/>
    <w:rsid w:val="798524E4"/>
    <w:rsid w:val="7A7F1C49"/>
    <w:rsid w:val="7AAFDF8C"/>
    <w:rsid w:val="7B5B7AE6"/>
    <w:rsid w:val="7B7B6628"/>
    <w:rsid w:val="7BA7071E"/>
    <w:rsid w:val="7BBE0BDD"/>
    <w:rsid w:val="7BCD964D"/>
    <w:rsid w:val="7BDF6DA8"/>
    <w:rsid w:val="7C7EDC1A"/>
    <w:rsid w:val="7CA87657"/>
    <w:rsid w:val="7CCED98D"/>
    <w:rsid w:val="7D08410F"/>
    <w:rsid w:val="7D4F9EE4"/>
    <w:rsid w:val="7DB78894"/>
    <w:rsid w:val="7DB96DED"/>
    <w:rsid w:val="7DD3AD81"/>
    <w:rsid w:val="7DE39CAB"/>
    <w:rsid w:val="7DF3191D"/>
    <w:rsid w:val="7DF565B9"/>
    <w:rsid w:val="7DFFF77E"/>
    <w:rsid w:val="7E65A41C"/>
    <w:rsid w:val="7ECF2E2D"/>
    <w:rsid w:val="7F53A862"/>
    <w:rsid w:val="7F5DE823"/>
    <w:rsid w:val="7F7FE70F"/>
    <w:rsid w:val="7F897EEF"/>
    <w:rsid w:val="7FBFFFDB"/>
    <w:rsid w:val="7FDF365A"/>
    <w:rsid w:val="7FEC8BC6"/>
    <w:rsid w:val="7FEDCB0C"/>
    <w:rsid w:val="7FF53282"/>
    <w:rsid w:val="7FF74940"/>
    <w:rsid w:val="7FFF772F"/>
    <w:rsid w:val="8F7794DB"/>
    <w:rsid w:val="95F35EF6"/>
    <w:rsid w:val="9BFFD860"/>
    <w:rsid w:val="A77B4E4D"/>
    <w:rsid w:val="AC5F73DE"/>
    <w:rsid w:val="AEFBF53F"/>
    <w:rsid w:val="B5DDD2C8"/>
    <w:rsid w:val="B5FBC9BF"/>
    <w:rsid w:val="B9DFABD9"/>
    <w:rsid w:val="BA17814C"/>
    <w:rsid w:val="BA7B23C6"/>
    <w:rsid w:val="BA993529"/>
    <w:rsid w:val="BC0D83FC"/>
    <w:rsid w:val="BDDF3E2E"/>
    <w:rsid w:val="BE5D22CC"/>
    <w:rsid w:val="BEFECF71"/>
    <w:rsid w:val="BF3BDEFB"/>
    <w:rsid w:val="BFB7A454"/>
    <w:rsid w:val="C75F6086"/>
    <w:rsid w:val="C7F7ED2D"/>
    <w:rsid w:val="C9530615"/>
    <w:rsid w:val="CFAF854E"/>
    <w:rsid w:val="D57FBF13"/>
    <w:rsid w:val="D7DF2573"/>
    <w:rsid w:val="D7FF7E5F"/>
    <w:rsid w:val="D8D7928E"/>
    <w:rsid w:val="D8FE3136"/>
    <w:rsid w:val="D9F1D4A6"/>
    <w:rsid w:val="DB6F03A6"/>
    <w:rsid w:val="DDDE60B7"/>
    <w:rsid w:val="DE9F6A22"/>
    <w:rsid w:val="DEEF1570"/>
    <w:rsid w:val="DF3720C2"/>
    <w:rsid w:val="DF4FCE6A"/>
    <w:rsid w:val="DFD6CE7C"/>
    <w:rsid w:val="DFDF6195"/>
    <w:rsid w:val="DFE93440"/>
    <w:rsid w:val="DFEF5C84"/>
    <w:rsid w:val="DFFFD722"/>
    <w:rsid w:val="E4FED278"/>
    <w:rsid w:val="E7AF787A"/>
    <w:rsid w:val="EBB7C916"/>
    <w:rsid w:val="ECF13718"/>
    <w:rsid w:val="EDAA365C"/>
    <w:rsid w:val="EDADFC12"/>
    <w:rsid w:val="EEEF1730"/>
    <w:rsid w:val="EFA8060B"/>
    <w:rsid w:val="EFF52654"/>
    <w:rsid w:val="EFFB897B"/>
    <w:rsid w:val="F2FD229B"/>
    <w:rsid w:val="F4E7A975"/>
    <w:rsid w:val="F4FB8BB7"/>
    <w:rsid w:val="F65F79E2"/>
    <w:rsid w:val="F776A00A"/>
    <w:rsid w:val="F77F58E2"/>
    <w:rsid w:val="F7F709E9"/>
    <w:rsid w:val="F7FF3690"/>
    <w:rsid w:val="F7FF83C8"/>
    <w:rsid w:val="F95FC278"/>
    <w:rsid w:val="F9BD3900"/>
    <w:rsid w:val="FBDDC92F"/>
    <w:rsid w:val="FBEF09A5"/>
    <w:rsid w:val="FBF5F201"/>
    <w:rsid w:val="FBF76749"/>
    <w:rsid w:val="FBF767E2"/>
    <w:rsid w:val="FC8B9876"/>
    <w:rsid w:val="FCAE4135"/>
    <w:rsid w:val="FCBFBAB5"/>
    <w:rsid w:val="FCFBA853"/>
    <w:rsid w:val="FDDB2316"/>
    <w:rsid w:val="FE734873"/>
    <w:rsid w:val="FEDBB2F0"/>
    <w:rsid w:val="FEDFF218"/>
    <w:rsid w:val="FEDFFFFF"/>
    <w:rsid w:val="FFB134E8"/>
    <w:rsid w:val="FFBF8D1D"/>
    <w:rsid w:val="FFEBB556"/>
    <w:rsid w:val="FFFBF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100" b="1" i="0" u="none" strike="noStrike" kern="1200" baseline="0">
                <a:solidFill>
                  <a:schemeClr val="tx1">
                    <a:lumMod val="65000"/>
                    <a:lumOff val="35000"/>
                  </a:schemeClr>
                </a:solidFill>
                <a:latin typeface="+mn-lt"/>
                <a:ea typeface="+mn-ea"/>
                <a:cs typeface="+mn-cs"/>
              </a:defRPr>
            </a:pPr>
            <a:r>
              <a:rPr b="0"/>
              <a:t>收入决算</a:t>
            </a:r>
            <a:endParaRPr b="0"/>
          </a:p>
        </c:rich>
      </c:tx>
      <c:layout>
        <c:manualLayout>
          <c:xMode val="edge"/>
          <c:yMode val="edge"/>
          <c:x val="0.44255298013245"/>
          <c:y val="0.034467022758941"/>
        </c:manualLayout>
      </c:layout>
      <c:overlay val="false"/>
      <c:spPr>
        <a:noFill/>
        <a:ln>
          <a:noFill/>
        </a:ln>
        <a:effectLst/>
      </c:spPr>
    </c:title>
    <c:autoTitleDeleted val="false"/>
    <c:plotArea>
      <c:layout/>
      <c:pieChart>
        <c:varyColors val="true"/>
        <c:ser>
          <c:idx val="0"/>
          <c:order val="0"/>
          <c:tx>
            <c:strRef>
              <c:f>Sheet1!$B$1</c:f>
              <c:strCache>
                <c:ptCount val="1"/>
                <c:pt idx="0">
                  <c:v>收入决算</c:v>
                </c:pt>
              </c:strCache>
            </c:strRef>
          </c:tx>
          <c:spPr/>
          <c:explosion val="0"/>
          <c:dPt>
            <c:idx val="0"/>
            <c:bubble3D val="false"/>
            <c:spPr>
              <a:gradFill rotWithShape="true">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false"/>
              </a:gradFill>
              <a:ln>
                <a:noFill/>
              </a:ln>
              <a:effectLst>
                <a:outerShdw blurRad="57150" dist="19050" dir="5400000" algn="ctr" rotWithShape="0">
                  <a:srgbClr val="000000">
                    <a:alpha val="63000"/>
                  </a:srgbClr>
                </a:outerShdw>
              </a:effectLst>
            </c:spPr>
          </c:dPt>
          <c:dLbls>
            <c:dLbl>
              <c:idx val="0"/>
              <c:layout/>
              <c:tx>
                <c:rich>
                  <a:bodyPr rot="0" spcFirstLastPara="0" vertOverflow="ellipsis" vert="horz" wrap="square" lIns="38100" tIns="19050" rIns="38100" bIns="19050" anchor="ctr" anchorCtr="true"/>
                  <a:lstStyle/>
                  <a:p>
                    <a:pPr defTabSz="914400">
                      <a:defRPr lang="zh-CN" sz="900" b="0" i="0" u="none" strike="noStrike" kern="1200" baseline="0">
                        <a:solidFill>
                          <a:schemeClr val="tx1">
                            <a:lumMod val="75000"/>
                            <a:lumOff val="25000"/>
                          </a:schemeClr>
                        </a:solidFill>
                        <a:latin typeface="+mn-lt"/>
                        <a:ea typeface="+mn-ea"/>
                        <a:cs typeface="+mn-cs"/>
                      </a:defRPr>
                    </a:pPr>
                    <a:r>
                      <a:t>100%</a:t>
                    </a:r>
                  </a:p>
                </c:rich>
              </c:tx>
              <c:dLblPos val="inEnd"/>
              <c:showLegendKey val="false"/>
              <c:showVal val="false"/>
              <c:showCatName val="true"/>
              <c:showSerName val="false"/>
              <c:showPercent val="true"/>
              <c:showBubbleSize val="false"/>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tru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财政拨款收入</c:v>
                </c:pt>
              </c:strCache>
            </c:strRef>
          </c:cat>
          <c:val>
            <c:numRef>
              <c:f>Sheet1!$B$2</c:f>
              <c:numCache>
                <c:formatCode>0%</c:formatCode>
                <c:ptCount val="1"/>
                <c:pt idx="0">
                  <c:v>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manualLayout>
          <c:xMode val="edge"/>
          <c:yMode val="edge"/>
          <c:x val="0.781611014401013"/>
          <c:y val="0.302013422818792"/>
          <c:w val="0.213641398955531"/>
          <c:h val="0.135186960690316"/>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100" b="1" i="0" u="none" strike="noStrike" kern="1200" cap="all" spc="50" baseline="0">
                <a:solidFill>
                  <a:schemeClr val="tx1">
                    <a:lumMod val="65000"/>
                    <a:lumOff val="35000"/>
                  </a:schemeClr>
                </a:solidFill>
                <a:latin typeface="+mn-lt"/>
                <a:ea typeface="+mn-ea"/>
                <a:cs typeface="+mn-cs"/>
              </a:defRPr>
            </a:pPr>
            <a:r>
              <a:rPr sz="1100" b="0"/>
              <a:t>支出决算</a:t>
            </a:r>
            <a:endParaRPr sz="1100" b="0"/>
          </a:p>
        </c:rich>
      </c:tx>
      <c:layout/>
      <c:overlay val="false"/>
      <c:spPr>
        <a:noFill/>
        <a:ln>
          <a:noFill/>
        </a:ln>
        <a:effectLst/>
      </c:spPr>
    </c:title>
    <c:autoTitleDeleted val="false"/>
    <c:plotArea>
      <c:layout/>
      <c:pieChart>
        <c:varyColors val="true"/>
        <c:ser>
          <c:idx val="0"/>
          <c:order val="0"/>
          <c:tx>
            <c:strRef>
              <c:f>Sheet1!$B$1</c:f>
              <c:strCache>
                <c:ptCount val="1"/>
                <c:pt idx="0">
                  <c:v>支出决算</c:v>
                </c:pt>
              </c:strCache>
            </c:strRef>
          </c:tx>
          <c:spPr/>
          <c:explosion val="0"/>
          <c:dPt>
            <c:idx val="0"/>
            <c:bubble3D val="false"/>
            <c:spPr>
              <a:solidFill>
                <a:schemeClr val="accent1"/>
              </a:solidFill>
              <a:ln>
                <a:noFill/>
              </a:ln>
              <a:effectLst/>
            </c:spPr>
          </c:dPt>
          <c:dLbls>
            <c:dLbl>
              <c:idx val="0"/>
              <c:layout/>
              <c:tx>
                <c:rich>
                  <a:bodyPr rot="0" spcFirstLastPara="0" vertOverflow="ellipsis" vert="horz" wrap="square" lIns="38100" tIns="19050" rIns="38100" bIns="19050" anchor="ctr" anchorCtr="true"/>
                  <a:lstStyle/>
                  <a:p>
                    <a:pPr defTabSz="914400">
                      <a:defRPr lang="zh-CN" sz="900" b="1" i="0" u="none" strike="noStrike" kern="1200" baseline="0">
                        <a:solidFill>
                          <a:schemeClr val="tx1"/>
                        </a:solidFill>
                        <a:latin typeface="+mn-lt"/>
                        <a:ea typeface="+mn-ea"/>
                        <a:cs typeface="+mn-cs"/>
                      </a:defRPr>
                    </a:pPr>
                    <a:r>
                      <a:rPr b="0">
                        <a:solidFill>
                          <a:schemeClr val="tx1"/>
                        </a:solidFill>
                      </a:rPr>
                      <a:t>100%</a:t>
                    </a:r>
                    <a:endParaRPr b="0">
                      <a:solidFill>
                        <a:schemeClr val="tx1"/>
                      </a:solidFill>
                    </a:endParaRPr>
                  </a:p>
                </c:rich>
              </c:tx>
              <c:dLblPos val="inEnd"/>
              <c:showLegendKey val="false"/>
              <c:showVal val="false"/>
              <c:showCatName val="false"/>
              <c:showSerName val="false"/>
              <c:showPercent val="true"/>
              <c:showBubbleSize val="false"/>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900" b="1" i="0" u="none" strike="noStrike" kern="1200" baseline="0">
                    <a:solidFill>
                      <a:schemeClr val="tx1"/>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c:f>
              <c:strCache>
                <c:ptCount val="1"/>
                <c:pt idx="0">
                  <c:v>基本支出</c:v>
                </c:pt>
              </c:strCache>
            </c:strRef>
          </c:cat>
          <c:val>
            <c:numRef>
              <c:f>Sheet1!$B$2</c:f>
              <c:numCache>
                <c:formatCode>0%</c:formatCode>
                <c:ptCount val="1"/>
                <c:pt idx="0">
                  <c:v>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t"/>
      <c:layout>
        <c:manualLayout>
          <c:xMode val="edge"/>
          <c:yMode val="edge"/>
          <c:x val="0.8135"/>
          <c:y val="0.319166666666667"/>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4</TotalTime>
  <ScaleCrop>false</ScaleCrop>
  <LinksUpToDate>false</LinksUpToDate>
  <CharactersWithSpaces>298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2017-07-14T07:16:00Z</dcterms:created>
  <dc:creator>常程</dc:creator>
  <cp:lastModifiedBy>user</cp:lastModifiedBy>
  <cp:lastPrinted>2020-08-10T03:39:00Z</cp:lastPrinted>
  <dcterms:modified xsi:type="dcterms:W3CDTF">2025-09-25T08:58:07Z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