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北京市大兴区农业农村局（本级）</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w:t>
      </w:r>
      <w:r>
        <w:rPr>
          <w:rFonts w:hint="eastAsia" w:ascii="黑体" w:eastAsia="黑体"/>
          <w:sz w:val="72"/>
          <w:szCs w:val="72"/>
          <w:lang w:eastAsia="zh-CN"/>
        </w:rPr>
        <w:t>度单位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numPr>
          <w:ilvl w:val="0"/>
          <w:numId w:val="1"/>
        </w:numPr>
        <w:tabs>
          <w:tab w:val="center" w:pos="6979"/>
        </w:tabs>
        <w:spacing w:before="156" w:beforeLines="50" w:after="156" w:afterLines="50"/>
        <w:jc w:val="center"/>
        <w:rPr>
          <w:rFonts w:hint="eastAsia" w:ascii="宋体" w:hAnsi="宋体"/>
          <w:b/>
          <w:spacing w:val="40"/>
          <w:sz w:val="32"/>
          <w:szCs w:val="32"/>
        </w:rPr>
      </w:pP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numPr>
          <w:ilvl w:val="0"/>
          <w:numId w:val="0"/>
        </w:numPr>
        <w:tabs>
          <w:tab w:val="center" w:pos="6979"/>
        </w:tabs>
        <w:spacing w:before="156" w:beforeLines="50" w:after="156" w:afterLines="50"/>
        <w:ind w:firstLine="560" w:firstLineChars="200"/>
        <w:jc w:val="both"/>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区农业农村局是区政府组成部门，单位性质为行政机关。本级职能依据《区委办关于印发区农业农村局机构职能和人员编制的通知》通知要求单位职责涉密。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机构设置情况：区农业农村局本级下设10个内设科室：</w:t>
      </w:r>
      <w:bookmarkStart w:id="0" w:name="_GoBack"/>
      <w:bookmarkEnd w:id="0"/>
      <w:r>
        <w:rPr>
          <w:rFonts w:hint="eastAsia" w:ascii="仿宋_GB2312" w:eastAsia="仿宋_GB2312"/>
          <w:sz w:val="28"/>
          <w:szCs w:val="28"/>
          <w:lang w:val="en-US" w:eastAsia="zh-CN"/>
        </w:rPr>
        <w:t>办公室、政工科、财务管理科、法制科、农村合作经济指导科（农民增收科）、农产品质量安全科、农业综合管理科、畜牧渔业综合管理科（区重大动物疫情指挥部办公室）、产业发展科、村镇建设科，6个非独立核算事业单位：农村建设综合协调中心、数字农业农村发展促进中心、党建事务中心、农业综合开发服务中心、北京市大兴区能源发展中心、北京市大兴区农业环境保护事务中心并入大兴区农业农村局本级部门预算。</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17124.66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937.92</w:t>
      </w:r>
      <w:r>
        <w:rPr>
          <w:rFonts w:hint="eastAsia" w:ascii="仿宋_GB2312" w:eastAsia="仿宋_GB2312"/>
          <w:sz w:val="28"/>
          <w:szCs w:val="28"/>
        </w:rPr>
        <w:t>万元，增长</w:t>
      </w:r>
      <w:r>
        <w:rPr>
          <w:rFonts w:hint="eastAsia" w:ascii="仿宋_GB2312" w:eastAsia="仿宋_GB2312"/>
          <w:sz w:val="28"/>
          <w:szCs w:val="28"/>
          <w:lang w:val="en-US" w:eastAsia="zh-CN"/>
        </w:rPr>
        <w:t>5.79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16794.29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2113.72</w:t>
      </w:r>
      <w:r>
        <w:rPr>
          <w:rFonts w:hint="eastAsia" w:ascii="仿宋_GB2312" w:eastAsia="仿宋_GB2312"/>
          <w:sz w:val="28"/>
          <w:szCs w:val="28"/>
        </w:rPr>
        <w:t>万元，增长</w:t>
      </w:r>
      <w:r>
        <w:rPr>
          <w:rFonts w:hint="eastAsia" w:ascii="仿宋_GB2312" w:eastAsia="仿宋_GB2312"/>
          <w:sz w:val="28"/>
          <w:szCs w:val="28"/>
          <w:lang w:val="en-US" w:eastAsia="zh-CN"/>
        </w:rPr>
        <w:t>14.4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16792.24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16623.16</w:t>
      </w:r>
      <w:r>
        <w:rPr>
          <w:rFonts w:hint="eastAsia" w:ascii="仿宋_GB2312" w:eastAsia="仿宋_GB2312"/>
          <w:sz w:val="28"/>
          <w:szCs w:val="28"/>
        </w:rPr>
        <w:t>万元，占收入合计的</w:t>
      </w:r>
      <w:r>
        <w:rPr>
          <w:rFonts w:hint="eastAsia" w:ascii="仿宋_GB2312" w:eastAsia="仿宋_GB2312"/>
          <w:sz w:val="28"/>
          <w:szCs w:val="28"/>
          <w:lang w:val="en-US" w:eastAsia="zh-CN"/>
        </w:rPr>
        <w:t>98.99</w:t>
      </w:r>
      <w:r>
        <w:rPr>
          <w:rFonts w:ascii="仿宋_GB2312" w:eastAsia="仿宋_GB2312"/>
          <w:sz w:val="28"/>
          <w:szCs w:val="28"/>
        </w:rPr>
        <w:t>X</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169.08</w:t>
      </w:r>
      <w:r>
        <w:rPr>
          <w:rFonts w:hint="eastAsia" w:ascii="仿宋_GB2312" w:eastAsia="仿宋_GB2312"/>
          <w:sz w:val="28"/>
          <w:szCs w:val="28"/>
        </w:rPr>
        <w:t>万元，占收入合计的</w:t>
      </w:r>
      <w:r>
        <w:rPr>
          <w:rFonts w:hint="eastAsia" w:ascii="仿宋_GB2312" w:eastAsia="仿宋_GB2312"/>
          <w:sz w:val="28"/>
          <w:szCs w:val="28"/>
          <w:lang w:val="en-US" w:eastAsia="zh-CN"/>
        </w:rPr>
        <w:t>1</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2.05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0.01</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17105.41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949.19</w:t>
      </w:r>
      <w:r>
        <w:rPr>
          <w:rFonts w:hint="eastAsia" w:ascii="仿宋_GB2312" w:eastAsia="仿宋_GB2312"/>
          <w:sz w:val="28"/>
          <w:szCs w:val="28"/>
        </w:rPr>
        <w:t>万元，增长</w:t>
      </w:r>
      <w:r>
        <w:rPr>
          <w:rFonts w:hint="eastAsia" w:ascii="仿宋_GB2312" w:eastAsia="仿宋_GB2312"/>
          <w:sz w:val="28"/>
          <w:szCs w:val="28"/>
          <w:lang w:val="en-US" w:eastAsia="zh-CN"/>
        </w:rPr>
        <w:t>5.88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3917.89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22.9</w:t>
      </w:r>
      <w:r>
        <w:rPr>
          <w:rFonts w:hint="eastAsia" w:ascii="仿宋_GB2312" w:eastAsia="仿宋_GB2312"/>
          <w:sz w:val="28"/>
          <w:szCs w:val="28"/>
          <w:highlight w:val="none"/>
        </w:rPr>
        <w:t>%；项目支出</w:t>
      </w:r>
      <w:r>
        <w:rPr>
          <w:rFonts w:ascii="仿宋_GB2312" w:eastAsia="仿宋_GB2312"/>
          <w:sz w:val="28"/>
          <w:szCs w:val="28"/>
          <w:highlight w:val="none"/>
        </w:rPr>
        <w:t>13187.52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77.1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17092.1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967.83</w:t>
      </w:r>
      <w:r>
        <w:rPr>
          <w:rFonts w:hint="eastAsia" w:ascii="仿宋_GB2312" w:eastAsia="仿宋_GB2312"/>
          <w:sz w:val="28"/>
          <w:szCs w:val="28"/>
        </w:rPr>
        <w:t>万元，增长</w:t>
      </w:r>
      <w:r>
        <w:rPr>
          <w:rFonts w:hint="eastAsia" w:ascii="仿宋_GB2312" w:eastAsia="仿宋_GB2312"/>
          <w:sz w:val="28"/>
          <w:szCs w:val="28"/>
          <w:lang w:val="en-US" w:eastAsia="zh-CN"/>
        </w:rPr>
        <w:t>6</w:t>
      </w:r>
      <w:r>
        <w:rPr>
          <w:rFonts w:hint="eastAsia" w:ascii="仿宋_GB2312" w:eastAsia="仿宋_GB2312"/>
          <w:sz w:val="28"/>
          <w:szCs w:val="28"/>
        </w:rPr>
        <w:t>%。主要原因</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增加了2024年耕地地力保护补贴资金及购房补贴资金等收入</w:t>
      </w:r>
      <w:r>
        <w:rPr>
          <w:rFonts w:hint="eastAsia" w:ascii="仿宋_GB2312" w:hAnsi="Times New Roman" w:eastAsia="仿宋_GB2312" w:cs="Times New Roman"/>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16923.02</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lang w:val="en-US" w:eastAsia="zh-CN"/>
        </w:rPr>
        <w:t>66.48</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0.39</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社会保障和就业支出</w:t>
      </w:r>
      <w:r>
        <w:rPr>
          <w:rFonts w:hint="eastAsia" w:ascii="仿宋_GB2312" w:hAnsi="Times New Roman" w:eastAsia="仿宋_GB2312" w:cs="Times New Roman"/>
          <w:sz w:val="28"/>
          <w:szCs w:val="28"/>
          <w:lang w:val="en-US" w:eastAsia="zh-CN"/>
        </w:rPr>
        <w:t>530.71万元，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3.11</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；卫生健康支出</w:t>
      </w:r>
      <w:r>
        <w:rPr>
          <w:rFonts w:hint="eastAsia" w:ascii="仿宋_GB2312" w:hAnsi="Times New Roman" w:eastAsia="仿宋_GB2312" w:cs="Times New Roman"/>
          <w:sz w:val="28"/>
          <w:szCs w:val="28"/>
          <w:lang w:val="en-US" w:eastAsia="zh-CN"/>
        </w:rPr>
        <w:t>298.08万元，占本年财政拨款支出1.74%；节能环保支出3348.03万元，占本年财政拨款支出19.59%；农林水支出12379.86万元，占本年财政拨款支出72.43%；住房保障支出299.86万元，占本年财政拨款支出1.75%</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1、“教育支出”2024年度年初预算71.76万元，2024年度决算66.48万元，完成年初预算的92.64%。其中：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“培训支出”2024年度年初预算71.76万元，2024年度决算66.48万元，完成年初预算92.64%。主要原因：按培训的实际发生情况支付资金。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2.“社会保障和就业支出” 2024年度年初预算498.75万元，2024年度决算530.71万元，完成年初预算的106.41%。其中：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“行政单位离退休”2024年度年初预算48.71万元，2024年度决算82万元，完成年初预算的168.34%。主要原因：主要为人员变化及增加了抚恤金。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“事业单位离退休”2024年度年初预算28.23万元，2024年度决算30.22万元，完成年初预算的107.05%。主要原因为人员变化。</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“机关事业单位基本养老保险缴费支出”2024年度年初预算281.06万元，2024年度决算268.93万元，完成年初预算的95.68%。主要原因为人员变动。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“机关事业单位职业年金缴费支出”2024年度年初预算140.29万元，2024年度决算152.1万元，完成年初预算的108.42%。主要原因为人员变动。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“其他行政事业单位养老支出”2024年度年初预算0.46万元，2024年度决算0.46万元，完成年初预算的100%。</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3.“卫生健康支出”2024年度年初预算307.46万元，2024年度决算298.08万元，完成年初预算的96.95%。其中：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“行政单位医疗”2024年度年初预算111.19万元，2024年度决算103.3万元，完成年初预算的92.9%。 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“事业单位医疗”2024年度年初预算124.21万元，2024年度决算124.92万元，完成年初预算的100.57%。主要原因为人员变动。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“公务员医疗补助”2024年度年初预算72.06万元，2024年度决算69.86万元，完成年初预算的96.95%。主要原因为人员变动。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4.“节能环保支出”2024年度年初预算3300万元，2024年度决算3348.03万元，完成年初预算的101.46%。其中：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“大气”2024年度年初预算3300万元，2024年度决算3348.03万元，完成年初预算的101.46%。主要原因为追加2023年度煤改电用户低谷电价补贴市级资金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5.“农林水支出”2024年度年初预算9519.57万元，2024年度决算12379.86万元，完成年初预算的130.05%。其中：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“行政运行”2024年度年初预算1492.29万元，2024年度决算1372.26万元，完成年初预算的91.96%。主要原因为人员变动及压缩日常开支。</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“一般行政管理事务”2024年度年初预算0万元，2024年度决算5.45万元，完成年初预算的100%。主要原因为一人出访荷兰、西班牙开展农业重点领域业务合作洽谈和招商引资工作。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“事业运行”2024年度年初预算1401.9万元，2024年度决算1417.43万元，完成年初预算的101.11%。主要原因为人员变动。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“农产品质量安全”2024年度年初预算137.88万元，2024年度决算116.04万元，完成年初预算的84.16%。主要原因为项目实施完毕，剩余资金退回财政。</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“稳定农民收入补贴”2024年度年初预算0万元，2024年度决算2517.88万元，完成年初预算的100%。主要原因为增加2024年耕地地力保护补贴资金。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“农业生产发展”2024年度年初预算0万元，2024年度决算637.2万元，完成年初预算的100%。主要原因为追加农业农村改革发展资金用于2024年耕地地力保护补贴。</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“农业生态资源保护”2024年度年初预算0万元，2024年度决算25万元，完成年初预算的100%。主要原因为追加大兴区农作物秸秆综合利用重点区建设项目。</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“其他农业农村支出”2024年度年初预算4850.07万元，2024年度决算4651.17万元，完成年初预算的95.9%。主要原因为项目实施完毕，剩余资金退回财政。</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“农业保险保费补贴”2024年度年初预算1637.43万元，2024年度决算1637.43万元，完成年初预算的100%。</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6.“住房保障支出”2024年度年初预算0万元，2024年度决算299.86万元，完成年初预算的100%。主要原因为此项为发放个人的购房补贴</w:t>
      </w:r>
    </w:p>
    <w:p>
      <w:pPr>
        <w:spacing w:line="580" w:lineRule="exact"/>
        <w:ind w:firstLine="560" w:firstLineChars="200"/>
        <w:rPr>
          <w:rFonts w:hint="eastAsia" w:ascii="仿宋_GB2312" w:eastAsia="仿宋_GB2312"/>
          <w:color w:val="auto"/>
          <w:sz w:val="28"/>
          <w:szCs w:val="28"/>
        </w:rPr>
      </w:pPr>
      <w:r>
        <w:rPr>
          <w:rFonts w:hint="eastAsia" w:ascii="黑体" w:eastAsia="黑体"/>
          <w:b/>
          <w:color w:val="auto"/>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年度政府性基金预算财政拨款支出</w:t>
      </w:r>
      <w:r>
        <w:rPr>
          <w:rFonts w:ascii="仿宋_GB2312" w:eastAsia="仿宋_GB2312"/>
          <w:color w:val="auto"/>
          <w:sz w:val="28"/>
          <w:szCs w:val="28"/>
        </w:rPr>
        <w:t>169.08</w:t>
      </w:r>
      <w:r>
        <w:rPr>
          <w:rFonts w:hint="eastAsia" w:ascii="仿宋_GB2312" w:eastAsia="仿宋_GB2312"/>
          <w:color w:val="auto"/>
          <w:sz w:val="28"/>
          <w:szCs w:val="28"/>
        </w:rPr>
        <w:t>万元，主要用于以下方面（按大类）：城乡社区支出</w:t>
      </w:r>
      <w:r>
        <w:rPr>
          <w:rFonts w:hint="eastAsia" w:ascii="仿宋_GB2312" w:eastAsia="仿宋_GB2312"/>
          <w:color w:val="auto"/>
          <w:sz w:val="28"/>
          <w:szCs w:val="28"/>
          <w:lang w:val="en-US" w:eastAsia="zh-CN"/>
        </w:rPr>
        <w:t>169.08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0.99</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lang w:val="en-US" w:eastAsia="zh-CN"/>
        </w:rPr>
      </w:pPr>
      <w:r>
        <w:rPr>
          <w:rFonts w:hint="eastAsia" w:ascii="仿宋_GB2312" w:eastAsia="仿宋_GB2312"/>
          <w:color w:val="auto"/>
          <w:sz w:val="28"/>
          <w:szCs w:val="28"/>
        </w:rPr>
        <w:t>1、“城乡社区支出”</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169.08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301.93</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新宋体" w:hAnsi="新宋体" w:eastAsia="新宋体" w:cs="新宋体"/>
          <w:color w:val="auto"/>
          <w:sz w:val="28"/>
          <w:szCs w:val="28"/>
          <w:lang w:eastAsia="zh-CN"/>
        </w:rPr>
        <w:t>“</w:t>
      </w:r>
      <w:r>
        <w:rPr>
          <w:rFonts w:hint="eastAsia" w:ascii="仿宋_GB2312" w:eastAsia="仿宋_GB2312"/>
          <w:color w:val="auto"/>
          <w:sz w:val="28"/>
          <w:szCs w:val="28"/>
          <w:lang w:eastAsia="zh-CN"/>
        </w:rPr>
        <w:t>农村基础设施建设支出”</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55.24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98.64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，主要原因为</w:t>
      </w:r>
      <w:r>
        <w:rPr>
          <w:rFonts w:hint="eastAsia" w:ascii="仿宋_GB2312" w:eastAsia="仿宋_GB2312"/>
          <w:color w:val="auto"/>
          <w:sz w:val="28"/>
          <w:szCs w:val="28"/>
          <w:lang w:val="en-US" w:eastAsia="zh-CN"/>
        </w:rPr>
        <w:t>项目实施完毕，剩余资金退回财政。</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eastAsia="zh-CN"/>
        </w:rPr>
        <w:t>农业生产发展支出</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113.84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增加高标准农田建设资金。</w:t>
      </w:r>
    </w:p>
    <w:p>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pPr>
        <w:spacing w:line="580" w:lineRule="exact"/>
        <w:ind w:firstLine="548" w:firstLineChars="196"/>
        <w:rPr>
          <w:rFonts w:hint="eastAsia" w:ascii="黑体" w:eastAsia="黑体"/>
          <w:color w:val="auto"/>
          <w:sz w:val="28"/>
          <w:szCs w:val="28"/>
        </w:rPr>
      </w:pPr>
      <w:r>
        <w:rPr>
          <w:rFonts w:hint="eastAsia" w:ascii="黑体" w:eastAsia="黑体"/>
          <w:b/>
          <w:color w:val="auto"/>
          <w:sz w:val="28"/>
          <w:szCs w:val="28"/>
        </w:rPr>
        <w:t>七、财政拨款基本支出决算情况说明</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w:t>
      </w:r>
      <w:r>
        <w:rPr>
          <w:rFonts w:hint="eastAsia" w:ascii="仿宋_GB2312" w:eastAsia="仿宋_GB2312"/>
          <w:sz w:val="28"/>
          <w:szCs w:val="28"/>
        </w:rPr>
        <w:t>支出</w:t>
      </w:r>
      <w:r>
        <w:rPr>
          <w:rFonts w:ascii="仿宋_GB2312" w:eastAsia="仿宋_GB2312"/>
          <w:sz w:val="28"/>
          <w:szCs w:val="28"/>
        </w:rPr>
        <w:t>3917.89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color w:val="auto"/>
          <w:sz w:val="28"/>
          <w:szCs w:val="28"/>
        </w:rPr>
        <w:t>其中：工资福利支出</w:t>
      </w:r>
      <w:r>
        <w:rPr>
          <w:rFonts w:hint="eastAsia" w:ascii="仿宋_GB2312" w:eastAsia="仿宋_GB2312"/>
          <w:color w:val="auto"/>
          <w:sz w:val="28"/>
          <w:szCs w:val="28"/>
          <w:lang w:val="en-US" w:eastAsia="zh-CN"/>
        </w:rPr>
        <w:t>3629.43万元,其中：</w:t>
      </w:r>
      <w:r>
        <w:rPr>
          <w:rFonts w:hint="eastAsia" w:ascii="仿宋_GB2312" w:eastAsia="仿宋_GB2312"/>
          <w:color w:val="auto"/>
          <w:sz w:val="28"/>
          <w:szCs w:val="28"/>
        </w:rPr>
        <w:t>基本工资</w:t>
      </w:r>
      <w:r>
        <w:rPr>
          <w:rFonts w:hint="eastAsia" w:ascii="仿宋_GB2312" w:eastAsia="仿宋_GB2312"/>
          <w:color w:val="auto"/>
          <w:sz w:val="28"/>
          <w:szCs w:val="28"/>
          <w:lang w:val="en-US" w:eastAsia="zh-CN"/>
        </w:rPr>
        <w:t>461.29万元</w:t>
      </w:r>
      <w:r>
        <w:rPr>
          <w:rFonts w:hint="eastAsia" w:ascii="仿宋_GB2312" w:eastAsia="仿宋_GB2312"/>
          <w:color w:val="auto"/>
          <w:sz w:val="28"/>
          <w:szCs w:val="28"/>
        </w:rPr>
        <w:t>、津贴补贴</w:t>
      </w:r>
      <w:r>
        <w:rPr>
          <w:rFonts w:hint="eastAsia" w:ascii="仿宋_GB2312" w:eastAsia="仿宋_GB2312"/>
          <w:color w:val="auto"/>
          <w:sz w:val="28"/>
          <w:szCs w:val="28"/>
          <w:lang w:val="en-US" w:eastAsia="zh-CN"/>
        </w:rPr>
        <w:t>1020.08万元</w:t>
      </w:r>
      <w:r>
        <w:rPr>
          <w:rFonts w:hint="eastAsia" w:ascii="仿宋_GB2312" w:eastAsia="仿宋_GB2312"/>
          <w:color w:val="auto"/>
          <w:sz w:val="28"/>
          <w:szCs w:val="28"/>
        </w:rPr>
        <w:t>、奖金</w:t>
      </w:r>
      <w:r>
        <w:rPr>
          <w:rFonts w:hint="eastAsia" w:ascii="仿宋_GB2312" w:eastAsia="仿宋_GB2312"/>
          <w:color w:val="auto"/>
          <w:sz w:val="28"/>
          <w:szCs w:val="28"/>
          <w:lang w:val="en-US" w:eastAsia="zh-CN"/>
        </w:rPr>
        <w:t>336.77万元</w:t>
      </w:r>
      <w:r>
        <w:rPr>
          <w:rFonts w:hint="eastAsia" w:ascii="仿宋_GB2312" w:eastAsia="仿宋_GB2312"/>
          <w:color w:val="auto"/>
          <w:sz w:val="28"/>
          <w:szCs w:val="28"/>
        </w:rPr>
        <w:t>、绩效工资</w:t>
      </w:r>
      <w:r>
        <w:rPr>
          <w:rFonts w:hint="eastAsia" w:ascii="仿宋_GB2312" w:eastAsia="仿宋_GB2312"/>
          <w:color w:val="auto"/>
          <w:sz w:val="28"/>
          <w:szCs w:val="28"/>
          <w:lang w:val="en-US" w:eastAsia="zh-CN"/>
        </w:rPr>
        <w:t>791.36万元</w:t>
      </w:r>
      <w:r>
        <w:rPr>
          <w:rFonts w:hint="eastAsia" w:ascii="仿宋_GB2312" w:eastAsia="仿宋_GB2312"/>
          <w:color w:val="auto"/>
          <w:sz w:val="28"/>
          <w:szCs w:val="28"/>
        </w:rPr>
        <w:t>、</w:t>
      </w:r>
      <w:r>
        <w:rPr>
          <w:rFonts w:hint="eastAsia" w:ascii="仿宋_GB2312" w:eastAsia="仿宋_GB2312"/>
          <w:color w:val="auto"/>
          <w:sz w:val="28"/>
          <w:szCs w:val="28"/>
          <w:lang w:eastAsia="zh-CN"/>
        </w:rPr>
        <w:t>机关事业单位基本养老保险缴费</w:t>
      </w:r>
      <w:r>
        <w:rPr>
          <w:rFonts w:hint="eastAsia" w:ascii="仿宋_GB2312" w:eastAsia="仿宋_GB2312"/>
          <w:color w:val="auto"/>
          <w:sz w:val="28"/>
          <w:szCs w:val="28"/>
          <w:lang w:val="en-US" w:eastAsia="zh-CN"/>
        </w:rPr>
        <w:t>265.93万元</w:t>
      </w:r>
      <w:r>
        <w:rPr>
          <w:rFonts w:hint="eastAsia" w:ascii="仿宋_GB2312" w:eastAsia="仿宋_GB2312"/>
          <w:color w:val="auto"/>
          <w:sz w:val="28"/>
          <w:szCs w:val="28"/>
          <w:lang w:eastAsia="zh-CN"/>
        </w:rPr>
        <w:t>、职业年金缴费</w:t>
      </w:r>
      <w:r>
        <w:rPr>
          <w:rFonts w:hint="eastAsia" w:ascii="仿宋_GB2312" w:eastAsia="仿宋_GB2312"/>
          <w:color w:val="auto"/>
          <w:sz w:val="28"/>
          <w:szCs w:val="28"/>
          <w:lang w:val="en-US" w:eastAsia="zh-CN"/>
        </w:rPr>
        <w:t>152.11万元</w:t>
      </w:r>
      <w:r>
        <w:rPr>
          <w:rFonts w:hint="eastAsia" w:ascii="仿宋_GB2312" w:eastAsia="仿宋_GB2312"/>
          <w:color w:val="auto"/>
          <w:sz w:val="28"/>
          <w:szCs w:val="28"/>
          <w:lang w:eastAsia="zh-CN"/>
        </w:rPr>
        <w:t>、职工基本医疗保险缴费</w:t>
      </w:r>
      <w:r>
        <w:rPr>
          <w:rFonts w:hint="eastAsia" w:ascii="仿宋_GB2312" w:eastAsia="仿宋_GB2312"/>
          <w:color w:val="auto"/>
          <w:sz w:val="28"/>
          <w:szCs w:val="28"/>
          <w:lang w:val="en-US" w:eastAsia="zh-CN"/>
        </w:rPr>
        <w:t>228.22万元</w:t>
      </w:r>
      <w:r>
        <w:rPr>
          <w:rFonts w:hint="eastAsia" w:ascii="仿宋_GB2312" w:eastAsia="仿宋_GB2312"/>
          <w:color w:val="auto"/>
          <w:sz w:val="28"/>
          <w:szCs w:val="28"/>
          <w:lang w:eastAsia="zh-CN"/>
        </w:rPr>
        <w:t>、公务员医疗补助缴费</w:t>
      </w:r>
      <w:r>
        <w:rPr>
          <w:rFonts w:hint="eastAsia" w:ascii="仿宋_GB2312" w:eastAsia="仿宋_GB2312"/>
          <w:color w:val="auto"/>
          <w:sz w:val="28"/>
          <w:szCs w:val="28"/>
          <w:lang w:val="en-US" w:eastAsia="zh-CN"/>
        </w:rPr>
        <w:t>69.86万元</w:t>
      </w:r>
      <w:r>
        <w:rPr>
          <w:rFonts w:hint="eastAsia" w:ascii="仿宋_GB2312" w:eastAsia="仿宋_GB2312"/>
          <w:color w:val="auto"/>
          <w:sz w:val="28"/>
          <w:szCs w:val="28"/>
          <w:lang w:eastAsia="zh-CN"/>
        </w:rPr>
        <w:t>、</w:t>
      </w:r>
      <w:r>
        <w:rPr>
          <w:rFonts w:hint="eastAsia" w:ascii="仿宋_GB2312" w:eastAsia="仿宋_GB2312"/>
          <w:color w:val="auto"/>
          <w:sz w:val="28"/>
          <w:szCs w:val="28"/>
        </w:rPr>
        <w:t>其他社会保障缴费</w:t>
      </w:r>
      <w:r>
        <w:rPr>
          <w:rFonts w:hint="eastAsia" w:ascii="仿宋_GB2312" w:eastAsia="仿宋_GB2312"/>
          <w:color w:val="auto"/>
          <w:sz w:val="28"/>
          <w:szCs w:val="28"/>
          <w:lang w:val="en-US" w:eastAsia="zh-CN"/>
        </w:rPr>
        <w:t>46.45万元</w:t>
      </w:r>
      <w:r>
        <w:rPr>
          <w:rFonts w:hint="eastAsia" w:ascii="仿宋_GB2312" w:eastAsia="仿宋_GB2312"/>
          <w:color w:val="auto"/>
          <w:sz w:val="28"/>
          <w:szCs w:val="28"/>
          <w:lang w:eastAsia="zh-CN"/>
        </w:rPr>
        <w:t>、住房公积金</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257.36万元</w:t>
      </w:r>
      <w:r>
        <w:rPr>
          <w:rFonts w:hint="eastAsia" w:ascii="仿宋_GB2312" w:eastAsia="仿宋_GB2312"/>
          <w:color w:val="auto"/>
          <w:sz w:val="28"/>
          <w:szCs w:val="28"/>
        </w:rPr>
        <w:t>；商品和服务支出</w:t>
      </w:r>
      <w:r>
        <w:rPr>
          <w:rFonts w:hint="eastAsia" w:ascii="仿宋_GB2312" w:eastAsia="仿宋_GB2312"/>
          <w:color w:val="auto"/>
          <w:sz w:val="28"/>
          <w:szCs w:val="28"/>
          <w:lang w:val="en-US" w:eastAsia="zh-CN"/>
        </w:rPr>
        <w:t>165.6万元，其中：</w:t>
      </w:r>
      <w:r>
        <w:rPr>
          <w:rFonts w:hint="eastAsia" w:ascii="仿宋_GB2312" w:eastAsia="仿宋_GB2312"/>
          <w:color w:val="auto"/>
          <w:sz w:val="28"/>
          <w:szCs w:val="28"/>
        </w:rPr>
        <w:t>办公费</w:t>
      </w:r>
      <w:r>
        <w:rPr>
          <w:rFonts w:hint="eastAsia" w:ascii="仿宋_GB2312" w:eastAsia="仿宋_GB2312"/>
          <w:color w:val="auto"/>
          <w:sz w:val="28"/>
          <w:szCs w:val="28"/>
          <w:lang w:val="en-US" w:eastAsia="zh-CN"/>
        </w:rPr>
        <w:t>20.7万元</w:t>
      </w:r>
      <w:r>
        <w:rPr>
          <w:rFonts w:hint="eastAsia" w:ascii="仿宋_GB2312" w:eastAsia="仿宋_GB2312"/>
          <w:color w:val="auto"/>
          <w:sz w:val="28"/>
          <w:szCs w:val="28"/>
        </w:rPr>
        <w:t>、差旅费</w:t>
      </w:r>
      <w:r>
        <w:rPr>
          <w:rFonts w:hint="eastAsia" w:ascii="仿宋_GB2312" w:eastAsia="仿宋_GB2312"/>
          <w:color w:val="auto"/>
          <w:sz w:val="28"/>
          <w:szCs w:val="28"/>
          <w:lang w:val="en-US" w:eastAsia="zh-CN"/>
        </w:rPr>
        <w:t>8.48万元</w:t>
      </w:r>
      <w:r>
        <w:rPr>
          <w:rFonts w:hint="eastAsia" w:ascii="仿宋_GB2312" w:eastAsia="仿宋_GB2312"/>
          <w:color w:val="auto"/>
          <w:sz w:val="28"/>
          <w:szCs w:val="28"/>
        </w:rPr>
        <w:t>、维修（护）费</w:t>
      </w:r>
      <w:r>
        <w:rPr>
          <w:rFonts w:hint="eastAsia" w:ascii="仿宋_GB2312" w:eastAsia="仿宋_GB2312"/>
          <w:color w:val="auto"/>
          <w:sz w:val="28"/>
          <w:szCs w:val="28"/>
          <w:lang w:val="en-US" w:eastAsia="zh-CN"/>
        </w:rPr>
        <w:t>9.91万元</w:t>
      </w:r>
      <w:r>
        <w:rPr>
          <w:rFonts w:hint="eastAsia" w:ascii="仿宋_GB2312" w:eastAsia="仿宋_GB2312"/>
          <w:color w:val="auto"/>
          <w:sz w:val="28"/>
          <w:szCs w:val="28"/>
        </w:rPr>
        <w:t>、工会经费</w:t>
      </w:r>
      <w:r>
        <w:rPr>
          <w:rFonts w:hint="eastAsia" w:ascii="仿宋_GB2312" w:eastAsia="仿宋_GB2312"/>
          <w:color w:val="auto"/>
          <w:sz w:val="28"/>
          <w:szCs w:val="28"/>
          <w:lang w:val="en-US" w:eastAsia="zh-CN"/>
        </w:rPr>
        <w:t>48.08万元</w:t>
      </w:r>
      <w:r>
        <w:rPr>
          <w:rFonts w:hint="eastAsia" w:ascii="仿宋_GB2312" w:eastAsia="仿宋_GB2312"/>
          <w:color w:val="auto"/>
          <w:sz w:val="28"/>
          <w:szCs w:val="28"/>
        </w:rPr>
        <w:t>、福利费</w:t>
      </w:r>
      <w:r>
        <w:rPr>
          <w:rFonts w:hint="eastAsia" w:ascii="仿宋_GB2312" w:eastAsia="仿宋_GB2312"/>
          <w:color w:val="auto"/>
          <w:sz w:val="28"/>
          <w:szCs w:val="28"/>
          <w:lang w:val="en-US" w:eastAsia="zh-CN"/>
        </w:rPr>
        <w:t>33.54万元</w:t>
      </w:r>
      <w:r>
        <w:rPr>
          <w:rFonts w:hint="eastAsia" w:ascii="仿宋_GB2312" w:eastAsia="仿宋_GB2312"/>
          <w:color w:val="auto"/>
          <w:sz w:val="28"/>
          <w:szCs w:val="28"/>
        </w:rPr>
        <w:t>、公务用车运行维护费</w:t>
      </w:r>
      <w:r>
        <w:rPr>
          <w:rFonts w:hint="eastAsia" w:ascii="仿宋_GB2312" w:eastAsia="仿宋_GB2312"/>
          <w:color w:val="auto"/>
          <w:sz w:val="28"/>
          <w:szCs w:val="28"/>
          <w:lang w:val="en-US" w:eastAsia="zh-CN"/>
        </w:rPr>
        <w:t>3.09万元</w:t>
      </w:r>
      <w:r>
        <w:rPr>
          <w:rFonts w:hint="eastAsia" w:ascii="仿宋_GB2312" w:eastAsia="仿宋_GB2312"/>
          <w:color w:val="auto"/>
          <w:sz w:val="28"/>
          <w:szCs w:val="28"/>
        </w:rPr>
        <w:t>、其他交通费支出</w:t>
      </w:r>
      <w:r>
        <w:rPr>
          <w:rFonts w:hint="eastAsia" w:ascii="仿宋_GB2312" w:eastAsia="仿宋_GB2312"/>
          <w:color w:val="auto"/>
          <w:sz w:val="28"/>
          <w:szCs w:val="28"/>
          <w:lang w:val="en-US" w:eastAsia="zh-CN"/>
        </w:rPr>
        <w:t>41.8万元</w:t>
      </w:r>
      <w:r>
        <w:rPr>
          <w:rFonts w:hint="eastAsia" w:ascii="仿宋_GB2312" w:eastAsia="仿宋_GB2312"/>
          <w:color w:val="auto"/>
          <w:sz w:val="28"/>
          <w:szCs w:val="28"/>
        </w:rPr>
        <w:t>；（3）对个人和家庭补助支出</w:t>
      </w:r>
      <w:r>
        <w:rPr>
          <w:rFonts w:hint="eastAsia" w:ascii="仿宋_GB2312" w:eastAsia="仿宋_GB2312"/>
          <w:color w:val="auto"/>
          <w:sz w:val="28"/>
          <w:szCs w:val="28"/>
          <w:lang w:val="en-US" w:eastAsia="zh-CN"/>
        </w:rPr>
        <w:t>122.86万元，其中：</w:t>
      </w:r>
      <w:r>
        <w:rPr>
          <w:rFonts w:hint="eastAsia" w:ascii="仿宋_GB2312" w:eastAsia="仿宋_GB2312"/>
          <w:color w:val="auto"/>
          <w:sz w:val="28"/>
          <w:szCs w:val="28"/>
        </w:rPr>
        <w:t>离休费</w:t>
      </w:r>
      <w:r>
        <w:rPr>
          <w:rFonts w:hint="eastAsia" w:ascii="仿宋_GB2312" w:eastAsia="仿宋_GB2312"/>
          <w:color w:val="auto"/>
          <w:sz w:val="28"/>
          <w:szCs w:val="28"/>
          <w:lang w:val="en-US" w:eastAsia="zh-CN"/>
        </w:rPr>
        <w:t>24.45万元</w:t>
      </w:r>
      <w:r>
        <w:rPr>
          <w:rFonts w:hint="eastAsia" w:ascii="仿宋_GB2312" w:eastAsia="仿宋_GB2312"/>
          <w:color w:val="auto"/>
          <w:sz w:val="28"/>
          <w:szCs w:val="28"/>
        </w:rPr>
        <w:t>、退休费</w:t>
      </w:r>
      <w:r>
        <w:rPr>
          <w:rFonts w:hint="eastAsia" w:ascii="仿宋_GB2312" w:eastAsia="仿宋_GB2312"/>
          <w:color w:val="auto"/>
          <w:sz w:val="28"/>
          <w:szCs w:val="28"/>
          <w:lang w:val="en-US" w:eastAsia="zh-CN"/>
        </w:rPr>
        <w:t>70.93万元</w:t>
      </w:r>
      <w:r>
        <w:rPr>
          <w:rFonts w:hint="eastAsia" w:ascii="仿宋_GB2312" w:eastAsia="仿宋_GB2312"/>
          <w:color w:val="auto"/>
          <w:sz w:val="28"/>
          <w:szCs w:val="28"/>
        </w:rPr>
        <w:t>、抚恤金</w:t>
      </w:r>
      <w:r>
        <w:rPr>
          <w:rFonts w:hint="eastAsia" w:ascii="仿宋_GB2312" w:eastAsia="仿宋_GB2312"/>
          <w:color w:val="auto"/>
          <w:sz w:val="28"/>
          <w:szCs w:val="28"/>
          <w:lang w:val="en-US" w:eastAsia="zh-CN"/>
        </w:rPr>
        <w:t>18.02万元</w:t>
      </w:r>
      <w:r>
        <w:rPr>
          <w:rFonts w:hint="eastAsia" w:ascii="仿宋_GB2312" w:eastAsia="仿宋_GB2312"/>
          <w:color w:val="auto"/>
          <w:sz w:val="28"/>
          <w:szCs w:val="28"/>
        </w:rPr>
        <w:t>、医疗费补助</w:t>
      </w:r>
      <w:r>
        <w:rPr>
          <w:rFonts w:hint="eastAsia" w:ascii="仿宋_GB2312" w:eastAsia="仿宋_GB2312"/>
          <w:color w:val="auto"/>
          <w:sz w:val="28"/>
          <w:szCs w:val="28"/>
          <w:lang w:val="en-US" w:eastAsia="zh-CN"/>
        </w:rPr>
        <w:t>9万元</w:t>
      </w:r>
      <w:r>
        <w:rPr>
          <w:rFonts w:hint="eastAsia" w:ascii="仿宋_GB2312" w:eastAsia="仿宋_GB2312"/>
          <w:color w:val="auto"/>
          <w:sz w:val="28"/>
          <w:szCs w:val="28"/>
        </w:rPr>
        <w:t>、奖励金</w:t>
      </w:r>
      <w:r>
        <w:rPr>
          <w:rFonts w:hint="eastAsia" w:ascii="仿宋_GB2312" w:eastAsia="仿宋_GB2312"/>
          <w:color w:val="auto"/>
          <w:sz w:val="28"/>
          <w:szCs w:val="28"/>
          <w:lang w:val="en-US" w:eastAsia="zh-CN"/>
        </w:rPr>
        <w:t>0.46万元。</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18.2</w:t>
      </w:r>
      <w:r>
        <w:rPr>
          <w:rFonts w:hint="eastAsia" w:ascii="仿宋_GB2312" w:eastAsia="仿宋_GB2312"/>
          <w:sz w:val="28"/>
          <w:szCs w:val="28"/>
        </w:rPr>
        <w:t>万元减少</w:t>
      </w:r>
      <w:r>
        <w:rPr>
          <w:rFonts w:hint="eastAsia" w:ascii="仿宋_GB2312" w:eastAsia="仿宋_GB2312"/>
          <w:sz w:val="28"/>
          <w:szCs w:val="28"/>
          <w:lang w:val="en-US" w:eastAsia="zh-CN"/>
        </w:rPr>
        <w:t>9.66</w:t>
      </w:r>
      <w:r>
        <w:rPr>
          <w:rFonts w:hint="eastAsia" w:ascii="仿宋_GB2312" w:eastAsia="仿宋_GB2312"/>
          <w:sz w:val="28"/>
          <w:szCs w:val="28"/>
        </w:rPr>
        <w:t>万元。其中：</w:t>
      </w:r>
    </w:p>
    <w:p>
      <w:pPr>
        <w:numPr>
          <w:ilvl w:val="0"/>
          <w:numId w:val="2"/>
        </w:numPr>
        <w:spacing w:line="560" w:lineRule="exact"/>
        <w:ind w:firstLine="600"/>
        <w:rPr>
          <w:rFonts w:hint="eastAsia" w:ascii="仿宋_GB2312" w:hAnsi="Times New Roman" w:eastAsia="仿宋_GB2312" w:cs="Times New Roman"/>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0万元</w:t>
      </w:r>
      <w:r>
        <w:rPr>
          <w:rFonts w:hint="eastAsia" w:ascii="仿宋_GB2312" w:eastAsia="仿宋_GB2312"/>
          <w:sz w:val="28"/>
          <w:szCs w:val="28"/>
        </w:rPr>
        <w:t>增加</w:t>
      </w:r>
      <w:r>
        <w:rPr>
          <w:rFonts w:hint="eastAsia" w:ascii="仿宋_GB2312" w:eastAsia="仿宋_GB2312"/>
          <w:sz w:val="28"/>
          <w:szCs w:val="28"/>
          <w:lang w:val="en-US" w:eastAsia="zh-CN"/>
        </w:rPr>
        <w:t>5.45</w:t>
      </w:r>
      <w:r>
        <w:rPr>
          <w:rFonts w:hint="eastAsia" w:ascii="仿宋_GB2312" w:eastAsia="仿宋_GB2312"/>
          <w:sz w:val="28"/>
          <w:szCs w:val="28"/>
        </w:rPr>
        <w:t>万元。</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一人出访荷兰、西班牙开展农业重点领域业务合作洽谈和招商引资工作</w:t>
      </w:r>
      <w:r>
        <w:rPr>
          <w:rFonts w:hint="eastAsia" w:ascii="仿宋_GB2312" w:hAnsi="Times New Roman" w:eastAsia="仿宋_GB2312" w:cs="Times New Roman"/>
          <w:sz w:val="28"/>
          <w:szCs w:val="28"/>
        </w:rPr>
        <w:t>；2024年度因公出国（境）费用主要用于</w:t>
      </w:r>
      <w:r>
        <w:rPr>
          <w:rFonts w:hint="eastAsia" w:ascii="仿宋_GB2312" w:hAnsi="Times New Roman" w:eastAsia="仿宋_GB2312" w:cs="Times New Roman"/>
          <w:sz w:val="28"/>
          <w:szCs w:val="28"/>
          <w:lang w:val="en-US" w:eastAsia="zh-CN"/>
        </w:rPr>
        <w:t>开展农业重点领域业务合作洽谈和招商引资工作。</w:t>
      </w:r>
      <w:r>
        <w:rPr>
          <w:rFonts w:hint="eastAsia" w:ascii="仿宋_GB2312" w:hAnsi="Times New Roman" w:eastAsia="仿宋_GB2312" w:cs="Times New Roman"/>
          <w:sz w:val="28"/>
          <w:szCs w:val="28"/>
        </w:rPr>
        <w:t>2024年度组织因公出国（境）团组</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个、</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人次</w:t>
      </w:r>
    </w:p>
    <w:p>
      <w:pPr>
        <w:numPr>
          <w:ilvl w:val="0"/>
          <w:numId w:val="2"/>
        </w:numPr>
        <w:spacing w:line="560" w:lineRule="exact"/>
        <w:ind w:left="0" w:leftChars="0" w:firstLine="600" w:firstLineChars="0"/>
        <w:rPr>
          <w:rFonts w:hint="eastAsia" w:ascii="仿宋_GB2312" w:hAnsi="Times New Roman" w:eastAsia="仿宋_GB2312" w:cs="Times New Roman"/>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w:t>
      </w:r>
      <w:r>
        <w:rPr>
          <w:rFonts w:hint="eastAsia" w:ascii="仿宋_GB2312" w:eastAsia="仿宋_GB2312"/>
          <w:sz w:val="28"/>
          <w:szCs w:val="28"/>
        </w:rPr>
        <w:t>万元减少</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eastAsia="仿宋_GB2312"/>
          <w:sz w:val="28"/>
          <w:szCs w:val="28"/>
          <w:lang w:eastAsia="zh-CN"/>
        </w:rPr>
        <w:t>压减日常开支</w:t>
      </w:r>
      <w:r>
        <w:rPr>
          <w:rFonts w:hint="eastAsia" w:ascii="仿宋_GB2312" w:eastAsia="仿宋_GB2312"/>
          <w:sz w:val="28"/>
          <w:szCs w:val="28"/>
        </w:rPr>
        <w:t>。</w:t>
      </w:r>
      <w:r>
        <w:rPr>
          <w:rFonts w:hint="eastAsia" w:ascii="仿宋_GB2312" w:hAnsi="Times New Roman" w:eastAsia="仿宋_GB2312" w:cs="Times New Roman"/>
          <w:sz w:val="28"/>
          <w:szCs w:val="28"/>
        </w:rPr>
        <w:t>公务接待</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批次，公务接待</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人次。</w:t>
      </w:r>
    </w:p>
    <w:p>
      <w:pPr>
        <w:spacing w:line="56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3.公务用车购置及运行维护费</w:t>
      </w:r>
      <w:r>
        <w:rPr>
          <w:rFonts w:hint="eastAsia" w:ascii="仿宋_GB2312" w:hAnsi="Times New Roman" w:eastAsia="仿宋_GB2312" w:cs="Times New Roman"/>
          <w:sz w:val="28"/>
          <w:szCs w:val="28"/>
        </w:rPr>
        <w:t>。2024年度决算数</w:t>
      </w:r>
      <w:r>
        <w:rPr>
          <w:rFonts w:hint="eastAsia" w:ascii="仿宋_GB2312" w:hAnsi="Times New Roman" w:eastAsia="仿宋_GB2312" w:cs="Times New Roman"/>
          <w:sz w:val="28"/>
          <w:szCs w:val="28"/>
          <w:lang w:val="en-US" w:eastAsia="zh-CN"/>
        </w:rPr>
        <w:t>3.09</w:t>
      </w:r>
      <w:r>
        <w:rPr>
          <w:rFonts w:hint="eastAsia" w:ascii="仿宋_GB2312" w:hAnsi="Times New Roman" w:eastAsia="仿宋_GB2312" w:cs="Times New Roman"/>
          <w:sz w:val="28"/>
          <w:szCs w:val="28"/>
        </w:rPr>
        <w:t>万元，比2024年度年初预算数</w:t>
      </w:r>
      <w:r>
        <w:rPr>
          <w:rFonts w:hint="eastAsia" w:ascii="仿宋_GB2312" w:hAnsi="Times New Roman" w:eastAsia="仿宋_GB2312" w:cs="Times New Roman"/>
          <w:sz w:val="28"/>
          <w:szCs w:val="28"/>
          <w:lang w:val="en-US" w:eastAsia="zh-CN"/>
        </w:rPr>
        <w:t>18</w:t>
      </w:r>
      <w:r>
        <w:rPr>
          <w:rFonts w:hint="eastAsia" w:ascii="仿宋_GB2312" w:hAnsi="Times New Roman" w:eastAsia="仿宋_GB2312" w:cs="Times New Roman"/>
          <w:sz w:val="28"/>
          <w:szCs w:val="28"/>
        </w:rPr>
        <w:t>万元减少</w:t>
      </w:r>
      <w:r>
        <w:rPr>
          <w:rFonts w:hint="eastAsia" w:ascii="仿宋_GB2312" w:hAnsi="Times New Roman" w:eastAsia="仿宋_GB2312" w:cs="Times New Roman"/>
          <w:sz w:val="28"/>
          <w:szCs w:val="28"/>
          <w:lang w:val="en-US" w:eastAsia="zh-CN"/>
        </w:rPr>
        <w:t>14.91</w:t>
      </w:r>
      <w:r>
        <w:rPr>
          <w:rFonts w:hint="eastAsia" w:ascii="仿宋_GB2312" w:hAnsi="Times New Roman" w:eastAsia="仿宋_GB2312" w:cs="Times New Roman"/>
          <w:sz w:val="28"/>
          <w:szCs w:val="28"/>
        </w:rPr>
        <w:t>万元。其中，公务用车购置费2024年度决算数</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本年未发生公务用车购置费</w:t>
      </w:r>
      <w:r>
        <w:rPr>
          <w:rFonts w:hint="eastAsia" w:ascii="仿宋_GB2312" w:hAnsi="Times New Roman" w:eastAsia="仿宋_GB2312" w:cs="Times New Roman"/>
          <w:sz w:val="28"/>
          <w:szCs w:val="28"/>
        </w:rPr>
        <w:t>，2024年度购置（更新）</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辆。公务用车运行维护费2024年度决算数</w:t>
      </w:r>
      <w:r>
        <w:rPr>
          <w:rFonts w:hint="eastAsia" w:ascii="仿宋_GB2312" w:hAnsi="Times New Roman" w:eastAsia="仿宋_GB2312" w:cs="Times New Roman"/>
          <w:sz w:val="28"/>
          <w:szCs w:val="28"/>
          <w:lang w:val="en-US" w:eastAsia="zh-CN"/>
        </w:rPr>
        <w:t>3.09</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压减日常开支</w:t>
      </w:r>
      <w:r>
        <w:rPr>
          <w:rFonts w:hint="eastAsia" w:ascii="仿宋_GB2312" w:hAnsi="Times New Roman" w:eastAsia="仿宋_GB2312" w:cs="Times New Roman"/>
          <w:sz w:val="28"/>
          <w:szCs w:val="28"/>
        </w:rPr>
        <w:t>。2024年度公务用车保有量</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165.6</w:t>
      </w:r>
      <w:r>
        <w:rPr>
          <w:rFonts w:hint="eastAsia" w:ascii="仿宋_GB2312" w:eastAsia="仿宋_GB2312"/>
          <w:sz w:val="28"/>
          <w:szCs w:val="28"/>
        </w:rPr>
        <w:t>万元，比上年减少</w:t>
      </w:r>
      <w:r>
        <w:rPr>
          <w:rFonts w:hint="eastAsia" w:ascii="仿宋_GB2312" w:eastAsia="仿宋_GB2312"/>
          <w:sz w:val="28"/>
          <w:szCs w:val="28"/>
          <w:lang w:val="en-US" w:eastAsia="zh-CN"/>
        </w:rPr>
        <w:t>7.98</w:t>
      </w:r>
      <w:r>
        <w:rPr>
          <w:rFonts w:hint="eastAsia" w:ascii="仿宋_GB2312" w:eastAsia="仿宋_GB2312"/>
          <w:sz w:val="28"/>
          <w:szCs w:val="28"/>
        </w:rPr>
        <w:t>万元，减少</w:t>
      </w:r>
      <w:r>
        <w:rPr>
          <w:rFonts w:hint="eastAsia" w:ascii="仿宋_GB2312" w:eastAsia="仿宋_GB2312"/>
          <w:sz w:val="28"/>
          <w:szCs w:val="28"/>
          <w:lang w:eastAsia="zh-CN"/>
        </w:rPr>
        <w:t>原</w:t>
      </w:r>
      <w:r>
        <w:rPr>
          <w:rFonts w:hint="eastAsia" w:ascii="仿宋_GB2312" w:eastAsia="仿宋_GB2312"/>
          <w:sz w:val="28"/>
          <w:szCs w:val="28"/>
        </w:rPr>
        <w:t>因：</w:t>
      </w:r>
      <w:r>
        <w:rPr>
          <w:rFonts w:hint="eastAsia" w:ascii="仿宋_GB2312" w:eastAsia="仿宋_GB2312"/>
          <w:sz w:val="28"/>
          <w:szCs w:val="28"/>
          <w:lang w:eastAsia="zh-CN"/>
        </w:rPr>
        <w:t>压减日常开支</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650.4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1.46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648.94</w:t>
      </w:r>
      <w:r>
        <w:rPr>
          <w:rFonts w:hint="eastAsia" w:ascii="仿宋_GB2312" w:eastAsia="仿宋_GB2312"/>
          <w:sz w:val="28"/>
          <w:szCs w:val="28"/>
        </w:rPr>
        <w:t>万元。授予中小企业合同金额</w:t>
      </w:r>
      <w:r>
        <w:rPr>
          <w:rFonts w:ascii="仿宋_GB2312" w:eastAsia="仿宋_GB2312"/>
          <w:sz w:val="28"/>
          <w:szCs w:val="28"/>
        </w:rPr>
        <w:t>649.13</w:t>
      </w:r>
      <w:r>
        <w:rPr>
          <w:rFonts w:hint="eastAsia" w:ascii="仿宋_GB2312" w:eastAsia="仿宋_GB2312"/>
          <w:sz w:val="28"/>
          <w:szCs w:val="28"/>
        </w:rPr>
        <w:t>万元，占政府采购支出总额的</w:t>
      </w:r>
      <w:r>
        <w:rPr>
          <w:rFonts w:hint="eastAsia" w:ascii="仿宋_GB2312" w:eastAsia="仿宋_GB2312"/>
          <w:sz w:val="28"/>
          <w:szCs w:val="28"/>
          <w:lang w:eastAsia="zh-CN"/>
        </w:rPr>
        <w:t>99.8</w:t>
      </w:r>
      <w:r>
        <w:rPr>
          <w:rFonts w:hint="eastAsia" w:ascii="仿宋_GB2312" w:eastAsia="仿宋_GB2312"/>
          <w:sz w:val="28"/>
          <w:szCs w:val="28"/>
        </w:rPr>
        <w:t>%，其中：授予小微企业合同金额</w:t>
      </w:r>
      <w:r>
        <w:rPr>
          <w:rFonts w:ascii="仿宋_GB2312" w:eastAsia="仿宋_GB2312"/>
          <w:sz w:val="28"/>
          <w:szCs w:val="28"/>
        </w:rPr>
        <w:t>361.58</w:t>
      </w:r>
      <w:r>
        <w:rPr>
          <w:rFonts w:hint="eastAsia" w:ascii="仿宋_GB2312" w:eastAsia="仿宋_GB2312"/>
          <w:sz w:val="28"/>
          <w:szCs w:val="28"/>
        </w:rPr>
        <w:t>万元，占政府采购支出总额的</w:t>
      </w:r>
      <w:r>
        <w:rPr>
          <w:rFonts w:ascii="仿宋_GB2312" w:eastAsia="仿宋_GB2312"/>
          <w:sz w:val="28"/>
          <w:szCs w:val="28"/>
        </w:rPr>
        <w:t>55.59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12月31日，北京市大兴区农业农村局（本级）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政府购买服务决算959.9</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8.</w:t>
      </w:r>
      <w:r>
        <w:rPr>
          <w:rFonts w:hint="eastAsia" w:ascii="仿宋_GB2312" w:hAnsi="Times New Roman" w:eastAsia="仿宋_GB2312" w:cs="Times New Roman"/>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事业单位离退休（项）：反映事业单位开支的离退休经费。</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10.</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机关事业单位基本养老保险缴费支出：反映机关事业单位实施养老保险制度由单位缴纳的基本养老保险费支出。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11.</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机关事业单位职业年金缴费支出：反映机关事业单位实施养老保险制度由单位实际缴纳的职业年金支出（含职业年金补记支出）。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12.</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其他行政事业单位养老支出：反映除上述项目以外其他用于行政事业单位离退休方面的支出。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15.卫生健康支出（类）行政事业单位医疗（款）公务员医疗补助（项）：反映财政部门安排的公务员医疗补助经费。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16.节能环保支出（类）污染防治（款）大气（项）：反映政府在治理空气污染、汽车尾气、酸雨、二氧化碳、沙尘暴等方面的支出。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17.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18.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19.农林水支出（类）农业农村（款）行政运行（项）：反映行政单位（包括实行公务员管理的事业单位）的基本支出。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20.农林水支出（类）农业农村（款）一般行政管理事务（项）：反映行政单位（包括实行公务员管理的事业单位）未单独设置项级科目的其他项目支出。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21.农林水支出（类）农业农村（款）事业运行（项）：反映用于农业事业单位基本支出，事业单位设施、系统运行与资产维护等方面的支出。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22.农林水支出（类）农业农村（款）农产品质量安全（项）：反映用于农产品及其投入品的质量安全评估、监测、抽查、认证、应急处理，相关标准的制定、修订、实施、监管等方面的支出。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23.农林水支出（类）农业农村（款）稳定农民收入补贴（项）：反映政府为稳定增加农民收入给予的补贴。</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24.农林水支出（类）农业农村（款）农业生产发展（项）：反映用于粮油生产保障、适度规模经营、农机购置与应用补贴、优势特色主导产业发展、畜牧水产发展、农村一二三产业融合等方面的支出。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25.农林水支出（类）农业农村（款）农业生态资源保护（项）：反映用于草原草场利用，渔业水域资源环境保护，农业品种改良提升，以及农业生物资源调研收集、鉴定评价、保存利用等方面的支出。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26.农林水支出（类）农业农村（款）其他农业农村支出（项）：反映除上述项目以外其他用于农业方面的支出。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27.农林水支出（类）普惠金融发展支出（款）农业保险保费补贴（项）：反映对农民或农业生产经营组织投保农业保险给予的补贴。</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28.住房保障支出（类）住房改革支出（款）购买补贴（项）：反映按房改政策规定，行政事业单位向符合条件职工（含离退休人员）、军队（含武警）向转役复员离退休人员发放的用于购买住房的补贴。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tabs>
          <w:tab w:val="center" w:pos="6979"/>
        </w:tabs>
        <w:jc w:val="cente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pP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第四部分</w:t>
      </w:r>
      <w:r>
        <w:rPr>
          <w:rFonts w:hint="eastAsia" w:ascii="新宋体" w:hAnsi="新宋体" w:eastAsia="新宋体" w:cs="新宋体"/>
          <w:b/>
          <w:bCs/>
          <w:color w:val="000000" w:themeColor="text1"/>
          <w:spacing w:val="40"/>
          <w:kern w:val="0"/>
          <w:sz w:val="32"/>
          <w:szCs w:val="32"/>
          <w:highlight w:val="none"/>
          <w:lang w:val="en-US" w:eastAsia="zh-CN"/>
          <w14:textFill>
            <w14:solidFill>
              <w14:schemeClr w14:val="tx1"/>
            </w14:solidFill>
          </w14:textFill>
        </w:rPr>
        <w:t xml:space="preserve"> </w:t>
      </w: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2024年度</w:t>
      </w:r>
      <w:r>
        <w:rPr>
          <w:rFonts w:hint="eastAsia" w:ascii="新宋体" w:hAnsi="新宋体" w:eastAsia="新宋体" w:cs="新宋体"/>
          <w:b/>
          <w:bCs/>
          <w:color w:val="000000" w:themeColor="text1"/>
          <w:spacing w:val="40"/>
          <w:kern w:val="0"/>
          <w:sz w:val="32"/>
          <w:szCs w:val="32"/>
          <w:highlight w:val="none"/>
          <w:lang w:eastAsia="zh-CN"/>
          <w14:textFill>
            <w14:solidFill>
              <w14:schemeClr w14:val="tx1"/>
            </w14:solidFill>
          </w14:textFill>
        </w:rPr>
        <w:t>单位</w:t>
      </w: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绩效评价情况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left"/>
        <w:textAlignment w:val="auto"/>
        <w:outlineLvl w:val="9"/>
        <w:rPr>
          <w:rFonts w:hint="eastAsia" w:ascii="新宋体" w:hAnsi="新宋体" w:eastAsia="新宋体" w:cs="新宋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left"/>
        <w:textAlignment w:val="auto"/>
        <w:outlineLvl w:val="9"/>
        <w:rPr>
          <w:rFonts w:hint="eastAsia" w:ascii="新宋体" w:hAnsi="新宋体" w:eastAsia="新宋体" w:cs="新宋体"/>
          <w:color w:val="000000" w:themeColor="text1"/>
          <w:kern w:val="0"/>
          <w:sz w:val="32"/>
          <w:szCs w:val="32"/>
          <w:highlight w:val="none"/>
          <w14:textFill>
            <w14:solidFill>
              <w14:schemeClr w14:val="tx1"/>
            </w14:solidFill>
          </w14:textFill>
        </w:rPr>
      </w:pPr>
      <w:r>
        <w:rPr>
          <w:rFonts w:hint="eastAsia" w:ascii="新宋体" w:hAnsi="新宋体" w:eastAsia="新宋体" w:cs="新宋体"/>
          <w:color w:val="000000" w:themeColor="text1"/>
          <w:sz w:val="32"/>
          <w:szCs w:val="32"/>
          <w:lang w:val="en-US" w:eastAsia="zh-CN"/>
          <w14:textFill>
            <w14:solidFill>
              <w14:schemeClr w14:val="tx1"/>
            </w14:solidFill>
          </w14:textFill>
        </w:rPr>
        <w:t>附件：项目支出绩效自评表</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0BBC1"/>
    <w:multiLevelType w:val="singleLevel"/>
    <w:tmpl w:val="91B0BBC1"/>
    <w:lvl w:ilvl="0" w:tentative="0">
      <w:start w:val="1"/>
      <w:numFmt w:val="decimal"/>
      <w:lvlText w:val="%1."/>
      <w:lvlJc w:val="left"/>
      <w:pPr>
        <w:tabs>
          <w:tab w:val="left" w:pos="312"/>
        </w:tabs>
      </w:pPr>
    </w:lvl>
  </w:abstractNum>
  <w:abstractNum w:abstractNumId="1">
    <w:nsid w:val="6634749A"/>
    <w:multiLevelType w:val="singleLevel"/>
    <w:tmpl w:val="6634749A"/>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B71B57"/>
    <w:rsid w:val="04C3537C"/>
    <w:rsid w:val="0585224E"/>
    <w:rsid w:val="079004AC"/>
    <w:rsid w:val="08CB55FB"/>
    <w:rsid w:val="091536DB"/>
    <w:rsid w:val="0BA148CA"/>
    <w:rsid w:val="0C1165C4"/>
    <w:rsid w:val="0D6D544B"/>
    <w:rsid w:val="0DD136FE"/>
    <w:rsid w:val="0EFF77EC"/>
    <w:rsid w:val="0F542F2C"/>
    <w:rsid w:val="0F8E2C57"/>
    <w:rsid w:val="1059665E"/>
    <w:rsid w:val="10AC13BA"/>
    <w:rsid w:val="11A7709B"/>
    <w:rsid w:val="14074F62"/>
    <w:rsid w:val="145A6C1B"/>
    <w:rsid w:val="14B73493"/>
    <w:rsid w:val="167A2FF9"/>
    <w:rsid w:val="1764587C"/>
    <w:rsid w:val="18581C69"/>
    <w:rsid w:val="1AEC0734"/>
    <w:rsid w:val="1DEF20B0"/>
    <w:rsid w:val="1FF7AB17"/>
    <w:rsid w:val="214243FA"/>
    <w:rsid w:val="21856129"/>
    <w:rsid w:val="21AD613C"/>
    <w:rsid w:val="22467189"/>
    <w:rsid w:val="257A14F5"/>
    <w:rsid w:val="27196C26"/>
    <w:rsid w:val="29EF086F"/>
    <w:rsid w:val="2BC34C59"/>
    <w:rsid w:val="2C98000F"/>
    <w:rsid w:val="2EFFE297"/>
    <w:rsid w:val="301437CA"/>
    <w:rsid w:val="349D1F0A"/>
    <w:rsid w:val="34DD0473"/>
    <w:rsid w:val="392C1E6E"/>
    <w:rsid w:val="3A8E35DC"/>
    <w:rsid w:val="3C684897"/>
    <w:rsid w:val="433E495C"/>
    <w:rsid w:val="48025E38"/>
    <w:rsid w:val="489F2FD7"/>
    <w:rsid w:val="499F2BC7"/>
    <w:rsid w:val="4A60441A"/>
    <w:rsid w:val="4AC27CB3"/>
    <w:rsid w:val="4BF72BEF"/>
    <w:rsid w:val="4F027D38"/>
    <w:rsid w:val="4FA90297"/>
    <w:rsid w:val="4FC41A43"/>
    <w:rsid w:val="51D07185"/>
    <w:rsid w:val="51DB3C59"/>
    <w:rsid w:val="53DF70D7"/>
    <w:rsid w:val="550C0952"/>
    <w:rsid w:val="55762E42"/>
    <w:rsid w:val="57A7B272"/>
    <w:rsid w:val="58470068"/>
    <w:rsid w:val="58747CAC"/>
    <w:rsid w:val="5A1720F9"/>
    <w:rsid w:val="5A6A7303"/>
    <w:rsid w:val="5B9C37C2"/>
    <w:rsid w:val="5BA7C654"/>
    <w:rsid w:val="5DF716AE"/>
    <w:rsid w:val="5F9F507E"/>
    <w:rsid w:val="60A54109"/>
    <w:rsid w:val="61D01CDF"/>
    <w:rsid w:val="64C0607C"/>
    <w:rsid w:val="65756C86"/>
    <w:rsid w:val="65B27BCE"/>
    <w:rsid w:val="674D385B"/>
    <w:rsid w:val="676F09E1"/>
    <w:rsid w:val="6C1E72FF"/>
    <w:rsid w:val="6CAF6BE4"/>
    <w:rsid w:val="71691990"/>
    <w:rsid w:val="71793A80"/>
    <w:rsid w:val="7357290B"/>
    <w:rsid w:val="753834DE"/>
    <w:rsid w:val="756E3DEA"/>
    <w:rsid w:val="767F7681"/>
    <w:rsid w:val="76FB1693"/>
    <w:rsid w:val="78521118"/>
    <w:rsid w:val="798524E4"/>
    <w:rsid w:val="7A7F1C49"/>
    <w:rsid w:val="7B5B7AE6"/>
    <w:rsid w:val="7B7B6628"/>
    <w:rsid w:val="7BA7071E"/>
    <w:rsid w:val="7BDF6DA8"/>
    <w:rsid w:val="7C7EDC1A"/>
    <w:rsid w:val="7CC7410C"/>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afterLines="0" w:afterAutospacing="0" w:line="480" w:lineRule="auto"/>
      <w:ind w:left="420" w:leftChars="2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16792.24</c:v>
                </c:pt>
                <c:pt idx="1">
                  <c:v>0</c:v>
                </c:pt>
                <c:pt idx="2">
                  <c:v>0</c:v>
                </c:pt>
                <c:pt idx="3">
                  <c:v>0</c:v>
                </c:pt>
                <c:pt idx="4">
                  <c:v>0</c:v>
                </c:pt>
                <c:pt idx="5">
                  <c:v>2.05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3917.89</c:v>
                </c:pt>
                <c:pt idx="1">
                  <c:v>13187.52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2025-10-24T02:12:00Z</cp:lastPrinted>
  <dcterms:modified xsi:type="dcterms:W3CDTF">2025-12-29T07:30:36Z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